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Fielmann Group AG</w:t>
      </w:r>
    </w:p>
    <w:p>
      <w:pPr>
        <w:spacing w:after="60"/>
        <w:rPr>
          <w:color w:val="52514E"/>
          <w:sz w:val="22"/>
          <w:szCs w:val="22"/>
        </w:rPr>
      </w:pPr>
      <w:r>
        <w:rPr>
          <w:color w:val="52514E"/>
          <w:sz w:val="22"/>
          <w:szCs w:val="22"/>
        </w:rPr>
        <w:t xml:space="preserve">FIE · Xetra (Bolsa de Fráncfort, Prime Standard) · ISIN DE0005772206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41,13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+14,5 % (base +10,7 %)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44,79 EUR · mercado 54,31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Fielmann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 / DE0005772206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(Bolsa de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Hamburgo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https://www.fielmann-group.com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36,65 – 51,00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EUR/día (≈ 70.600 acciones, 3 meses) [51]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41,13 EUR</w:t>
      </w:r>
      <w:r>
        <w:t xml:space="preserve"> frente a 37,15 · Rentabilidad a 12 meses </w:t>
      </w:r>
      <w:r>
        <w:rPr>
          <w:b/>
          <w:bCs/>
        </w:rPr>
        <w:t xml:space="preserve">+14,5 % (base +10,7 %)</w:t>
      </w:r>
      <w:r>
        <w:t xml:space="preserve"> · Valor intrínseco 44,79 EUR · con la prima implícita del mercado: 54,31 (+46,2 %) · Alcista / bajista +54,9 % / -33,2 %</w:t>
      </w:r>
    </w:p>
    <w:p>
      <w:pPr>
        <w:spacing w:after="100"/>
      </w:pPr>
      <w:r>
        <w:rPr>
          <w:b/>
        </w:rPr>
        <w:t xml:space="preserve">La recomendación y por qué.</w:t>
      </w:r>
      <w:r>
        <w:t xml:space="preserve"> Comprar, con convicción media. El valor objetivo es de 44,79 EUR frente a 37,15 EUR (cierre del 8-oct): un potencial del 20,6 % y una rentabilidad total esperada del 24,3 % con el dividendo del 3,8 %. El alcista gana un 54,9 % y el bajista pierde un 33,2 %: asimetría de 1,65 veces. La razón: el precio descuenta un crecimiento del 2,5 % anual, el ritmo orgánico de los últimos semestres, y nuestro base, ya recortado a lo que la empresa puede financiar, pide un 3,5 % en 2027-2033. La convicción es media porque el bajista pierde un 33 % y la asimetría no llega a 2; la subiría un orgánico de 2027 por encima del 4 % y la bajaría uno por debajo del 3 %.</w:t>
      </w:r>
    </w:p>
    <w:p>
      <w:pPr>
        <w:spacing w:after="100"/>
      </w:pPr>
      <w:r>
        <w:rPr>
          <w:b/>
        </w:rPr>
        <w:t xml:space="preserve">El negocio.</w:t>
      </w:r>
      <w:r>
        <w:t xml:space="preserve"> Fielmann es el primer óptico de Alemania, con el 57 % de las gafas y el 25 % del valor, y factura unos 2,3 M EUR por tienda frente a 0,9 M de Apollo [1, 16]. Un margen EBITDA del 23,0 % y un ROIC del 13,9 % frente a un WACC del 7,74 % muestran un foso real; España rinde un 4 % y EE. UU. casi nada, con 410 M EUR pagados [1]. </w:t>
      </w:r>
      <w:r>
        <w:rPr>
          <w:b/>
        </w:rPr>
        <w:t xml:space="preserve">La calidad sostiene el crecimiento solo en parte</w:t>
      </w:r>
      <w:r>
        <w:t xml:space="preserve">: el foso alemán da un 2-3 % anual por precio y cuota, y el volumen fuera de Alemania pide capital. Por eso rebajamos el base del 4,5 % al 3,4 % medio: la reinversión prevista (19 % del NOPAT) financia un 2,7 % al ROIC actual y el resto es precio, que casi no pide capital; el capital nuevo rinde un 17,1 %, dentro del tope de 1,25 veces el ROIC. Con el base anterior el objetivo era de 49,13 EUR.</w:t>
      </w:r>
    </w:p>
    <w:p>
      <w:pPr>
        <w:spacing w:after="100"/>
      </w:pPr>
      <w:r>
        <w:rPr>
          <w:b/>
        </w:rPr>
        <w:t xml:space="preserve">Finanzas.</w:t>
      </w:r>
      <w:r>
        <w:t xml:space="preserve"> Las ventas crecieron un 8,2 % anual desde 2019, la mitad comprado; el orgánico fue del 3,6 % en 2025 y del 1,7 % en el 1S26 [1, 7]. La conversión en caja es alta y la deuda neta ajustada, con 594 M EUR de arrendamientos, es de 1,3 veces el EBITDA. Las cuentas se han reexpresado tres años seguidos y los ajustes «no recurrentes» se repiten cada año: aquí se tratan como recurrentes.</w:t>
      </w:r>
    </w:p>
    <w:p>
      <w:pPr>
        <w:spacing w:after="100"/>
      </w:pPr>
      <w:r>
        <w:rPr>
          <w:b/>
        </w:rPr>
        <w:t xml:space="preserve">Equipo y gobierno.</w:t>
      </w:r>
      <w:r>
        <w:t xml:space="preserve"> Resta. La familia controla el 72,9 %, el capital libre vota en contra de la remuneración (77-80 % de sus votos) y la comisión de auditoría no tiene mayoría independiente [1, 42]. La guía de 2026 duró cuatro meses [50]. No hay operaciones de directivos en 12 meses [49].</w:t>
      </w:r>
    </w:p>
    <w:p>
      <w:pPr>
        <w:spacing w:after="100"/>
      </w:pPr>
      <w:r>
        <w:rPr>
          <w:b/>
        </w:rPr>
        <w:t xml:space="preserve">Valoración.</w:t>
      </w:r>
      <w:r>
        <w:t xml:space="preserve"> El DCF da 41,96 EUR y pesa la mitad; los escenarios, 41,57 EUR. A 6,8 veces el EBITDA de los últimos 12 meses y 13,7 veces el beneficio esperado, la acción cotiza en mínimos de su historia (media de 11,0 y 31,4 veces) y como National Vision, con el doble de margen. El precio rinde un 8,3 % anual frente a un WACC del 7,74 %. Con la prima implícita del mercado el objetivo sube a 54,31 EUR: las dos reglas dan Comprar. Discrepamos del mercado en que extrapola el peor tramo; no en el plan de la empresa, que no usamos.</w:t>
      </w:r>
    </w:p>
    <w:p>
      <w:pPr>
        <w:spacing w:after="100"/>
      </w:pPr>
      <w:r>
        <w:rPr>
          <w:b/>
        </w:rPr>
        <w:t xml:space="preserve">Riesgos y catalizadores.</w:t>
      </w:r>
      <w:r>
        <w:t xml:space="preserve"> Alemania estancada (cada punto de margen resta unos 4 EUR por acción), la rentabilidad de EE. UU. y una inversión del 11-12 % de las ventas que no acelere el crecimiento. Catalizadores: el 3T el 5-nov-2026, que debe mostrar la aceleración del segundo semestre, y la guía de 2027 en febrero.</w:t>
      </w:r>
    </w:p>
    <w:p>
      <w:pPr>
        <w:spacing w:after="100"/>
      </w:pPr>
      <w:r>
        <w:rPr>
          <w:b/>
        </w:rPr>
        <w:t xml:space="preserve">Qué cambiaría la decisión.</w:t>
      </w:r>
      <w:r>
        <w:t xml:space="preserve"> Comprar por debajo de 43,98 EUR y vender por encima de 58,72 EUR. Pasaríamos a Mantener si el crecimiento orgánico de 2027 queda por debajo del 3 %, si el margen ajustado baja del 22 % o si el de EE. UU. no supera 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41,13 EUR</w:t>
      </w:r>
      <w:r>
        <w:t xml:space="preserve"> (rentabilidad +14,5 % (base +10,7 %)) · Valor intrínseco: 44,79 EUR (+20,6 % sobre 37,15) · con la prima implícita del mercado: 54,31 (+46,2 %)</w:t>
      </w:r>
    </w:p>
    <w:p>
      <w:pPr>
        <w:spacing w:after="100"/>
      </w:pPr>
      <w:r>
        <w:t xml:space="preserve">Fielmann vende más de la mitad de las gafas de Alemania con un modelo de precio bajo, fabricación propia y garantías que fidelizan (satisfacción de clientes del 90 %), y gana un margen EBITDA reportado del 23 % y un ROIC del 13,9 % [1]. Su problema es el crecimiento: el mercado alemán pierde unidades y la empresa ha comprado fuera (España, EE. UU.) a rentabilidades que aún no cubren el coste de capital.</w:t>
      </w:r>
    </w:p>
    <w:p>
      <w:pPr>
        <w:spacing w:after="100"/>
      </w:pPr>
      <w:r>
        <w:t xml:space="preserve">El precio, 37,15 EUR, cotiza a 6,8 veces el EBITDA y 13,7 veces el beneficio esperado, mínimos históricos. El DCF inverso dice que descuenta un crecimiento del 2,5 % anual o un margen del 22,2 %: el ritmo orgánico de los últimos semestres o un margen por debajo del de 2025.</w:t>
      </w:r>
    </w:p>
    <w:p>
      <w:pPr>
        <w:spacing w:after="100"/>
      </w:pPr>
      <w:r>
        <w:t xml:space="preserve">Para invertir hay que creer que las aperturas y el crecimiento fuera de Alemania llevan las ventas al 4-4,5 % anual en 2027-2029, lo que la empresa puede financiar más el precio, y que el margen se queda en el 23 %: menos que el consenso y mucho menos que el plan de la empresa. Con eso, el valor es de 41,96 EUR por DCF y 44,79 EUR ponderado. El mercado acierta en desconfiar del plan y de un gobierno que no protege al minoritario; se equivoca al pagar como si el negocio no creciera.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2,15 = 26,45 · 14,5x × 2,74 = 39,73 · 18,9x × 3,10 = 58,59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(26,9x) es 1,9 veces el PER de hoy (14,5x);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55,25 (nuestro base -28,1 %)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 / -33,2 %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7,7 %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financiable al ROIC actual: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24,3 % (&lt; 25 %); asimetría de 1,65 (&lt; 2); bajista del -33,2 % (pierde más del 25 %); el precio descuenta solo 1,0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36,72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36,72 y 47,25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47,25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43,98 EUR: pasaríamos a Mantener.</w:t>
      </w:r>
    </w:p>
    <w:p>
      <w:pPr>
        <w:pStyle w:val="ListParagraph"/>
        <w:numPr>
          <w:ilvl w:val="0"/>
          <w:numId w:val="2"/>
        </w:numPr>
        <w:spacing w:after="60"/>
      </w:pPr>
      <w:r>
        <w:t xml:space="preserve">Crecimiento de ventas del 2S26 por debajo del +3 % (dato del 3T y de las preliminares): revisaríamos el crecimiento a la baja y probablemente a Mantener.</w:t>
      </w:r>
    </w:p>
    <w:p>
      <w:pPr>
        <w:pStyle w:val="ListParagraph"/>
        <w:numPr>
          <w:ilvl w:val="0"/>
          <w:numId w:val="2"/>
        </w:numPr>
        <w:spacing w:after="60"/>
      </w:pPr>
      <w:r>
        <w:t xml:space="preserve">Guía de 2027 con margen EBITDA ajustado por debajo del 22 %: el valor caería a la zona de 35 EUR, por debajo del precio.</w:t>
      </w:r>
    </w:p>
    <w:p>
      <w:pPr>
        <w:pStyle w:val="ListParagraph"/>
        <w:numPr>
          <w:ilvl w:val="0"/>
          <w:numId w:val="2"/>
        </w:numPr>
        <w:spacing w:after="60"/>
      </w:pPr>
      <w:r>
        <w:t xml:space="preserve">Margen EBITDA ajustado de EE. UU. por debajo del 12 % en 2027 o un deterioro del fondo de comercio de esa región.</w:t>
      </w:r>
    </w:p>
    <w:p>
      <w:pPr>
        <w:pStyle w:val="ListParagraph"/>
        <w:numPr>
          <w:ilvl w:val="0"/>
          <w:numId w:val="2"/>
        </w:numPr>
        <w:spacing w:after="60"/>
      </w:pPr>
      <w:r>
        <w:t xml:space="preserve">Una compra relevante pagada con deuda que suba la deuda neta ajustada por encima de 2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Un Fielmann que no vuelve a acelerar: crecimiento del 2,5 % anual o margen del 22,2 %, tras la rebaja de la guía de agosto y cinco años de caída de la acción (−5,3 % anual con dividendos) [51]. El múltiplo de 6,8 veces el EBITDA es el de una cadena estadounidense de margen bajo.</w:t>
      </w:r>
    </w:p>
    <w:p>
      <w:pPr>
        <w:keepNext/>
        <w:spacing w:after="100"/>
      </w:pPr>
      <w:r>
        <w:rPr>
          <w:b/>
          <w:bCs/>
        </w:rPr>
        <w:t xml:space="preserve">Lo que creemos nosotros.</w:t>
      </w:r>
    </w:p>
    <w:p>
      <w:pPr>
        <w:spacing w:after="100"/>
      </w:pPr>
      <w:r>
        <w:t xml:space="preserve">Un crecimiento del 4-4,5 % en 2027-2029, lo que financia la reinversión al ROIC actual más el precio, y un margen reportado del 23,3 %: 1,5 puntos por debajo del consenso y lejos de la Vision 2035. No creemos en los 4.000 M EUR de ventas de 2030, pero tampoco en el estancamiento: la red crece un 5 % al año y fuera de Alemania las ventas crecieron un 6 % en el 2T26, con España al +9 % [7, 8].</w:t>
      </w:r>
    </w:p>
    <w:p>
      <w:pPr>
        <w:keepNext/>
        <w:spacing w:after="100"/>
      </w:pPr>
      <w:r>
        <w:rPr>
          <w:b/>
          <w:bCs/>
        </w:rPr>
        <w:t xml:space="preserve">Por qué podemos tener razón.</w:t>
      </w:r>
    </w:p>
    <w:p>
      <w:pPr>
        <w:spacing w:after="100"/>
      </w:pPr>
      <w:r>
        <w:t xml:space="preserve">El margen ya ha demostrado aguantar con ventas planas (23,4 % reportado en el 1S26) y la caja cubre inversión, arrendamientos y dividendo. Lo que falta es crecimiento, y las aperturas de 2026 se verán en las ventas de 2027; si el 3T y la guía de 2027 confirman la aceleración, el múltiplo no tiene por qué seguir en mínimos.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w:t>
      </w:r>
      <w:r>
        <w:t xml:space="preserve"> 6,8 veces el EBITDA de los últimos 12 meses y 13,7 veces el beneficio esperado, frente a una media histórica de 11,0 y 31,4 veces.</w:t>
      </w:r>
    </w:p>
    <w:p>
      <w:pPr>
        <w:pStyle w:val="ListParagraph"/>
        <w:numPr>
          <w:ilvl w:val="0"/>
          <w:numId w:val="2"/>
        </w:numPr>
        <w:spacing w:after="60"/>
      </w:pPr>
      <w:r>
        <w:rPr>
          <w:b/>
        </w:rPr>
        <w:t xml:space="preserve">Posición dominante en Alemania:</w:t>
      </w:r>
      <w:r>
        <w:t xml:space="preserve"> 57 % de las gafas y 25 % del valor, con 2,3 M EUR de ventas por tienda [16].</w:t>
      </w:r>
    </w:p>
    <w:p>
      <w:pPr>
        <w:pStyle w:val="ListParagraph"/>
        <w:numPr>
          <w:ilvl w:val="0"/>
          <w:numId w:val="2"/>
        </w:numPr>
        <w:spacing w:after="60"/>
      </w:pPr>
      <w:r>
        <w:rPr>
          <w:b/>
        </w:rPr>
        <w:t xml:space="preserve">Rentabilidad:</w:t>
      </w:r>
      <w:r>
        <w:t xml:space="preserve"> ROIC del 13,9 % y margen EBITDA reportado del 23,0 % en 2025 [1].</w:t>
      </w:r>
    </w:p>
    <w:p>
      <w:pPr>
        <w:pStyle w:val="ListParagraph"/>
        <w:numPr>
          <w:ilvl w:val="0"/>
          <w:numId w:val="2"/>
        </w:numPr>
        <w:spacing w:after="60"/>
      </w:pPr>
      <w:r>
        <w:rPr>
          <w:b/>
        </w:rPr>
        <w:t xml:space="preserve">Caja y dividendo:</w:t>
      </w:r>
      <w:r>
        <w:t xml:space="preserve"> rentabilidad por FCF del 6,5 % y por dividendo del 3,8 %.</w:t>
      </w:r>
    </w:p>
    <w:p>
      <w:pPr>
        <w:pStyle w:val="ListParagraph"/>
        <w:numPr>
          <w:ilvl w:val="0"/>
          <w:numId w:val="2"/>
        </w:numPr>
        <w:spacing w:after="60"/>
      </w:pPr>
      <w:r>
        <w:rPr>
          <w:b/>
        </w:rPr>
        <w:t xml:space="preserve">Crecimiento fuera de Alemania:</w:t>
      </w:r>
      <w:r>
        <w:t xml:space="preserve"> España +7,4 % y EE. UU. +3,3 % en moneda local en el 1S26 [7].</w:t>
      </w:r>
    </w:p>
    <w:p>
      <w:pPr>
        <w:pStyle w:val="Heading2"/>
      </w:pPr>
      <w:r>
        <w:t xml:space="preserve">En contra</w:t>
      </w:r>
    </w:p>
    <w:p>
      <w:pPr>
        <w:pStyle w:val="ListParagraph"/>
        <w:numPr>
          <w:ilvl w:val="0"/>
          <w:numId w:val="2"/>
        </w:numPr>
        <w:spacing w:after="60"/>
      </w:pPr>
      <w:r>
        <w:rPr>
          <w:b/>
        </w:rPr>
        <w:t xml:space="preserve">Alemania estancada:</w:t>
      </w:r>
      <w:r>
        <w:t xml:space="preserve"> +0,8 % en el 1S26 y un mercado que pierde unidades por cuarto año [7, 16].</w:t>
      </w:r>
    </w:p>
    <w:p>
      <w:pPr>
        <w:pStyle w:val="ListParagraph"/>
        <w:numPr>
          <w:ilvl w:val="0"/>
          <w:numId w:val="2"/>
        </w:numPr>
        <w:spacing w:after="60"/>
      </w:pPr>
      <w:r>
        <w:rPr>
          <w:b/>
        </w:rPr>
        <w:t xml:space="preserve">Compras que no rinden:</w:t>
      </w:r>
      <w:r>
        <w:t xml:space="preserve"> EE. UU. dio un BAI de 0,8 M EUR en 2025 con 410 M EUR invertidos [1].</w:t>
      </w:r>
    </w:p>
    <w:p>
      <w:pPr>
        <w:pStyle w:val="ListParagraph"/>
        <w:numPr>
          <w:ilvl w:val="0"/>
          <w:numId w:val="2"/>
        </w:numPr>
        <w:spacing w:after="60"/>
      </w:pPr>
      <w:r>
        <w:rPr>
          <w:b/>
        </w:rPr>
        <w:t xml:space="preserve">Guía poco fiable:</w:t>
      </w:r>
      <w:r>
        <w:t xml:space="preserve"> la de 2026 se rebajó a los cuatro meses; la de 2022, dos veces [50].</w:t>
      </w:r>
    </w:p>
    <w:p>
      <w:pPr>
        <w:pStyle w:val="ListParagraph"/>
        <w:numPr>
          <w:ilvl w:val="0"/>
          <w:numId w:val="2"/>
        </w:numPr>
        <w:spacing w:after="60"/>
      </w:pPr>
      <w:r>
        <w:rPr>
          <w:b/>
        </w:rPr>
        <w:t xml:space="preserve">Gobierno:</w:t>
      </w:r>
      <w:r>
        <w:t xml:space="preserve"> 72,9 % familiar y un 77-80 % del capital libre en contra de la remuneración [1, 42].</w:t>
      </w:r>
    </w:p>
    <w:p>
      <w:pPr>
        <w:pStyle w:val="ListParagraph"/>
        <w:numPr>
          <w:ilvl w:val="0"/>
          <w:numId w:val="2"/>
        </w:numPr>
        <w:spacing w:after="60"/>
      </w:pPr>
      <w:r>
        <w:rPr>
          <w:b/>
        </w:rPr>
        <w:t xml:space="preserve">Inversión creciente:</w:t>
      </w:r>
      <w:r>
        <w:t xml:space="preserve"> capex con derechos de uso del 11-12 % de las ventas en la proyección; al ROIC actual financia solo un 2,7 % de crecimiento anual.</w:t>
      </w:r>
    </w:p>
    <w:p>
      <w:pPr>
        <w:pStyle w:val="Heading2"/>
      </w:pPr>
      <w:r>
        <w:t xml:space="preserve">Qué tiene que pasar para que la tesis funcione</w:t>
      </w:r>
    </w:p>
    <w:p>
      <w:pPr>
        <w:spacing w:after="100"/>
      </w:pPr>
      <w:r>
        <w:t xml:space="preserve">La tesis depende de que el crecimiento orgánico vuelva al 4 % en 2027 gracias a las aperturas. La señal de que no se cumple sería un tercer trimestre por debajo del +3 % (la guía exige un segundo semestre en torno al 4 %) o una guía de 2027 con ventas por debajo de 2.600 M EUR. El margen de EE. UU. es la segunda condición: por debajo del 12 %, la expansión resta valor.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caso base exigen aceleración.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Alemania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61 % de las ventas y casi todo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unos 4-5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compra de 410 M EUR llega a rendir.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Aperturas netas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en el 1S26 (plan de 70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50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del crecimiento previsto.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Günther Fielmann abrió su primera óptica en Cuxhaven el 21 de septiembre de 1972 con una idea que sigue definiendo la empresa: gafas a la vista del cliente, garantías amplias y precios bajos [28]. En 1981 ofreció a los asegurados públicos monturas de moda sin coste adicional, el origen del «Nulltarif» [28]. Tras la reunificación entró en los nuevos Länder, salió a bolsa en 1994 y con ese capital abrió Austria, Polonia y Suiza a finales de los noventa [28]. En 2012 la mayoría del capital pasó a una fundación familiar y en 2019 Marc Fielmann, hijo del fundador, asumió la dirección [29]. Con él la empresa pasó de líder centroeuropeo a tercer grupo óptico mundial por ventas: entradas en Eslovenia (2019), España (2020), Chequia (2021) y Estados Unidos (2023), y la audiología como unidad de negocio desde 2024 [1]. La familia controla el 72,9 % del capital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Günther Fielmann abre la primera tienda en Cuxhaven (21 de septiembre)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Monturas de moda sin coste para los asegurados públicos: nace el modelo de precio cero que da a Fielmann el volumen en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Muro, expansión a los nuevos Länder del este de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que financia la expansión internacional (Austria, Polonia y Suiza a finales de los noventa)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cajas públicas dejan de pagar casi todas las gafas; Fielmann lanza con HanseMerkur un seguro de gafas a precio cero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traspasa la mayoría del capital a una fundación familiar; entra Marc Fielmann en la empresa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Fielmann asume la dirección; arranca la estrategia Vision 2025 y la entrada en Eslovenia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España con la compra de Medop (Medical Óptica Audición), a la que se suma Óptica &amp; Audiología Universitaria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Estados Unidos con SVS Vision (Michigan)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el fundador (3 de enero) y se compra Shopko Optical (1 de julio), con lo que el grupo llega a 226 consultas en 17 estados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Vision 2025 (ventas +70 % en seis años) y presentación de Vision 2035, con objetivo de unos 4.000 M EUR de ventas en 2030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diez sociedades ópticas y auditivas en Luxemburgo por 38,5 M EUR (1 de enero) y plan de 70 aperturas en el año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Fielmann vende gafas graduadas, lentes de contacto, gafas de sol y audífonos, y presta servicios de salud ocular. En 2025 la óptica supuso el 89,2 % de las ventas (2.172,7 M EUR), la audiología el 6,3 % (153,0 M EUR) y los servicios de salud ocular el 2,5 % [1]. Dentro de la óptica, cristales y monturas facturaron 1.869,2 M EUR, lentes de contacto 208,1 M EUR y gafas de sol 95,4 M EUR [1]. Atiende a unos 30 millones de clientes con 1.262 tiendas a cierre de 2025 (633 en Alemania, 135 en España, 48 en Suiza, 47 en Austria, 173 en otros países europeos y 226 consultas en 17 estados de EE. UU.) y 1.299 a junio de 2026, 475 de ellas con estudio de audiología [1, 7]. Es diseñador, fabricante, mayorista y minorista: en Rathenow fabrica y monta los cristales y los entrega en tienda al día siguiente (5,4 millones de cristales en 2025) [1]. En EE. UU. el modelo es distinto: optometristas en plantilla hacen el examen médico y cobran en gran parte a aseguradoras de visión [1].</w:t>
      </w:r>
    </w:p>
    <w:p>
      <w:pPr>
        <w:pStyle w:val="Heading2"/>
      </w:pPr>
      <w:r>
        <w:t xml:space="preserve">Cómo gana dinero</w:t>
      </w:r>
    </w:p>
    <w:p>
      <w:pPr>
        <w:spacing w:after="100"/>
      </w:pPr>
      <w:r>
        <w:t xml:space="preserve">El margen bruto es muy alto y estable, del 79,9 % en 2025 y del 80,1 % en el primer semestre de 2026, porque Fielmann fabrica sus cristales y diseña sus monturas [1, 7]. El coste decisivo es el personal: el 41,8 % de las ventas en 2025 (43,6 % en 2024), de ahí el apalancamiento operativo [1]. El negocio vive del volumen: 9,5 millones de gafas en 2025, 6,7 millones en Alemania [1]. Estimación propia: Fielmann ingresa en Alemania unos 220 EUR por gafa vendida (todos los productos incluidos), frente a un precio medio de mercado de unos 460 EUR sin IVA por gafa graduada completa [1, 19]. No hay contratos: la recurrencia descansa en el cambio de graduación y en una retención cercana al 90 % [1]. Europa da un margen EBITDA ajustado del 25,1 % y EE. UU. del 12,5 % [8]. Las ventas se reparten casi a partes iguales entre semestres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cliente es el consumidor final, con unos 30 millones de clientes y una satisfacción del 91 % en 2025 [1]. En Alemania la caja pública solo paga los cristales de menores de 18 años y de adultos con miopías o hipermetropías de más de 6 dioptrías, y nunca la montura [31]. En audífonos sí paga: 1.498,88 EUR sin IVA por adaptación bilateral, y Fielmann cobró 13,0 M EUR de las cajas por reparaciones en 2025 [1, 32]. En EE. UU. el 68 % de la población tiene seguro de visión y la aseguradora media el precio [1]. Poder de precios: el margen bruto se mantuvo en el 79,9 % con un gasto de personal +3,1 %, y la cuota en unidades en Alemania subió del 56 % al 57 % con el mercado cayendo un 1,7 %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consolidadas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(+7,8 % a tipo constante; orgánico +3,6 %)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la primera consolidación anual completa de Shopko Optical [1, 14]. En el 1S26, +1,8 % (+2,3 % a tipo constante: 1,7 % orgánico y 0,6 % compras)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vendidas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año completo de Shopko Optical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 (2025); 1.299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en 2025; +37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776 en 2019, 870 en 2020, 913 en 2021, 968 en 2022 y 1.086 en 2023 [2, 4]. Plan de 70 aperturas netas en 2026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con audiología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(dic-25); 475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en doce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 700 estudios en Europa en 2030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Audífonos vendidos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142.000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audiología de 153,0 M€ (+8,1 %)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Europa /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 14,9 %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 12,5 %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24,8 % en Europa y 16,2 % en EE. UU.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trimestre de 2026 +4,5 %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Satisfacción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declarado para 2026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óptica minorista en Alemania (gafas graduadas, lentes de contacto y gafas de sol), que da el 61 % de las ventas externas de Fielmann [1]. Se usa la serie del ZVA, la asociación de ópticos, en euros con IVA: es la única pública y Fielmann la cita [1, 16]. Segunda fuente, las estimaciones de Fielmann: Europa suma unos 40.000 M EUR y 60 millones de gafas al año, y EE. UU. 69.500 M USD (Vision Council) [1]. La audiología es adyacente: en Alemania, 1,7 millones de audífonos y unos 2.300 M EUR en 2025 (BIHA); en Europa, unos 6.000 M EUR (AEA-EFHOH, 2024) [1]. Sin IVA, el mercado alemán ronda los 5.900 M EUR (estimación propia)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7.025 M EUR en 2025 con IVA (≈ 5.900 M EUR sin IVA), 11,77 millones de gafas completas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n IVA (óptica minorista en Alemania, ZV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población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90 % de los alemanes de 60 años o más lleva gafas, y el envejecimiento eleva la demanda de cristales progresivos, los más caros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en jóvenes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y la propia industria citan el aumento de la miopía infantil; las soluciones de control de miopía de EssilorLuxottica crecieron un 22 % en 2025 [1,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y aplazamiento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vendidas en Alemania caen de 12,80 millones en 2021 a 11,77 en 2025, y los usuarios adultos de gafas bajan de 41,1 millones en 2019 a 38,7 millones: los usuarios ocasionales aplazan la compra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por gafa y mezcla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menos unidades, el mercado crece en valor (5.733 M EUR en óptica de gafas en 2025 frente a 5.378 M EUR en 2022) gracias a cristales y tratamientos de más valor; el precio medio de una gafa graduada completa ronda los 550 EUR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Audiología y salud ocular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Europa 50 millones de personas necesitan audífono y no lo tienen; Fielmann vendió 142.000 audífonos en 2025 (+10,9 %) e hizo más de 300.000 revisiones de salud ocular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público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Alemania la caja pública solo paga gafas a menores y miopías altas, lo que hace el mercado sensible al precio; en España el Plan Veo paga hasta 100 EUR por gafa a menores de 16 años hasta finales de 2026 [31, 34].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10.700 ópticas en Alemania y su número cae cada año desde 2013; los diez primeros crecieron un 2,6 % en 2025 frente al 0,6 % del mercado y ya suman el 54,8 % de las ventas. La competencia entre independientes es dura, pero Fielmann tiene el 25 % del valor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comprador es un consumidor atomizado y la caja pública paga una parte pequeña de las gafas en Alemania. En EE. UU. es mayor: el 68 % de la población compra con seguro de visión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domina cristales y monturas (13.600 M EUR de ventas mayoristas en 2025) y es a la vez competidor minorista con Apollo. Fielmann lo mitiga con producción propia de cristales (5,4 millones en 2025) y monturas propias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online no ha roto el mercado: solo el 2,3 % de las gafas se vendió por internet en 2025, y Mister Spex perdió un 16 % de ventas y dio un EBIT del −14,5 %. Hace falta personal titulado y la precalificación ante las cajas públicas [1, 16,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Lentes de contacto (casi la mitad se compran por internet), gafas de lectura baratas y cirugía refractiva. Las gafas con IA y los audífonos en gafa de EssilorLuxottica (más de 7 millones de gafas con IA vendidas en 2025) son el sustituto nuevo a vigilar [1, 16, 22].</w:t>
            </w:r>
          </w:p>
        </w:tc>
      </w:tr>
    </w:tbl>
    <w:p>
      <w:pPr>
        <w:spacing w:after="160" w:before="0"/>
      </w:pPr>
    </w:p>
    <w:p>
      <w:pPr>
        <w:pStyle w:val="Heading2"/>
      </w:pPr>
      <w:r>
        <w:t xml:space="preserve">Ciclo</w:t>
      </w:r>
    </w:p>
    <w:p>
      <w:pPr>
        <w:spacing w:after="100"/>
      </w:pPr>
      <w:r>
        <w:t xml:space="preserve">En términos reales el mercado alemán se contrae: en 2025 las ventas crecieron un 0,6 %, por debajo de la inflación, y las unidades cayeron un 2 %, cuarto año seguido de descenso [16]. En el primer semestre de 2026 Fielmann creció solo un 0,8 % en Alemania [7]. En 2020 el mercado cayó un 7,4 % por los cierres y en 2021 rebotó un 9 % [18]. En 2022, con inflación alta, creció un 2,0 % en valor con un 2,2 % menos de gafas [17]. No se ha encontrado serie del ZVA para 2008-09.</w:t>
      </w:r>
    </w:p>
    <w:p>
      <w:pPr>
        <w:pStyle w:val="Heading2"/>
      </w:pPr>
      <w:r>
        <w:t xml:space="preserve">Regulación</w:t>
      </w:r>
    </w:p>
    <w:p>
      <w:pPr>
        <w:spacing w:after="100"/>
      </w:pPr>
      <w:r>
        <w:t xml:space="preserve">En Alemania la caja pública solo paga cristales a menores de 18 años y a adultos con más de 6 dioptrías o baja visión grave, nunca la montura (artículo 33 del SGB V) [31]. Los importes fijos de las gafas se suprimieron en 2021 y en marzo de 2025 se renunció a fijar otros: rigen precios pactados [33]. Los audífonos sí tienen importe fijo desde abril de 2022: 1.498,88 EUR netos por adaptación bilateral [32]. La burocracia expulsa a los pequeños: el 17 % de los independientes ya había dejado el negocio con las cajas en 2024 y otro 21 % no renovará la precalificación [16, 21]. Suiza paga 180,67 CHF al año en gafas hasta los 18 años [35]. España dota 47,8 M EUR para ayudas de hasta 100 EUR por menor de 16 años hasta el 31 de diciembre de 2026 [34].</w:t>
      </w:r>
    </w:p>
    <w:p>
      <w:pPr>
        <w:pStyle w:val="Heading2"/>
      </w:pPr>
      <w:r>
        <w:t xml:space="preserve">Tendencias y disrupción</w:t>
      </w:r>
    </w:p>
    <w:p>
      <w:pPr>
        <w:spacing w:after="100"/>
      </w:pPr>
      <w:r>
        <w:t xml:space="preserve">La venta online de gafas no despega: 270.000 gafas en 2025, el 2,3 % del total, y solo el 6 % de las compras se decide en internet; en lentes de contacto, en cambio, casi la mitad se compra online [16, 20]. Fielmann responde priorizando su marca propia de lentillas frente al volumen (−4 % en el primer semestre de 2026) [8]. La tecnología juega a favor de las cadenas grandes: refracción con IA, telemedicina ocular (más de 300.000 revisiones con Ocumeda) y etiquetas de precio digitales [1, 8, 15]. El nuevo competidor es EssilorLuxottica con gafas inteligentes y audífonos en gafa, que vende también en sus tiendas Apollo [22]. La concentración avanza: los independientes cierran por falta de sucesor y sus locales los compran las cadenas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en la óptica minorista alemana, con el 25 % del valor y el 57 % de las gafas vendidas; n.º 1 en Suiza (19 % en valor, 46 % en unidades) y Austria (27 % y 35 %), 13 % de las unidades en España y algo más del 1 % en EE. UU. Tercer grupo óptico mundial por ventas [1,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 (Apollo-Optik en Alemania)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integrado: fabrica cristales y monturas y vende al público. Su cadena Apollo factura 820 M EUR en Alemania con 901 tiendas, incluidas franquicias (cuota estimada del 13,9 %), 0,9 M EUR por tienda frente a 2,3 M EUR de Fielmann. Margen operativo ajustado del 15,7 % [16,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minorista mundial de audífonos. En 2025 el crecimiento orgánico fue plano, Alemania en negativo, y cerró unas 160 clínicas; EBIT ajustado del 11,7 %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Specsavers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 privada en régimen de socios con casi 3.000 centros de óptica y audiología; 4.260 M GBP de ventas en el ejercicio cerrado en febrero de 2026 según Companies House. Más de 1.200 centros en Reino Unido; beneficio de unos 430 M GBP [27,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con 1.250 tiendas y optometristas en tienda; 1.987,5 M USD de ventas en el ejercicio 2025 (53 semanas). Es el modelo más parecido al de Fielmann en EE. UU.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WRBY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digital con 323 tiendas; 871,9 M USD de ventas (+13 %) y aún pérdida operativa de 5,3 M USD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Mister Spex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apuesta online se repliega: ventas −16 % en 2025, salida de mercados internacionales y 65 tiendas físicas en Alemania. Ya no presiona los precios: prioriza margen (margen bruto del 55,6 %)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Kind Hörgeräte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Cadena familiar de audífonos que también vende gafas: unos 103 M EUR en óptica en Alemania con 147 tiendas (estimación del ZVA). No publica cuentas consolidadas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propiamente dicho; la densidad de 633 tiendas en Alemania solo da comodidad y servicio postventa en cualquier ciudad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graduación es portátil y cambiar de óptica no cuesta nada; la retención del 90 % se apoya en las garantías y el seguro de gafas, no en una barrera [1,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asociada a precio bajo y garantía durante 50 años: más de una de cada dos gafas vendidas en Alemania es de Fielmann (57 %) y la satisfacción llega al 91 %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con fabricación propia de cristales en Rathenow: margen bruto del 79,9 % frente al 55,6 % de Mister Spex, y margen EBITDA ajustado del 22,6 % en Alemania pese a cobrar unos 220 EUR por gafa frente a unos 460 EUR netos de media del mercado (estimación propia) [1, 8,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tienda alemana factura unos 2,3 M EUR, frente a 0,9 M EUR de Apollo y 0,55 M EUR de media del sector (estimación propia sobre datos del ZVA); el mercado no admite un segundo actor de ese tamaño [5].</w:t>
            </w:r>
          </w:p>
        </w:tc>
      </w:tr>
    </w:tbl>
    <w:p>
      <w:pPr>
        <w:spacing w:after="160" w:before="0"/>
      </w:pPr>
    </w:p>
    <w:p>
      <w:pPr>
        <w:pStyle w:val="Heading2"/>
      </w:pPr>
      <w:r>
        <w:t xml:space="preserve">Amenazas</w:t>
      </w:r>
    </w:p>
    <w:p>
      <w:pPr>
        <w:spacing w:after="100"/>
      </w:pPr>
      <w:r>
        <w:t xml:space="preserve">La amenaza más seria es EssilorLuxottica: es a la vez proveedor dominante, dueño de Apollo y pionero de las gafas inteligentes y los audífonos en gafa, que podrían desplazar parte de la compra hacia sus marcas [22]. Es una amenaza de probabilidad media a cinco años. La segunda es el consumo alemán: con el 57 % de las unidades, Fielmann ya no puede crecer quitando cuota y depende de un mercado que pierde volumen [1, 16]. En lentes de contacto la venta online sí presiona, y Fielmann ya ha aceptado perder volumen (−4 %) [8]. En EE. UU. las aseguradoras de visión fijan el precio y el margen EBITDA cayó al 12,5 % [8]. La falta de ópticos titulados limita la expansión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2019-2025: ingresos </w:t>
      </w:r>
      <w:r>
        <w:rPr>
          <w:b/>
          <w:bCs/>
        </w:rPr>
        <w:t xml:space="preserve">8,2 %</w:t>
      </w:r>
      <w:r>
        <w:t xml:space="preserve">, EBITDA </w:t>
      </w:r>
      <w:r>
        <w:rPr>
          <w:b/>
          <w:bCs/>
        </w:rPr>
        <w:t xml:space="preserve">6,4 %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1.521 M€ en 2019 a 2.435 M€ en 2025 (TCAC del 8,2 %), con una parte importante comprada: España en 2020 y 2022, EE. UU. en 2023 y 2024 [1, 2, 3, 4, 5, 6]. En 2024 el crecimiento del 14,8 % fue un 7 % orgánico y un 8 % por compras; en 2025 el 7,4 % fue un 3,6 % orgánico y el resto el año completo de Shopko Optical [1, 2]. En el 1S26 las ventas crecieron solo un 1,8 % (1,7 % orgánico), con Alemania al +0,8 % [7, 8].</w:t>
      </w:r>
    </w:p>
    <w:p>
      <w:pPr>
        <w:spacing w:after="100"/>
      </w:pPr>
      <w:r>
        <w:t xml:space="preserve">El margen EBITDA reportado cayó del 25,3 % de 2019 al 19,3 % de 2022 por la inflación salarial y los costes de transformación, y se recuperó hasta el 23,0 % en 2025 (EBITDA ajustado del 23,8 %): la mejora de 2025 viene de gastos de personal que crecieron un 3,2 % frente a ventas del 7,4 % y de EE. UU., que pasó del 6,3 % al 13,5 % de margen reportado [1]. En el 1S26 el margen se sostuvo (23,4 % reportado) pese a ventas casi planas [7]. Años no comparables: 2020 (cierres por la pandemia), 2023 y 2024 (cambios de perímetro) [1, 2, 6].</w:t>
      </w:r>
    </w:p>
    <w:p>
      <w:pPr>
        <w:pStyle w:val="Heading2"/>
      </w:pPr>
      <w:r>
        <w:t xml:space="preserve">Ajustes y partidas no recurrentes</w:t>
      </w:r>
    </w:p>
    <w:p>
      <w:pPr>
        <w:spacing w:after="100"/>
      </w:pPr>
      <w:r>
        <w:t xml:space="preserve">La empresa publica EBITDA y BAI ajustados desde 2023 [3]. Conciliación de la propia empresa: en 2023, EBITDA reportado 401,0 M€ y ajustado 398,5 M€ (ajustes de -2,4 M€: 3,6 de compras e integración, 5,5 de reorganización y -11,6 de otros ingresos no recurrentes) [2]; en 2024, 471,1 y 491,9 M€ (20,8 M€: 7,6 de compras e integración, 2,6 de reorganización y 10,5 de otros, entre ellos una dotación de 13,0 M€ por retenciones y cotizaciones de ejercicios anteriores y una plusvalía de 2,5 M€ por la venta parcial de una participada) [1, 2]; en 2025, 559,8 y 580,6 M€ (20,8 M€: 8,0 de integración en EE. UU., 4,0 de reorganización y 8,8 de otra dotación por retenciones y cotizaciones de años anteriores) [1]; en el 1S25, 286,1 y 291,9 M€ (5,8 M€); en el 1S26, 291,8 y 295,7 M€ (3,9 M€: 1,5 de integración en EE. UU. y España, 0,9 de reorganización y 1,5 de la transformación en EE. UU.) [7]. En 2022 no hubo cifra ajustada [3]. Los costes de integración y reorganización aparecen todos los años y la dotación por cotizaciones atrasadas se repitió en 2024 y 2025, así que aquí se usa el EBITDA reportado sin restar ninguna partida. En sentido contrario, el EBITDA de 2025 incluye 10,7 M€ de reversiones de deterioros de tiendas en otros ingresos, que la empresa no ajusta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 resultados de 2025 y del 1T26 la dirección (Marc Fielmann, consejero delegado, y Steffen Bätjer, director financiero) cerró la Vision 2025 por encima de su objetivo de ventas (2.400 frente a 2.000 M€) y presentó la Vision 2035, con metas para 2030 de unos 4.000 M€ de ventas (3.800-4.200) y un margen EBITDA ajustado de en torno al 25 % [1, 14]. Para 2026 guió ventas de 2.550-2.600 M€ (+5-7 %) y un EBITDA ajustado de 590-610 M€, avisando ya de costes de arranque por la fase de crecimiento [9].</w:t>
      </w:r>
    </w:p>
    <w:p>
      <w:pPr>
        <w:spacing w:after="100"/>
      </w:pPr>
      <w:r>
        <w:t xml:space="preserve">En la del 1S26, el 27 de agosto, el discurso cambió: rebajó la guía a 2.500-2.550 M€ de ventas (+2-5 %) y a 560-580 M€ de EBITDA ajustado (margen del 22-23 %), por debajo de los 580,6 M€ de 2025, y lo atribuyó a la menor previsión de ventas [7, 8]. El crecimiento del semestre fue del 2,3 % a tipo constante, con Alemania plana (+0,8 % en el 1T26) frente a España (+9 % en el 2T26) [8, 14]. La dirección apoya la aceleración del segundo semestre en 33 aperturas más (70 en el año, el triple que en 2025), contratación de optometristas y refracción con inteligencia artificial [8]. Solo se dispone de las presentaciones, no de las transcripciones: no se sabe qué preguntaron los analistas. Las cifras trimestrales salen de los informes del 3T24, 1T25, 1S25, 3T25, 1T26 y 1S26; los cuartos trimestres son el año menos los nueve meses [1, 7, 9, 10, 11, 12,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Óptica del Penedés (Óptica &amp; Audiología Universitaria, España), 80 % comprado en 2020 por 211,1 M€; entra con minoritarios del 20 %.; 2022: Ibervisión, Medop y Elaboria (Bilbao), consolidadas el 31-dic-22: entran en balance de 2022 y en la cuenta desde 2023.; 2023: SVS Vision (EE. UU., 82 tiendas) desde el 1-sep-23, Eyevious y Ocumeda: solo cuatro meses o menos en la cuenta de 2023.; 2024: Shopko Optical (EE. UU.) desde el 1-jul-24, 278,5 M€: medio año en la cuenta de 2024 y año completo en 2025.; 2026: Diez sociedades de óptica y audiología en Luxemburgo desde el 1-ene-26, 38,5 M€: 8,0 M€ de ventas en el 1S26.).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2022 Fielmann no tenía deuda bancaria y mantenía caja y valores por encima de 230 M€ [4, 6]. Las compras de España (2022) y EE. UU. (2023-2024) consumieron esa caja y se financiaron con créditos a corto: 305 M€ a dic-24, refinanciados en 2025 con el Schuldschein de 275 M€ [1, 2]. La deuda financiera neta sin arrendamientos pasó de -235 M€ (caja neta) en 2021 a 204 M€ en 2024 y 53 M€ en 2025; con arrendamientos, la empresa da 1,2 veces el EBITDA reportado a dic-25 y 1,1 a jun-26 (0,1 veces sin arrendamientos) [8, 14]. El circulante es bajo: proveedores y existencias casi se compensan, y los pasivos contractuales de seguros financian parte del negocio. En el 1S26 el circulante absorbió unos 50 M€ (clientes +22, existencias +16 y divisa +12) [8]. Clientes de 2024 y 2025 incluye los activos contractuales de gafas en fabricación (44,4 M€ a dic-24) tras la reexpresión por NIIF 15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1.000</w:t>
      </w:r>
      <w:r>
        <w:t xml:space="preserve">, conversión </w:t>
      </w:r>
      <w:r>
        <w:rPr>
          <w:b/>
          <w:bCs/>
        </w:rPr>
        <w:t xml:space="preserve">99 %</w:t>
      </w:r>
      <w:r>
        <w:t xml:space="preserve"> del beneficio neto; adquisiciones 750, dividendos 672, recompras 2.</w:t>
      </w:r>
    </w:p>
    <w:p>
      <w:pPr>
        <w:spacing w:after="100"/>
      </w:pPr>
      <w:r>
        <w:t xml:space="preserve">La conversión es alta: el flujo operativo fue el 89 % del EBITDA en 2025 según la empresa, con 16 M€ de ayuda del circulante [14]. Años anómalos: 2022 (245 M€, por la acumulación de existencias y la reexpresión que pasó los intereses a financiación) y el 1S26 (188 M€ frente a 236 M€, por circulante) [3, 7]. Desde 2022 los intereses pagados, incluidos los de arrendamientos, van en financiación; hasta 2021 iban en explotación y los pagos por arrendamientos de 2019-2021 incluyen su parte de intereses [3, 4, 6]. Adquisiciones incluye las compras de minoritarios (64,4 M€ en 2024, sobre todo el 20 % de Óptica del Penedés) y dividendos incluye los pagos a minoritarios; no se cuentan las compras y ventas de valores de la tesorería [1, 2, 3, 4, 5, 6].</w:t>
      </w:r>
    </w:p>
    <w:p>
      <w:pPr>
        <w:spacing w:after="100"/>
      </w:pPr>
      <w:r>
        <w:t xml:space="preserve">La empresa no separa el capex de mantenimiento del de crecimiento. Estimación propia: con unas amortizaciones de inmovilizado e intangibles de 105,6 M€ en 2025 frente a un capex de 115,8 M€ (y 45,5 M€ en el 1S26 con 37 aperturas), la mayor parte del capex reciente es de reposición y modernización, y el plan de 70 aperturas lo eleva en 2026 [1, 7]. Altas de derechos de uso (nuevos alquileres, incluidas las de las compras): 449,1 M€ en 2019 (primera aplicación de NIIF 16), 134,0 en 2020, 116,6 en 2021, 114,4 en 2022, 144,3 en 2023, 172,5 en 2024 y 154,1 en 2025 [1, 2, 4, 5,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(Deloitte GmbH hasta 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el grupo sin interrupción desde el ejercicio 2023, tras Deloitte [1, 4]; la opinión de 2025 es limpia y su asunto clave es el test de deterioro del fondo de comercio (424,6 M€, el 17,1 % del activo) [1]. Lo más relevante es que las cuentas se han reexpresado tres años seguidos: en 2023 los pasivos no financieros de 2022; en 2024 el reconocimiento del Seguro Coste Cero (pasivos contractuales +106,1 M€ a dic-23 contra reservas y ventas brutas en lugar de netas); y en 2025 el reconocimiento de las gafas a medida a lo largo de la fabricación, que convirtió 29,8 M€ de existencias en 41,7 M€ de activos contractuales [1, 2, 3]. Los ajustes a la cifra de EBITDA ajustado incluyen dotaciones por retenciones y cotizaciones de ejercicios anteriores en dos años seguidos (13,0 y 8,8 M€), y el EBITDA de 2025 lleva 10,7 M€ de reversiones de deterioro de tiendas sin ajustar [1, 2]. El fondo de comercio de Norteamérica (197,0 M€) no se ha deteriorado; la empresa dice que ni +1 p.p. de tasa ni -10 % de flujos exigirían deterioros materiales [1]. No hay pagos en acciones relevantes ni capitalización de I+D significativa.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Reexpresiones contables en tres ejercicios seguidos (2023, 2024 y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Afectan a reconocimiento de ingresos (Seguro Coste Cero, gafas a medida) y pasivos; el impacto en resultado es pequeño (+0,3 M€ en 2024) pero el balance cambió en más de 100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y reorganización todos los años desde 2023 y dotación por cotizaciones de años anteriores en 2024 y 2025; el EBITDA ajustado supera al reportado en 20,8 M€ en 2024 y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Reversiones de deterioro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 M€ en 2025 en otros ingresos de explotación, mientras los deterioros van a amortizaciones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EE. UU. con rentabilidad todavía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197,0 M€ de fondo de comercio en Norteamérica con un BAI ajustado de 8,2 M€ en 2025 y margen en descenso en el 1S26 [1,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6,5 % · </w:t>
      </w:r>
      <w:r>
        <w:rPr>
          <w:b/>
          <w:bCs/>
        </w:rPr>
        <w:t xml:space="preserve">WACC</w:t>
      </w:r>
      <w:r>
        <w:t xml:space="preserve">: 7,7 %.</w:t>
      </w:r>
    </w:p>
    <w:p>
      <w:pPr>
        <w:spacing w:after="100"/>
      </w:pPr>
      <w:r>
        <w:t xml:space="preserve">Fielmann crea valor, pero menos que antes de comprar fuera. El ROIC fue del 20,7 % en 2019, cayó al 9,5 % en 2022 (inflación salarial y tiendas de España recién compradas) y se ha recuperado al 13,9 % en 2025, frente a un WACC del 7,74 %. Lo mueve sobre todo el margen: el EBITDA reportado pasó del 19,3 % al 23,0 % de las ventas entre 2022 y 2025 [1, 4].</w:t>
      </w:r>
    </w:p>
    <w:p>
      <w:pPr>
        <w:spacing w:after="100"/>
      </w:pPr>
      <w:r>
        <w:t xml:space="preserve">El capital invertido desde 2019 explica la caída: el fondo de comercio subió de 54,6 a 424,6 M EUR con las compras de España y EE. UU. [1]. Estimación propia con la información por segmentos de 2025: el BAI después de un 30 % de impuestos rinde un 44 % sobre los activos no corrientes sin derechos de uso en Alemania (213,4 M EUR de BAI sobre 340,5 M EUR), un 4,4 % en España (18,6 sobre 298,7) y prácticamente cero en Norteamérica (0,8 sobre 382,5) [1]. </w:t>
      </w:r>
      <w:r>
        <w:rPr>
          <w:b/>
        </w:rPr>
        <w:t xml:space="preserve">Las compras de España y EE. UU. todavía no cubren el coste de capital</w:t>
      </w:r>
      <w:r>
        <w:t xml:space="preserve">; España se acerca, EE. UU. está lejos. Los comparables minoristas rinden menos: National Vision un 4,4 % y Amplifon un 6,3 % de ROIC [64, 69].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222,5 M€ y otras inversiones financieras corrientes de 4,4 M€ a dic-25, más líneas de circulante no dispuestas de 225,0 M€ [1]. A 30-jun-26, caja de 264,9 M€; tras el dividendo de 117,6 M€ pagado en julio, unos 150 M€ según la empresa [7, 8]. Deuda bancaria de 278,8 M€ a largo plazo, casi toda el Schuldschein de 275 M€ de mayo de 2025 (tramos a 3, 5 y 7 años, tipos fijos y variables del 3,3 % al 4,0 %; 75,0 M€ vencen a más de cinco años)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los documentos de la empresa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contratos de financiación no tienen covenants financieros [1]. El pasivo por arrendamientos (599,9 M€ a dic-25, 594,4 M€ a jun-26) es el mayor pasivo financiero, con 241,3 M€ a más de cinco años [1, 7]. Pensiones pequeñas: 6,4 M€ de provisión [1]. Pasivos contractuales relevantes en el pasivo no financiero: el Seguro Coste Cero (primas cobradas por adelantado) y los forfaits de reparación de audífonos; la reexpresión de 2024 los aumentó en 106,1 M€ a dic-23 [2]. Opciones y pagos aplazados: la opción de venta del 20 % de Óptica del Penedés (56,2 M€ en 2022, 53,8 M€ en 2023) se liquidó en 2024 [2, 4]; a dic-25 quedan 1,2 M€ de pagos aplazados de compras y 2,1 M€ de una opción de compra y venta [1]. Las participaciones de socios de franquicias alemanas se registran como pasivo (1,6 M€) [1]. Dotación por retenciones y cotizaciones de ejercicios anteriores: 13,0 M€ en 2024 y 8,8 M€ en 2025 [1, 2].</w:t>
      </w:r>
    </w:p>
    <w:p>
      <w:pPr>
        <w:pStyle w:val="Heading1"/>
      </w:pPr>
      <w:r>
        <w:t xml:space="preserve">12. Asignación de capital</w:t>
      </w:r>
    </w:p>
    <w:p>
      <w:pPr>
        <w:pStyle w:val="Confianza"/>
        <w:spacing w:after="100"/>
      </w:pPr>
      <w:r>
        <w:t xml:space="preserve">Confianza: Media</w:t>
      </w:r>
    </w:p>
    <w:p>
      <w:pPr>
        <w:spacing w:after="100"/>
      </w:pPr>
      <w:r>
        <w:t xml:space="preserve">La empresa reparte en torno al 55-65 % del beneficio atribuido: el dividendo de 2025, 1,40 € por acción (117,6 M€, +22 %), supone el 57,2 %, frente al 62,6 % de 2024 [1]. El dividendo de 2019 se suprimió por la pandemia y el de 2022 bajó a 0,75 € [4]. Declara que financia las inversiones ordinarias (aperturas en mercados existentes) con el flujo libre y las grandes con financiación específica [1]. No hay programa de recompras: solo compras pequeñas de autocartera (4,4 M€ en el 1S26) [7]. La junta autorizó un capital autorizado de hasta 10 M€ hasta julio de 2026, no usado [1]. Las prioridades de la Vision 2035 son el crecimiento orgánico en Europa, EE. UU. y audiología, con compras selectivas en EE. UU.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del Penedés (Óptica &amp; Audiología Universitaria, España),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(185,0 M€ sin caja ni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sobre el 20 % restante ejercida en 2024 (pasivo de 53,8 M€). España creció de 111,8 M€ de ventas en 2021 a 211,7 M€ en 2025 con margen EBITDA del 24,1 %; fondo de comercio de España de 153,2 M€ sin deterioro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Ibervisión, Medop y Elaboria (Bilbao,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puente de 24,5 M€ devuelto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segmento España; sin deterioro de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(EE. UU., 82 tiendas en Michigan y otros ocho estados)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a corto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plataforma estadounidense; Norteamérica pasó de EBITDA negativo en 2023 a 37,5 M€ reportados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(comercio electrónico, Canadá/EE. UU.) y Ocumeda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28,2 M€ y Ocumeda 14,8 M€; precio total de las combinaciones de 2023, 146,0 M€ según el auditor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(Green Bay,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Créditos a corto de 305 M€, refinanciados con un Schuldschein de 275 M€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141,4 M€; Norteamérica con margen EBITDA ajustado del 16,2 % en 2025 pero del 12,5 % en el 1S26 por la transformación; sin deterioro [1, 2,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sociedades de óptica y audiología en Luxemburgo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23,5 M€; 8,0 M€ de ventas en el 1S26 [7].</w:t>
            </w:r>
          </w:p>
        </w:tc>
      </w:tr>
    </w:tbl>
    <w:p>
      <w:pPr>
        <w:spacing w:after="160" w:before="0"/>
      </w:pPr>
    </w:p>
    <w:p>
      <w:pPr>
        <w:spacing w:after="100"/>
      </w:pPr>
      <w:r>
        <w:t xml:space="preserve">Entre 2019 y 2025 el grupo generó 2.361 M€ de flujo operativo y destinó 648 M€ a capex, 633 M€ a principal de arrendamientos, 750 M€ a compras (incluidos minoritarios) y 672 M€ a dividendos, y pasó de caja neta a una deuda bancaria de 280 M€ [1, 2, 3, 4, 5, 6]. Las compras han llevado el fondo de comercio de 54,6 M€ en 2019 a 424,6 M€ en 2025 sin deterioros relevantes (3,0 M€ de deterioros de activos en 2024 y 10,3 M€ en 2023, incluido algo de fondo de comercio) [1, 2]. España es una compra que ha cumplido: ventas casi duplicadas y margen del 24 %. EE. UU. está a medio camino: 410 M€ pagados por SVS, Eyevious y Shopko para 276,5 M€ de ventas y 37,5 M€ de EBITDA reportado en 2025 (antes de NIIF 16 y de los ajustes, mucho menos), y el margen ha retrocedido en 2026 [1, 7]. La empresa no ha publicado múltiplos pagados.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 estrategia, gestión de categorías y compras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el consejo de dirección desde 2016 y primer ejecutivo único desde el 21-nov-2019 [38, 40]. Con él las ventas consolidadas pasaron de 1.521 M EUR en 2019 a 2.440 M EUR en 2025 y el EBITDA ajustado de 2025 llegó a 580,6 M EUR [1, 38]. Tiene el 9,14 % directo y, como miembro del pacto familiar, se le imputan los derechos de voto del 72,9 %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Baetjer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finanzas, control de gestión, jurídico y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consejo de dirección el 15-ago-2023 y relevó como director financiero a Georg Alexander Zeiss el 1-ene-2024, en una sucesión anunciada [3]. El consejo de supervisión renovó su nombramiento y su contrato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Bastian Koerber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ventas, marketing, expansión e inmuebles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 dirección más antiguo después del CEO; llevó también control de gestión hasta agosto de 2023 [3, 40]. Responde de la red comercial, que pasó de 1.240 a 1.262 tiendas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Katja Gross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personas (CHRO): personas y organización, digital y TI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el 1-mar-2021; dirigió además fabricación y logística hasta el 28-feb-2025 [1,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S. Lothes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fabricación y logística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del grupo con responsabilidad global sobre funciones concretas desde enero de 2024, entró en el consejo de dirección el 1-mar-2025 [1, 3]. En 2025 la planta de Rathenow pasó de 4,9 a 5,4 millones de lentes fabricadas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Prof. Dr. Mark K. Binz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(Binz &amp; Partner) y profesor honorario; consejero de supervisión desde 1994 y presidente, preside también las comisiones de auditoría, de personal, de nombramientos y de mediación [1, 41]. Reelegido en julio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previsión cuantitativa: la dirección dijo en abril de 2020 que no podía hacerla por el cierre de tiendas; solo objetivos no financieros (más de 25 aperturas y 40 reformas)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financiero quedó «muy por detrás» de lo esperado antes de la pandemia; los objetivos no financieros se cumplieron (94 tiendas nuevas, 44 reformas)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Escenario central: ventas +17-19 % y margen antes de impuestos del 12 %; a mitad de año, ventas de unos 1.700 M EUR y beneficio antes de impuestos de al menos 200 M EUR [5,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1.680 M EUR (+17,4 %), beneficio antes de impuestos de 209,7 M EUR y margen del 12,5 %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escenarios: ventas de 1.750-1.850 M EUR y margen antes de impuestos del 10-13 %; rebajada por hechos relevantes el 4-jul-2022 y el 2-nov-2022 [4,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más de 1.750 M EUR, pero margen antes de impuestos del 9,1 %, por debajo del mínimo del 10 %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+7-10 %, EBITDA +9-21 %, margen antes de impuestos del 9-11 % y gafas vendidas +4-8 %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+11,9 %, EBITDA +20,8 % y margen antes de impuestos del 9,8 %; gafas vendidas +3,6 %, por debajo del rango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2.200 M EUR (+12 %), margen EBITDA igual o algo mayor que el 20,3 % de 2023 y margen antes de impuestos algo mejor que el 9,6 % [2,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+14,8 % (con la compra de Shopko Optical), margen EBITDA del 20,8 % y margen antes de impuestos del 9,7 %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casi 2.500 M EUR (+8 %), EBITDA ajustado de unos 580 M EUR (margen de en torno al 24 %) y beneficio antes de impuestos ajustado de unos 270 M EUR [1,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2.440 M EUR (+7,4 %), EBITDA ajustado de 580,6 M EUR (23,8 %) y beneficio antes de impuestos ajustado de 312,5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Vision 2025 (plan de 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largo plazo, 12 millones de gafas al año y ventas externas de 2.300 M EUR con un crecimiento del 4-6 % anual; margen antes de impuestos objetivo del 16 % [4,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consolidadas de 2.440 M EUR en 2025, con compras en España y EE. UU.; 9,5 millones de gafas y margen antes de impuestos ajustado del 12,8 %. La empresa da el plan por cumplido con el margen EBITDA ajustado del 24 % que fijó después [1,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abril de 2026: ventas de 2.550-2.600 M EUR (+5-7 %) y EBITDA ajustado de 590-610 M EUR (margen de en torno al 23 %)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por hecho relevante el 20-ago-2026 a ventas de 2.500-2.550 M EUR y EBITDA ajustado de 560-580 M EUR (margen del 22-23 %) por la debilidad del consumo en Alemania; confirmada el 27-ago-2026 [7,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Cúpula estable: Marc Fielmann es primer ejecutivo desde 2019 y el relevo en finanzas se solapó cuatro meses y medio [3]. El historial de guía es mixto: cumplió en 2021 y 2024, falló el margen en 2022 tras dos rebajas, y en 2023 y 2025 acertó en beneficio pero quedó algo corto en volumen o en ventas [1, 3, 4]. La Vision 2025 se superó en ventas con compras pero no llegó al margen antes de impuestos del 16 % fijado al principio [1, 4]. La guía de 2026 duró menos de cuatro meses: de abril a agosto [1, 50]. </w:t>
      </w:r>
      <w:r>
        <w:rPr>
          <w:b/>
        </w:rPr>
        <w:t xml:space="preserve">La sucesión depende de la familia</w:t>
      </w:r>
      <w:r>
        <w:t xml:space="preserve">: el pacto del 72,9 % decide el consejo de supervisión, y del plan de sucesión del CEO solo consta que lo trata la comisión de personal [39,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Mark K. Binz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(representante de los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personal, nombramientos y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 Alexander Zeiss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(representante de los accionistas); ex director financiero, consejero de dirección de KORVA SE y presidente de la fundación benéfica Fielmann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Christian W. E. Haub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Tengelmann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Lara Kufferath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CEO de GKD – Gebr. Kufferath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Carolina Mueller-Moehl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presidenta de Mueller-Moehl Group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Marie-Christine Ostermann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directora de Rullko Grosseinkauf</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 Paolo Righi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Karl Lagerfeld International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Sarna Marie Elisabeth Roeser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de FAIR VC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Greve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del consejo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personal;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Heiko Diekhoener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Schreckenberg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Furcht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Jonas Appelhans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Schmiedecke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Kirsten Joehnck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Sandra Scheidweiler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Prof. Dr. Mark K. Binz, Marie-Christine Ostermann, Pier Paolo Righi, Ralf Greve, Jana Furcht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79,7 %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KORVA SE (familia Fielmann, a través de la Fielmann Familienstiftung y fielmann INTER-OPTIK)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notificación de diciembre de 2022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Stichting Tranquilitati (fundación neerlandesa de la familia Fielmann)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y CEO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operaciones notificadas en 12 meses [39,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Fielmann-Lobron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para acciones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141.702 acciones a 30-jun-2026, frente a 54.489 un año antes [7,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Disperso; ningún otro accionista ha notificado el 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[1, 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el CEO cobró 2,93 M EUR: 1,04 M de fijo, 1,33 M de variable anual y 0,56 M a largo plazo [40]. Hasta 2025 todo el variable era un porcentaje del beneficio neto ajustado (1,20 % para el CEO; 70 % anual y 30 % a tres años) corregido por la satisfacción de clientes, con tope del 250 % del fijo: premia el beneficio, no el rendimiento del capital [40]. Desde 2026 el largo plazo se paga en acciones virtuales según el TSR frente al MDAX y la satisfacción de clientes, pero el TSR paga el 100 % en una banda de ±30 puntos frente al índice [48]. Hay recuperación del variable e indemnización de dos años como máximo [48]. </w:t>
      </w:r>
      <w:r>
        <w:rPr>
          <w:b/>
        </w:rPr>
        <w:t xml:space="preserve">El capital libre lo rechaza</w:t>
      </w:r>
      <w:r>
        <w:t xml:space="preserve">: estimación propia, el 77-80 % de sus votos presentes fue en contra en 2024, 2025 y 2026 [42, 44, 46].</w:t>
      </w:r>
    </w:p>
    <w:p>
      <w:pPr>
        <w:pStyle w:val="Heading2"/>
      </w:pPr>
      <w:r>
        <w:t xml:space="preserve">Operaciones vinculadas, estructura de control y defensas</w:t>
      </w:r>
    </w:p>
    <w:p>
      <w:pPr>
        <w:spacing w:after="100"/>
      </w:pPr>
      <w:r>
        <w:rPr>
          <w:b/>
        </w:rPr>
        <w:t xml:space="preserve">La familia Fielmann controla el 72,9 %</w:t>
      </w:r>
      <w:r>
        <w:t xml:space="preserve"> con un pacto de sindicación de 2013 sobre 61.243.017 votos entre KORVA SE, Stichting Tranquilitati, Marc Fielmann y Sophie Fielmann-Lobron: votan en bloque y cualquier venta a terceros exige el visto bueno de todos, con derecho de tanteo [1]. Hay una sola clase de acciones, un voto por acción y mayoría simple en junta: el pacto elige sola a los consejeros de supervisión de los accionistas [1]. No hay cláusulas de cambio de control ni blindajes [1, 48]. Las operaciones con la familia son pequeñas (0,3-0,5 M EUR al año) y el auditor revisa el informe de dependencia [1]. El consejo de supervisión da por suficientes dos independientes entre ocho representantes de los accionistas y considera independientes a tres con más de doce años, entre ellos el presidente, en el cargo desde 1994 [41].</w:t>
      </w:r>
    </w:p>
    <w:p>
      <w:pPr>
        <w:pStyle w:val="Heading2"/>
      </w:pPr>
      <w:r>
        <w:t xml:space="preserve">Señales de alerta</w:t>
      </w:r>
    </w:p>
    <w:p>
      <w:pPr>
        <w:pStyle w:val="ListParagraph"/>
        <w:numPr>
          <w:ilvl w:val="0"/>
          <w:numId w:val="2"/>
        </w:numPr>
        <w:spacing w:after="60"/>
      </w:pPr>
      <w:r>
        <w:t xml:space="preserve">El capital libre rechaza la remuneración de forma sistemática: en contra el 77 % de sus votos presentes en 2024, el 78-79 % en 2025 y el 80 % en 2026 (estimación propia), aunque el pacto familiar la aprueba con cerca del 90 % del total [42, 44, 46].</w:t>
      </w:r>
    </w:p>
    <w:p>
      <w:pPr>
        <w:pStyle w:val="ListParagraph"/>
        <w:numPr>
          <w:ilvl w:val="0"/>
          <w:numId w:val="2"/>
        </w:numPr>
        <w:spacing w:after="60"/>
      </w:pPr>
      <w:r>
        <w:t xml:space="preserve">El director financiero saliente, Georg Alexander Zeiss, dejó la dirección el 31-dic-2023 y entró en el consejo de supervisión por nombramiento judicial en 2024, sin el periodo de espera de dos años; lo eligió la junta de 2024 por la excepción legal para candidatos propuestos por accionistas con más del 25 % (KORVA SE). Es además gerente de INTEROPTIK-Verwaltungs-GmbH y consejero de dirección de KORVA SE, las sociedades de control, y está en las comisiones de auditoría y de personal [41, 45, 47].</w:t>
      </w:r>
    </w:p>
    <w:p>
      <w:pPr>
        <w:pStyle w:val="ListParagraph"/>
        <w:numPr>
          <w:ilvl w:val="0"/>
          <w:numId w:val="2"/>
        </w:numPr>
        <w:spacing w:after="60"/>
      </w:pPr>
      <w:r>
        <w:t xml:space="preserve">Su elección en 2024 recibió el voto en contra del 69 % del capital libre presente (estimación propia) [46, 47].</w:t>
      </w:r>
    </w:p>
    <w:p>
      <w:pPr>
        <w:pStyle w:val="ListParagraph"/>
        <w:numPr>
          <w:ilvl w:val="0"/>
          <w:numId w:val="2"/>
        </w:numPr>
        <w:spacing w:after="60"/>
      </w:pPr>
      <w:r>
        <w:t xml:space="preserve">La comisión de auditoría la preside el presidente del consejo de supervisión (31 años en el cargo) y la completan el ex director financiero y un representante de los trabajadores: no tiene mayoría de independientes [1, 41].</w:t>
      </w:r>
    </w:p>
    <w:p>
      <w:pPr>
        <w:pStyle w:val="ListParagraph"/>
        <w:numPr>
          <w:ilvl w:val="0"/>
          <w:numId w:val="2"/>
        </w:numPr>
        <w:spacing w:after="60"/>
      </w:pPr>
      <w:r>
        <w:t xml:space="preserve">Hecho relevante del 20-ago-2026: rebaja de la guía de 2026 menos de cuatro meses después de publicarla [1, 50]. En 2022 la guía se rebajó dos veces por hechos relevantes [4].</w:t>
      </w:r>
    </w:p>
    <w:p>
      <w:pPr>
        <w:pStyle w:val="ListParagraph"/>
        <w:numPr>
          <w:ilvl w:val="0"/>
          <w:numId w:val="2"/>
        </w:numPr>
        <w:spacing w:after="60"/>
      </w:pPr>
      <w:r>
        <w:t xml:space="preserve">Las elecciones al consejo de supervisión se votan en bloque y no candidato a candidato, contra la recomendación C.15 del código alemán; la empresa dice que lo cambiará en la próxima renovación [41].</w:t>
      </w:r>
    </w:p>
    <w:p>
      <w:pPr>
        <w:pStyle w:val="ListParagraph"/>
        <w:numPr>
          <w:ilvl w:val="0"/>
          <w:numId w:val="2"/>
        </w:numPr>
        <w:spacing w:after="60"/>
      </w:pPr>
      <w:r>
        <w:t xml:space="preserve">Auditor: PwC desde el ejercicio 2023, tras Deloitte; opinión sin salvedades en 2025 y honorarios de auditoría de 0,9 M EUR más 0,5 M EUR de su red [1,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rebajó en agosto de 2026 y se confirmó con el semestral del 27 de agosto: ventas de 2.500-2.550 M EUR (+2 % a +5 %), EBITDA ajustado de 560-580 M EUR (margen del 22-23 %) y margen de BAI ajustado de alrededor del 12 % [7, 8]. La guía inicial, del informe anual 2025, era más alta: ventas de 2.550-2.600 M EUR (+5 % a +7 %), EBITDA ajustado de unos 590-610 M EUR (margen en torno al 23 %) y margen de BAI ajustado del 12-13 % [1]. El recorte del punto medio es de 30 M EUR de EBITDA (−5 %) y la empresa lo atribuye sobre todo a la menor previsión de ventas [8]. A medio plazo mantiene el objetivo de la Vision 2035 para 2030: ventas de unos 4.000 M EUR y margen de EBITDA ajustado de aproximadamente el 25 %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 – 64,00</w:t>
            </w:r>
          </w:p>
        </w:tc>
      </w:tr>
    </w:tbl>
    <w:p>
      <w:pPr>
        <w:spacing w:after="160" w:before="0"/>
      </w:pPr>
    </w:p>
    <w:p>
      <w:pPr>
        <w:pStyle w:val="Heading2"/>
      </w:pPr>
      <w:r>
        <w:t xml:space="preserve">Revisiones de estimaciones</w:t>
      </w:r>
    </w:p>
    <w:p>
      <w:pPr>
        <w:spacing w:after="100"/>
      </w:pPr>
      <w:r>
        <w:t xml:space="preserve">No hay una serie gratuita del consenso a 3 y 12 meses. Lo que sí se puede medir es el ancla del consenso: la guía de EBITDA ajustado de 2026 bajó en agosto de 590-610 M EUR a 560-580 M EUR y la de ventas de 2.550-2.600 M EUR a 2.500-2.550 M EUR [1, 8]. El consenso actual de EBITDA de 2026 (568,8 M EUR) queda en la mitad baja de la nueva horquilla y el de ventas (2.517 M EUR), cerca de su suelo [52]. Para 2026 el consenso espera un BPA de 2,47 EUR, apenas un 1,6 % sobre los 2,43 EUR de 2025 [1, 52]. Stock Analysis, con datos de S&amp;P Global actualizados el 22-sep-2026, da el mismo precio objetivo medio (55,25 EUR) y un BPA de 2026 de 2,31-2,62 EUR [54].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Fielmann ha perdido un 22,4 % en un año con dividendos, frente al +4,7 % del SDAX y el +2,6 % de la distribución europea (STOXX Europe 600 Retail), y en diez años rinde un −4,1 % anual frente al +7,0 % del índice [51]. El máximo de 52 semanas (51,00 EUR) es del 21-oct-2025 y el mínimo (36,65 EUR), del 21-sep-2026 [51]. La mayor caída diaria del año (−6,6 %, 21-ago-2026) cae en agosto, el mes en que la empresa rebajó la guía de ventas y de EBITDA de 2026 [7, 51]. En 2025 la acción subió un 7,3 % mientras el SDAX ganaba un 25,3 %, pese a que el EBITDA ajustado creció un 18 % [1, 51]. La caída máxima de cinco años (−54,4 %) fue de noviembre de 2021 a octubre de 2022, con la inflación de costes. La volatilidad es del 24,6 % y la beta mensual de cinco años frente al SDAX, de 0,46 [51].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a 37,15 EUR, un 48 % por debajo del cierre de 2019 (72,00 EUR), mientras el BPA casi se ha doblado desde el bache de 2022: de 1,24 EUR a 2,43 EUR en 2025 [1, 51, 52]. La compresión del múltiplo no viene del beneficio sino de la percepción de riesgo: la entrada en EE. UU. (SVS Vision en 2023 y Shopko Optical en 2024) cambió el perfil de una óptica alemana sin deuda a un grupo con un préstamo Schuldschein de 275 M EUR y un negocio estadounidense en reestructuración [1, 2, 3, 7]. También subieron los tipos: el Bund a 10 años está en el 3,57 % [55]. 2020 se excluye: la pandemia cerró las tiendas y hundió el beneficio de ese año, lo que distorsiona su PER.</w:t>
      </w:r>
    </w:p>
    <w:p>
      <w:pPr>
        <w:pStyle w:val="Heading1"/>
      </w:pPr>
      <w:r>
        <w:t xml:space="preserve">18. Comparables cotizados</w:t>
      </w:r>
    </w:p>
    <w:p>
      <w:pPr>
        <w:pStyle w:val="Confianza"/>
        <w:spacing w:after="100"/>
      </w:pPr>
      <w:r>
        <w:t xml:space="preserve">Confianza: Media</w:t>
      </w:r>
    </w:p>
    <w:p>
      <w:pPr>
        <w:spacing w:after="100"/>
      </w:pPr>
      <w:r>
        <w:t xml:space="preserve">Seis cotizadas de salud visual y auditiva. EssilorLuxottica (fabricante y distribuidor óptico), Warby Parker y National Vision (cadenas ópticas de EE. UU.) cubren la óptica; Amplifon (cadena de audífonos), Sonova y Demant (fabricantes con red propia), la audición. Mister Spex queda fuera: su EBITDA es negativo (−4,9 M EUR en 2025) [74]. Specsavers es privada. Warby Parker y National Vision publican en US GAAP: su EBITDA lleva dentro el alquiler y su valor empresa excluye los arrendamientos operativos. El EBITDA de Amplifon de 2027 incluye GN Hearing, cuya compra aún no ha cerrado: no se da su múltiplo NTM [58, 71]. Cifras en millones de EUR con los tipos del BCE del 8-oct-2026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13,0x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13,2x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22,8x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2,8 + 1,16 × crecimiento; R² = 0,82. Para el crecimiento esperado de la empresa (5,4 %), el múltiplo ajustado es 9,0x y el valor por acción, 53,80.</w:t>
      </w:r>
    </w:p>
    <w:p>
      <w:pPr>
        <w:spacing w:after="100"/>
      </w:pPr>
      <w:r>
        <w:t xml:space="preserve">Con el puente a 30 de junio, Fielmann vale unas 6,5-7 veces su EBITDA (estimación propia: valor empresa de unos 3.870 M EUR sobre 565 M EUR de EBITDA reportado de los últimos 12 meses y unos 600 M EUR de los próximos) y unas 14 veces el BPA esperado [7, 52]. La mediana de los cinco comparables con dato de los próximos 12 meses es de 13,0 veces el EBITDA y 22,8 veces el beneficio [57, 58, 59, 60, 61, 62, 63, 64, 65, 66, 67, 68, 69, 70]. El descuento no se explica por el margen: el 23 % de Fielmann es como el de EssilorLuxottica, Amplifon y Demant, y más del doble del de las cadenas de EE. UU. Sí lo explican el crecimiento (3-6 % frente al 7-10 % de los fabricantes) y el control familiar, con un 27 % de capital flotante. El comparable más parecido por negocio, National Vision (6,5 veces), cotiza como Fielmann, pero su margen es menos de la mitad. Los fabricantes de audífonos (Sonova y Demant) llevan una prima de innovación que Fielmann no tiene. Warby Parker es un caso aparte por crecimiento y sesga la media; la mediana no lo nota.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(fabricante de audífonos, filial de GN Store Nord)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2.300 M EUR sin caja ni deuda, pagado con 1.690 M EUR en efectivo y 56 M de acciones de Amplifon; ventas de unos 1.000 M EUR y EBITDA ajustado de unos 220 M EUR en 2025; múltiplos calculados sobre esas cifras, sin sinergias (60-80 M EUR previstas para 2029). Cierre previsto a finales de 2026; en septiembre se fijó el precio de la ampliación reservada a GN, que tendrá el 17 % del capital [71, 72,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sociedades de óptica y audición de Luxemburgo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38,5 M EUR; aportaron 8,0 M EUR de ventas en el primer semestre de 2026. El múltiplo de ventas es una estimación propia que anualiza el semestre (38,5 / 16,0)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278,5 M EUR pagado en efectivo; ventas proforma de 2024 de 171,4 M EUR si se hubiera comprado el 1 de enero. No se publicó el EBITDA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(cadena óptica de Míchigan,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103,0 M EUR pagado en efectivo; ventas proforma de 2023 de 99,8 M EUR. No se publicó el EBITDA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(cadena óptica europea, 76,72 % de HAL y OPA posterior)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en efectivo (28,42 EUR si el cierre se retrasaba más de 12 meses); el 76,72 % costaba unos 5.500 M EUR y GrandVision facturaba 3.700 M EUR. El comunicado no da el valor empresa ni el EBITDA: sin múltiplo publicado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 – 59,20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publican EBITDA. La única con múltiplo completo es la compra de GN Hearing por Amplifon: unas 10,5 veces el EBITDA ajustado de 2025 sin sinergias y unas 2,3 veces las ventas, y se paga por un fabricante mayorista, no por una cadena de tiendas [71]. Las compras de cadenas ópticas que hizo la propia Fielmann salieron a 1,0-1,6 veces las ventas (SVS Vision y Shopko Optical) y la de Luxemburgo, a unas 2,4 veces según una estimación propia; Fielmann cotiza hoy a algo más de 1,5 veces las ventas con su puente [2, 3, 7]. Fielmann no es un objetivo realista: la familia controla el 72,9 % del capital mediante un pacto de sindicación de 61,2 M de derechos de voto [1]. Las transacciones solo sirven como referencia del valor de los activos, no de una prima de control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con la guía rebajada en agosto (2.500-2.550 M EUR) y el 1S26 (+1,8 %): un +3,2 %, 2.513 M EUR, en la mitad baja de la horquilla y algo por debajo del consenso (2.517) [7, 52]. Para 2027-2029 se supone un 4-4,5 %, unos 1,5 puntos por debajo del consenso (5,6 % y 6,0 %) [52]: lo que financia la reinversión prevista al ROIC actual (2,7 %) más la parte de precio del puente, que casi no pide capital. Las 70 aperturas de 2026 (5 % de la red) y EE. UU. y España aceleran, pero el crecimiento orgánico fue del 3,6 % en 2025 y del 1,7 % en el 1S26 [1, 7]. Queda muy por debajo del 10 % anual de la Vision 2035, que no se usa porque incluye compras y la primera guía de su recorrido ya se ha rebajado [1, 50]. El crecimiento baja al 2,5 % en 2033.</w:t>
      </w:r>
    </w:p>
    <w:p>
      <w:pPr>
        <w:keepNext/>
        <w:spacing w:after="100"/>
      </w:pPr>
      <w:r>
        <w:rPr>
          <w:b/>
          <w:bCs/>
        </w:rPr>
        <w:t xml:space="preserve">Márgenes.</w:t>
      </w:r>
    </w:p>
    <w:p>
      <w:pPr>
        <w:spacing w:after="100"/>
      </w:pPr>
      <w:r>
        <w:t xml:space="preserve">Margen EBITDA reportado (NIIF 16, con los ajustes recurrentes dentro). 2026e: 22,3 %, coherente con un EBITDA ajustado de unos 565 M EUR (guía de 560-580) menos unos 6 M EUR de ajustes [7]. Sube al 23,3 % en 2030, por debajo del 23,8 % ajustado de 2025 y del 25 % que persigue la empresa: es la media entre el 25,3 % de 2019 y el 20,3-20,8 % de 2023-2024, y lo que espera el consenso para 2028 una vez restados los ajustes (23,9 % − 0,85 = 23,0 %) [1, 52]. El 1S26 (23,4 % reportado) muestra que el margen aguanta con ventas planas, pero EE. UU. (12,5 %) lo diluye a medida que pesa más [7].</w:t>
      </w:r>
    </w:p>
    <w:p>
      <w:pPr>
        <w:keepNext/>
        <w:spacing w:after="100"/>
      </w:pPr>
      <w:r>
        <w:rPr>
          <w:b/>
          <w:bCs/>
        </w:rPr>
        <w:t xml:space="preserve">Inversión y circulante.</w:t>
      </w:r>
    </w:p>
    <w:p>
      <w:pPr>
        <w:spacing w:after="100"/>
      </w:pPr>
      <w:r>
        <w:t xml:space="preserve">Con los arrendamientos en la deuda, el capex incluye dos partes: inmovilizado (5,6-6,0 % de las ventas en 2026-2028 por las aperturas, la fábrica de Chomutov y EE. UU., frente al 4,8 % de 2025 y un plan de más de 200 M EUR) y altas de derechos de uso (6,0 % bajando al 5,5 %, frente al 6,3 % de 2025 y el 7,6 % de 2024) [1]. En total, un 11-12 % de las ventas frente a una amortización del 9,5-9,8 % (inmovilizado 4,3 % y derechos de uso 5,1 % en 2025) [1]. El circulante se mantiene en el 9 % de las ventas de 2025 (8-10,5 % desde 2019) [1]. Tipo impositivo del 29,5 % (29,6 % efectivo en 2025) [1].</w:t>
      </w:r>
    </w:p>
    <w:p>
      <w:pPr>
        <w:keepNext/>
        <w:spacing w:after="100"/>
      </w:pPr>
      <w:r>
        <w:rPr>
          <w:b/>
          <w:bCs/>
        </w:rPr>
        <w:t xml:space="preserve">Coste del capital.</w:t>
      </w:r>
    </w:p>
    <w:p>
      <w:pPr>
        <w:spacing w:after="100"/>
      </w:pPr>
      <w:r>
        <w:t xml:space="preserve">Tasa libre: Bund a 10 años, 3,57 % el 8-oct-2026 [55]. Beta 0,89: la ajustada semanal de cinco años frente al STOXX Europe 600, el mercado de un inversor en euros diversificado. Se compararon tres índices: frente al SDAX (su índice) sale 0,81, frente al MDAX 0,80 y frente al STOXX Europe 600 Retail 0,70; las mensuales de cinco años (0,34-0,46) salen anormalmente bajas por la poca correlación [51]. Se elige la más alta porque la semanal de dos años frente al STOXX 600 ya da 1,01 tras la rebaja de la guía. Prima de mercado del 5,5 % y 0,5 puntos adicionales por liquidez: el capital libre es el 27 % y se negocian unos 2,8 M EUR al día [1, 51]. Coste de la deuda del 4,0 % (Schuldschein al 3,3-4,0 %) y peso de la deuda del 20 % (deuda bruta con arrendamientos sobre valor empresa) [1]. Ke 8,97 % y WACC 7,74 %.</w:t>
      </w:r>
    </w:p>
    <w:p>
      <w:pPr>
        <w:keepNext/>
        <w:spacing w:after="100"/>
      </w:pPr>
      <w:r>
        <w:rPr>
          <w:b/>
          <w:bCs/>
        </w:rPr>
        <w:t xml:space="preserve">Valor terminal.</w:t>
      </w:r>
    </w:p>
    <w:p>
      <w:pPr>
        <w:spacing w:after="100"/>
      </w:pPr>
      <w:r>
        <w:t xml:space="preserve">Crecimiento a perpetuidad del 2,25 %: inflación del euro del 2 % más un cuarto de punto real, por debajo de la tasa libre menos medio punto (3,07 %). El mercado óptico alemán creció un 1,7 % anual en 2021-2025, por debajo de la inflación [16]; el resto lo aportan EE. UU. y España. El múltiplo implícito del valor terminal es de 7,1 veces el EBITDA, bajo frente a la mediana histórica de la acción (11,0 veces) y en línea con National Vision y Amplifon [62, 64].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41,96 por acción; sin ella (crecimiento terminal desde 2033e), 41,14.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de 2025 (13,9 %) supera al WACC (7,74 %) en más de cinco puntos, y el recorrido de crecimiento está fuera de Alemania: Fielmann tiene algo más del 1 % de las unidades en EE. UU., el mayor mercado óptico del mundo, y el 13 % en España, frente al 57 % en Alemania [1]. El plan pasa de unos 450 a más de 700 estudios de audiología en Europa hasta 2030 y de 0,3 a 1.000 M USD de ventas en EE. UU. [15]. Por eso el crecimiento no cae de golpe al terminal en 2033: baja en línea recta durante cinco años. La transición es corta y sin mejora de margen porque el crecimiento orgánico reciente (1,7-3,6 %) y el ROIC nulo de EE. UU. no justifican más [1, 7]. Aporta un 6,2 %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(ROIC 13,9 %)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 (histórico: 6,5 %)</w:t>
            </w:r>
          </w:p>
        </w:tc>
      </w:tr>
    </w:tbl>
    <w:p>
      <w:pPr>
        <w:spacing w:after="160" w:before="0"/>
      </w:pPr>
    </w:p>
    <w:p>
      <w:pPr>
        <w:spacing w:after="100"/>
      </w:pPr>
      <w:r>
        <w:t xml:space="preserve">La proyección reinvierte el 19 % del NOPAT. Con el ROIC del último ejercicio (13,9 %), eso financia un crecimiento del 2,7 % anual, frente al 3,4 % de ingresos proyectado. Supone que el capital nuevo rinde un 17,1 %, frente a un ROIC incremental histórico del 6,5 %.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(2.500-2.550 M EUR) y 1S26 (+1,8 %: 1,7 % orgánico, 0,6 % compras y −0,5 de divisa) [7, 8]. Volumen: 37 tiendas netas en el 1S26 y 70 en el año (5 % de la red), con Alemania casi plana (+0,8 %) [7]. Precio: cristales y tratamientos de más valor, con el margen bruto del 79,5 % al 80,1 % [7]. Otros: compras pequeñas y audiología, menos divisa.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maduran las 70 aperturas de 2026 y crecen EE. UU. y España, limitado a lo que financia la reinversión al ROIC actual (2,7 % con otros; estimación propia) [1, 15]. Precio: el mercado alemán crece en valor con menos unidades (5.378 a 5.733 M EUR en gafas entre 2022 y 2025) [16]. Otros: audiología, que crece al doble que el grupo (+10,9 % de audífonos en 2025) [1]. El consenso da +5,6 % [52]; nosotros, 1,6 puntos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700 estudios de audiología en Europa en 2030 (475 en jun-26) y el plan de EE. UU. [1, 7, 15]. Volumen por debajo de los 3,2 puntos de la v2: en 2025 las gafas vendidas crecieron un 1,9 % con una compra dentro [1]. El consenso da +6,0 % [52].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el volumen baja hacia lo que financia la reinversión y el precio se mantiene; sin guía ni consenso para ese año (estimación propia).</w:t>
            </w:r>
          </w:p>
        </w:tc>
      </w:tr>
    </w:tbl>
    <w:p>
      <w:pPr>
        <w:spacing w:after="160" w:before="0"/>
      </w:pPr>
    </w:p>
    <w:p>
      <w:pPr>
        <w:spacing w:after="100"/>
      </w:pPr>
      <w:r>
        <w:t xml:space="preserve">En parte. El foso alemán es real (57 % de las gafas, ventaja de costes por la integración vertical, ROIC del 13,9 %) y da poder de precios: el margen bruto subió con ventas planas y la cuota en unidades ganó un punto con el mercado cayendo [1, 7]. Eso sostiene un 2-3 % anual, no el 5-5,5 % que pedía la v2: el resto exige volumen fuera de Alemania, donde España rinde un 4 % y EE. UU. casi nada [1], con un ROIC incremental del 6,5 %. Por eso el base se rebaja al 3,4 % medio: lo que financia la reinversión más el precio. La cuota no se puede probar (la proyección es del grupo) [16].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 (base: 23,3 %)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7,7 %)</w:t>
            </w:r>
          </w:p>
        </w:tc>
      </w:tr>
    </w:tbl>
    <w:p>
      <w:pPr>
        <w:spacing w:after="160" w:before="0"/>
      </w:pPr>
    </w:p>
    <w:p>
      <w:pPr>
        <w:spacing w:after="100"/>
      </w:pPr>
      <w:r>
        <w:t xml:space="preserve">El DCF da 41,96 EUR por acción (+12,9 % sobre 37,15 EUR) con un WACC del 7,74 %; el valor terminal pesa un 55 %. Sin la etapa de transición, 41,14 EUR. El caso base ya está recortado a lo que la empresa puede financiar (3,4 % medio frente al 4,5 % de la v2).</w:t>
      </w:r>
    </w:p>
    <w:p>
      <w:pPr>
        <w:spacing w:after="100"/>
      </w:pPr>
      <w:r>
        <w:rPr>
          <w:b/>
        </w:rPr>
        <w:t xml:space="preserve">El precio descuenta que Fielmann no acelere.</w:t>
      </w:r>
      <w:r>
        <w:t xml:space="preserve"> El DCF inverso da un crecimiento implícito del 2,5 % anual en 2027-2033 con nuestros márgenes, frente al 3,5 % del caso base; o, con nuestro crecimiento, un margen EBITDA del 22,2 % frente al 23,3 %. Un 2,5 % es el crecimiento orgánico que la empresa ha tenido en 2025-2026 (3,6 % y 1,7 %) y un 22,2 % queda por debajo del 23,0 % de 2025: el mercado extrapola el peor tramo reciente, no el plan. Visto de otro modo, el precio rinde un 8,3 % anual frente a un WACC del 7,74 %.</w:t>
      </w:r>
    </w:p>
    <w:p>
      <w:pPr>
        <w:spacing w:after="100"/>
      </w:pPr>
      <w:r>
        <w:t xml:space="preserve">No es una exigencia alta: nuestro caso base está por debajo del consenso en ventas y en margen. Pero el margen de seguridad es ahora menor: un punto menos de margen en todos los años baja el valor a 37,70 EUR y medio punto más de WACC, a 37,62 EUR, casi el precio. Por debajo de unos 35 EUR solo se llega con márgenes de 2022-2024 y crecimiento del 2-3 % a la vez.</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sigue estancada, las aperturas maduran despacio y EE. UU. no pasa del 12-13 % de margen: el crecimiento se queda en el 1,5-2 % de 2027-2029, como el del 1S26, y el margen reportado vuelve al 21 % de 2022-2024, como ya ocurrió con la inflación salarial. La guía se rebaja otra vez y el crecimiento a largo plazo baja al 1,75 %.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70 aperturas al año, España y EE. UU. llevan el crecimiento al 4-4,5 % en 2027-2029, lo que financia la reinversión al ROIC actual más el precio y 1,5 puntos menos que el consenso, y el margen reportado sube despacio al 23,3 %, sin llegar al 25 % del plan. La inversión se mantiene alta (11-12 % de las ventas con los derechos de uso).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refracción automatizada y la red nueva devuelven a Alemania al 3-4 % y EE. UU. avanza hacia el margen europeo: el grupo crece un 6-6,5 % en 2027-2029, por encima del consenso y más cerca de la Vision 2035 sin compras, y el margen reportado llega al 24,3 %.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41,57 EUR (+11,9 %).</w:t>
      </w:r>
    </w:p>
    <w:p>
      <w:pPr>
        <w:spacing w:after="100"/>
      </w:pPr>
      <w:r>
        <w:t xml:space="preserve">La asimetría es favorable, aunque menos que con el base anterior: el alcista vale 57,53 EUR (+54,9 %) y el bajista 24,82 EUR (−33,2 %), una relación de 1,65 veces. El bajista no es cosmético: reproduce el margen de 2022-2024 y un crecimiento como el del 1S26, y deja la acción un 33 % más abajo. Con un 25 % de probabilidad en cada extremo, el valor ponderado de los escenarios es 41,57 EUR. Compensa porque el precio ya está cerca del bajista en múltiplos: 6,8 veces el EBITDA de los últimos 12 meses, el mínimo de la serie histórica de la acción.</w:t>
      </w:r>
    </w:p>
    <w:p>
      <w:pPr>
        <w:pStyle w:val="Heading1"/>
      </w:pPr>
      <w:r>
        <w:t xml:space="preserve">22. Suma de partes</w:t>
      </w:r>
    </w:p>
    <w:p>
      <w:pPr>
        <w:pStyle w:val="Confianza"/>
        <w:spacing w:after="100"/>
      </w:pPr>
      <w:r>
        <w:t xml:space="preserve">Confianza: Media</w:t>
      </w:r>
    </w:p>
    <w:p>
      <w:pPr>
        <w:spacing w:after="100"/>
      </w:pPr>
      <w:r>
        <w:t xml:space="preserve">No aplica: Fielmann es un solo negocio minorista (óptica con audiología integrada en las mismas tiendas) repartido por países, con los mismos proveedores, la misma marca y la misma fábrica. Los países difieren en margen (Suiza 29 %, EE. UU. 14 %), pero no hay comparables puros de cada parte con un múltiplo distinto que justifique valorarlas por separado; la diferencia de rentabilidad ya está en el DCF consolidado.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44,79 EUR (+20,6 % sobre 37,15).</w:t>
      </w:r>
    </w:p>
    <w:p>
      <w:pPr>
        <w:spacing w:after="100"/>
      </w:pPr>
      <w:r>
        <w:t xml:space="preserve">El valor objetivo de 44,79 EUR pondera el DCF (50 %), los escenarios (40 %) y los comparables (10 %). El DCF es el método más fiable: el negocio es estable, la caja es visible (flujo operativo del 89 % del EBITDA en 2025) y el valor depende de dos supuestos que se pueden vigilar, crecimiento y margen [14]. Los comparables pesan poco porque la muestra es frágil y está sesgada al alza: los fabricantes con marca (Sonova, Demant, EssilorLuxottica) cotizan a 10-15 veces el EBITDA de los próximos 12 meses y dan 81,72 EUR por acción, mientras los minoristas más parecidos (National Vision, 6,5 veces; Amplifon, 7,7 veces los últimos 12 meses) cotizan como Fielmann [62, 64]. Las transacciones no se usan: solo una tiene múltiplo de EBITDA (GN Hearing, fabricante) y las compras de Fielmann se pagaron a 1,0-1,6 veces las ventas sin EBITDA publicado [2, 71]. La dispersión es grande (de 24,82 a 81,72 EUR), pero el valor central de todos los métodos salvo el escenario bajista queda por encima del precio. Con la prima implícita del mercado (4,2 %), el DCF sube a 52,54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w:t>
            </w:r>
          </w:p>
        </w:tc>
      </w:tr>
    </w:tbl>
    <w:p>
      <w:pPr>
        <w:spacing w:after="160" w:before="0"/>
      </w:pPr>
    </w:p>
    <w:p>
      <w:pPr>
        <w:spacing w:after="100"/>
      </w:pPr>
      <w:r>
        <w:rPr>
          <w:b/>
          <w:bCs/>
        </w:rPr>
        <w:t xml:space="preserve">Objetivo a 12 meses (ponderado):</w:t>
      </w:r>
      <w:r>
        <w:t xml:space="preserve"> 41,13 EUR · rentabilidad +14,5 % (base +10,7 %) · señal Mantener.</w:t>
      </w:r>
    </w:p>
    <w:p>
      <w:pPr>
        <w:spacing w:after="100"/>
      </w:pPr>
      <w:r>
        <w:t xml:space="preserve">Para comparar, con la regla v2 (historia al cierre, mismo precio): 12,3x / 14,5x / 18,9x, 14,5 % Mantener; con el tope anterior del base (×1,3, 14-oct mediodía): 48,3 % Comprar; con la v3 sin el selector (tope ×1,1): 26,1 % Comprar. Decide la v2, elegida por el selector de método (desrateada: la mediana adelantada (26,9x) es 1,9 veces el PER de hoy (14,5x); la historia es de otro régimen y decide la v2; METODO-VIGENTE.md).</w:t>
      </w:r>
    </w:p>
    <w:p>
      <w:pPr>
        <w:keepNext/>
        <w:spacing w:after="100"/>
      </w:pPr>
      <w:r>
        <w:rPr>
          <w:b/>
          <w:bCs/>
        </w:rPr>
        <w:t xml:space="preserve">Frente al consenso (solo contraste).</w:t>
      </w:r>
    </w:p>
    <w:p>
      <w:pPr>
        <w:spacing w:after="100"/>
      </w:pPr>
      <w:r>
        <w:t xml:space="preserve">Nuestro BPA base de 2028e (2,74) se separa un -14,4 % del consenso (3,20) y nuestro precio base (39,73) un -28,1 % del objetivo medio de los analistas (55,25).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44,79 (+20,6 %) frente al objetivo a 12 meses ponderado 41,13 (+14,5 % con dividendo; base +10,7 %).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aceleración del segundo semestre que exige la guía (las ventas del 1S26 crecieron un 1,8 %): para llegar al punto medio, el 2S26 debe crecer en torno a un 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apunta a ventas de unos 2.650 M EUR y margen ajustado del 23 % o más (lo que espera el consenso), valida la base del DCF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70 aperturas al año (37 en el 1S26)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tienda nueva tarda en madurar; la contribución de las aperturas de 2026 a las ventas se verá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la planta de Chomutov (República Checa)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de fabricación y logística (hasta 8 millones de artículos al año) y menor coste unitario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Transformación del negocio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EBITDA ajustado de EE. UU. bajó al 12,5 % en el 1S26; el objetivo es el entorno del 25 % en 2030. Cada punto en EE. UU. vale unos 3 M EUR de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(1,40 EUR en 2026) y votación de la remuneración, que el capital libre rechaza de forma sistemática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 (61 % de las ventas) sigue estancada: el mercado óptico pierde unidades por cuarto año y Fielmann, con el 57 % de las gafas, ya no puede crecer ganando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EBITDA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bajo y garantías que captan clientes en recesión; audiología y servicios médicos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Alemania por debajo del +2 % en el 2S26 y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no llega a rentabilizar las compras: 410 M EUR pagados y un BAI de 0,8 M EUR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Unos −4 EUR por acción si se deteriora la mitad del fondo de comercio y el negocio se queda en el margen actual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es orgánico y con inversión limitada (540 M USD hasta 2030, incluidas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EE. UU. por debajo del 12 % en 2026-2027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acelerada sin crecimiento: capex de más de 200 M EUR previsto en 2026 y 70 aperturas al año que no se traducen en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24,82 EUR (−33,2 %)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deuda neta de 1,1 veces el EBITDA incluidos los arrendamientos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grupo por debajo del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credibilidad de la guía: la de 2026 duró cuatro meses y la de 2022 se rebajó dos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múltiplo ya está en mínimos de diez años; otra rebaja lo mantendría ahí</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se ha cumplido casi siempre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rebaja de la guía en el 3T o en la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sin contrapeso: el pacto tiene el 72,9 %, el capital libre rechaza la remuneración y la comisión de auditoría no tiene mayoría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persistente; no cambia el flujo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operaciones con la familia de 0,3-0,5 M EUR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relevantes o retribución que suba con menor rentabilidad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margen de proveedores: EssilorLuxottica es proveedor dominante, dueño de Apollo y pionero de las gafas inteligentes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Rathenow y marca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Falta de ópticos y audioprotesistas titulados que frene la expansión y suba los salarios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2022 la inflación salarial bajó el margen reportado al 19,3 %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Refracción automatizada con IA (12 minutos menos en uso paralelo) y formación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creciendo más que las ventas</w:t>
            </w:r>
          </w:p>
        </w:tc>
      </w:tr>
    </w:tbl>
    <w:p>
      <w:pPr>
        <w:spacing w:after="160" w:before="0"/>
      </w:pPr>
    </w:p>
    <w:p>
      <w:pPr>
        <w:pStyle w:val="Heading2"/>
      </w:pPr>
      <w:r>
        <w:t xml:space="preserve">Pre-mortem</w:t>
      </w:r>
    </w:p>
    <w:p>
      <w:pPr>
        <w:spacing w:after="100"/>
      </w:pPr>
      <w:r>
        <w:t xml:space="preserve">Es octubre de 2029 y la acción ha perdido un 40 %. La historia más probable empieza en Alemania: el consumo siguió débil, el mercado óptico volvió a perder unidades y la empresa, con el 57 % de las gafas, no pudo compensar con cuota. Para cumplir la Vision 2035 aceleró la inversión: 70 aperturas al año, la planta de Chomutov y la transformación de EE. UU., con un capex de más del 8 % de las ventas frente al 4-5 % histórico. Las tiendas nuevas maduraron despacio y el crecimiento orgánico se quedó en el 2-3 %, el que ya tenía en 2025-2026.</w:t>
      </w:r>
    </w:p>
    <w:p>
      <w:pPr>
        <w:spacing w:after="100"/>
      </w:pPr>
      <w:r>
        <w:t xml:space="preserve">En EE. UU. las aseguradoras de visión siguieron fijando el precio y el margen no pasó del 12-13 %: el fondo de comercio se deterioró. Con más gasto de personal y ventas planas, el margen reportado volvió al 20-21 % de 2022-2024. La dirección rebajó la guía otra vez, el BPA se estancó en 2,4-2,6 EUR y el mercado mantuvo un PER de 13-14 veces: 33-35 EUR, más el dividendo, recortado para financiar la inversión.</w:t>
      </w:r>
    </w:p>
    <w:p>
      <w:pPr>
        <w:spacing w:after="100"/>
      </w:pPr>
      <w:r>
        <w:t xml:space="preserve">El indicador que lo habría anticipado es el crecimiento orgánico de Alemania: si en el 2S26 y en 2027 se queda por debajo del 2 %, la tesis de aceleración no se sostiene. El segundo es el margen de EE. UU.: por debajo del 12 % en 2027, la expansión destruye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el personal: 23.807 empleados, el 72 % mujeres, unos 4.000 aprendices y un gasto de personal del 41,8 % de las ventas; la escasez de ópticos y audioprotesistas es el principal riesgo para el plan de aperturas [1]. El segundo es la seguridad del producto: casi todo lo que vende son productos sanitarios regulados (MDR, FDA) [1]. El clima pesa poco: 143.735 t de CO2 equivalente en 2025 (criterio de mercado), el 92 % en la cadena de valor (alcance 3), una intensidad de 59 t por millón de euros de ventas y el objetivo de cero emisiones netas en alcances 1 y 2 en 2040 [1]. La inversión y el gasto alineados con la taxonomía europea son cero [1].</w:t>
      </w:r>
    </w:p>
    <w:p>
      <w:pPr>
        <w:pStyle w:val="Heading2"/>
      </w:pPr>
      <w:r>
        <w:t xml:space="preserve">Controversias</w:t>
      </w:r>
    </w:p>
    <w:p>
      <w:pPr>
        <w:spacing w:after="100"/>
      </w:pPr>
      <w:r>
        <w:t xml:space="preserve">El informe de sostenibilidad de 2025 declara que no hubo multas, sanciones ni indemnizaciones por incidentes, ni violaciones graves de derechos humanos [1]. La organización noyb presentó en agosto de 2022 una queja ante la autoridad de protección de datos de Brandeburgo contra Fielmann AG &amp; Co. Service KG, que figura con decisión parcial y sin multa publicada [37]. No se han encontrado litigios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ventas comparables (por tienda abierta más de un año) tuvo Alemania en el 1S26 y cuánto aportaron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ventas comparables; el DCF supone una aceleración del 1,8 % del 1S26 al 4 % en 2027 que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invertido tiene EE. UU. hoy y cuándo espera superar el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 M EUR pagados para un BAI de 0,8 M EUR en 2025; es la mayor fuente de destrucción de valor posible.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200 M EUR de inversión de 2026 es mantenimiento y cuál expansión, y qué periodo de recuperación tienen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lleva un capex de inmovilizado del 6 % de las ventas frente al 4,8 % de 2025; si es mayor, el valor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ajustes del EBITDA (integración, reorganización, cotizaciones atrasadas) aparecen todos los años y cuándo dejarán de hacerlo?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consenso se miden en EBITDA ajustado; aquí se valoran como recurrentes (0,85 %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objetivo de 4.000 M EUR de ventas y 25 % de margen en 2030 tras rebajar la guía de 2026? ¿Qué parte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2028 (2.819 M EUR) queda muy lejos de esa trayectoria; si la empresa la persigue con compras, el riesgo cambia.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de supervisión considera independiente a su presidente, en el cargo desde 1994, y por qué el ex director financiero está en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capital libre rechaza la remuneración con un 77-80 % de sus votos; es la protección del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Lentes de contacto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margen bruto gana con la marca propia frente a la pérdida de volumen (−4 %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categoría donde la venta online sí presiona.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75 (40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17,1 % frente a un ROIC de 13,9 % y un incremental histórico de 6,5 %: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13,9 % frente a WACC 7,7 %: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11,5x a 13,8x según qué comparable se quite (71,25 a 86,95 por acción): la muestra es frágil; explícalo y no le des mucho peso. Explicación: La muestra mezcla minoristas (National Vision, Warby Parker, Amplifon) con fabricantes de lentes y audífonos con prima de marca (EssilorLuxottica, Sonova, Demant): la mediana depende de cuál se quite. Por eso los comparables pesan solo un 10 % en el valor objetivo y el texto usa National Vision y Amplifon como referencia más cercana.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(40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por tienda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2026: solo crecimiento orgánico y a tipo constante; 2) presentaciones de resultados de 2025-2026 y de 3T25: tampoco; 3) derivarlo no es posible sin ventas de tiendas abiertas más de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de la empresa: no lo publican; 2) presentaciones de resultados: no; 3) proveedor de consenso histórico: no accesible sin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de 2025-1T26 y 1S26: sin transcripción; 2) informe semestral: no; 3) web de relación con inversores: solo se publican las diapositivas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Schuldschein por tramo y vida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21 del informe anual 2025: solo plazos (3, 5 y 7 años) y la parte a más de cinco años (75,0 M€); 2) nota de riesgo de liquidez y presentación de 2025: sin desglose; 3) derivar la vida media requiere el importe de cada tramo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en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el segmento publica BAI, no EBITDA; 2) informe anual 2023: solo reexpresa 2022 parcialmente; 3) derivarlo exige amortizaciones e intereses por segmento con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 óptico alemán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2024/25 y 2025/26: solo datos históricos y una previsión de +1-2 % para 2025; 2) informe anual 2025 y presentación del Capital Markets Day de Fielmann: objetivos propios de crecimiento, no del mercado; 3) búsqueda de previsiones de mercado (GfK, Statista): sin acceso a cifras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(estado de sostenibilidad): no cita calificaciones externas; 2) página de Sustainalytics de la empresa: redirige a una página genérica sin la puntuación; 3) ficha de calificaciones de Zonebourse/MarketScreener: la nota de MSCI es una imagen tras un muro de cookies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Kind Hörgeräte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ZVA 2025/26: solo la estimación de ventas de óptica en Alemania; 2) informe anual de Fielmann: no cita competidores por nombre; 3) búsqueda de cuentas publicadas de Kind: no aparecen cuentas consolidadas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Comportamiento del mercado óptico alemán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a 2025/26: series desde 2020; 2) informe anual 2025 de Fielmann: sin datos de mercado de esos años; 3) búsqueda en la web del ZVA: sin informes de esa época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consejeros de dirección distintos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y notas del informe anual 2025: no la publican; 2) cuentas individuales HGB 2025 y notificaciones de derechos de voto: solo la familia supera el 3 %; 3) registro de operaciones de directivos de la BaFin: sin operaciones en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(búsqueda por emisor): la consulta devuelve 493 resultados en 25 páginas y en la primera no aparece Fielmann; 2) Stock Analysis no publica posiciones cortas de valores de Xetra; 3) el semestral 2026 y la presentación de resultados no lo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gráfico de revisiones es una imagen sin cifras; 2) Stock Analysis: solo da el consenso actual (actualizado el 22-sep-2026); 3) se reconstruye con la guía de la empresa antes y después de agosto, que es el ancla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SVS Vision, Shopko Optical, Luxemburgo y valor empresa de GrandVision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informes anuales 2023 y 2024 y del semestral 2026: dan precio y ventas, no EBITDA; 2) comunicado de EssilorLuxottica de 31-jul-2019 depositado en la AMF: da precio por acción y ventas, no valor empresa ni EBITDA; 3) búsqueda en prensa: solo valores de capital (7.100-7.300 M EUR),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con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as at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HY1/2026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https://www.fielmann-group.com/fileadmin/fielmann/Dokumente/Publikationen/Praesentationen/Fielmann_Group_AG_Earnings_Call_HY1_2026.pdf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https://www.fielmann-group.com/fileadmin/fielmann/Dokumente/Publikationen/Quartalsberichte/EN/2026/Fielmann_Interim_Statement_Q1-2026.pdf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https://www.fielmann-group.com/fileadmin/fielmann/Dokumente/Publikationen/Quartalsberichte/EN/2025/Fielmann_report_half_year_2025.pdf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https://www.fielmann-group.com/fileadmin/fielmann/Dokumente/Publikationen/Quartalsberichte/EN/2024/Fielmann_Interim_Statement_Q3-2024.pdf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FY2025 &amp; Q1/2026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https://www.fielmann-group.com/fileadmin/fielmann/Dokumente/Publikationen/Praesentationen/Fielmann_Earnings_Call_FY2025_Q1-2026.pdf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https://www.fielmann-group.com/fileadmin/fielmann/Dokumente/Publikationen/Praesentationen/Fielmann_Group_Capital_Markets_Day_2025.pdf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https://www.zva.de/wp-content/uploads/ZVA-Branchenbericht-2025-Download.pdf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https://www.zva.de/wp-content/uploads/ZVA-Branchenbericht-2024-Download-1.pdf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https://www.zva.de/wp-content/uploads/ZVA_Branchenbericht_2023_2024_2.pdf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Augenoptikbranche 2025/2026: Verhaltene Entwicklung (nota de prensa 01/2026)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https://www.zva.de/wp-content/uploads/01-26_Branchenentwicklung-Augenoptik-2025-26_Opti.pdf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2025/2026: Augenoptik zwischen Stabilität und Strukturwandel (nota de prensa 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https://www.zva.de/wp-content/uploads/09-26_ZVA-Branchenbericht-2025-26.pdf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 Augenoptik mit Umsatzplus – Betriebe kehren Krankenkassen den Rücken (nota de prensa 05/2025)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https://www.zva.de/wp-content/uploads/05-25_ZVA-Branchenbericht-2024-25-1.pdf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&amp; FY 2025 Results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https://corporate.amplifon.com/content/dam/amplifon/archive/media/investors/presentazioni-e-webcast/2026/FY-2025-Results-Presentation.pdf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closes first transformation phase with significant earnings improvement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https://corporate.misterspex.com/en/press-releases/mister-spex-closes-first-transformation-phase-with-significant-earnings-improvement/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Inc. Reports Fourth Quarter and Fiscal 2025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https://www.sec.gov/Archives/edgar/data/1710155/000162828026014376/nvhi2025q4earningsrelease.htm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Announces Fourth Quarter and Full Year 2025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https://www.sec.gov/Archives/edgar/data/1504776/000150477626000003/warbyparkerincearningsrele.htm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profits leap 26.6% to £430m despite inflation concern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Guernsey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https://guernseypress.com/news/2026/08/24/specsavers-profits-leap-266percent-to-pound430m-despite-inflation-concern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years of Fielmann: 21 September 2022 marks a significant milestone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https://www.fielmann-group.com/en/newsroom/detail/50-years-of-fielmann-21-september-2022-marks-a-significant-milestone/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bids farewell to its founder Guenther Fielmann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https://www.fielmann-group.com/en/newsroom/detail/fielmann-group-bids-farewell-to-its-founder-guenther-fielmann/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operating margin jumps to 9.9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https://www.ewintelligence.com/financial-results/specsavers-operating-margin-jumps-to-99-percent/122863.article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Sozialgesetzbuch V, § 33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der Justiz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https://www.gesetze-im-internet.de/sgb_5/__33.html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Bekanntmachung über die Festsetzung von Festbeträgen für Hörhilfen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https://www.gkv-spitzenverband.de/media/dokumente/krankenversicherung_1/hilfsmittel/festbetraege/einzelne_himi_arten/20211220_Festbetraege_fuer_Hoerhilfen.pdf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Festbeträge für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https://www.gkv-spitzenverband.de/krankenversicherung/hilfsmittel/festbetraege_3/festbetraege.jsp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de Ministros aprueba el Real Decreto de ayudas para gafas y lentes de contacto para menores de hasta 16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Sanidad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https://www.sanidad.gob.es/gabinete/notasPrensa.do?id=6763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 und Sehhilfen: versicherte Leistungen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Helsana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https://www.helsana.ch/de/private/wissen/augen/versicherungsleistungen.html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Pound sterling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https://www.ecb.europa.eu/stats/policy_and_exchange_rates/euro_reference_exchange_rates/html/eurofxref-graph-gbp.en.html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Complaint C037-10996 against Fielmann AG &amp; Co. Service KG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noyb – European Center for Digital Rights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https://noyb.eu/en/node/447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Statements 2025 de Fielmann Group AG (cuentas individuales HGB,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https://www.fielmann-group.com/fileadmin/fielmann/Dokumente/Hauptversammlung/2026/EN/Annual_Financial_Statements_2025.pdf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https://www.fielmann-group.com/fileadmin/fielmann/Dokumente/Hauptversammlung/2026/EN/Fielmann_Group_AG_Remuneration_Report_2025.pdf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on Corporate Governance April 2026 (incluye la declaración de cumplimiento del código alemán)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https://www.fielmann-group.com/en/investor-relations/corporate-governance/detail/declaration-on-corporate-governance-april-2026/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https://www.fielmann-group.com/fileadmin/fielmann/Dokumente/Hauptversammlung/2026/EN/AGM_Voting_Results.pdf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https://www.fielmann-group.com/fileadmin/fielmann/Dokumente/Hauptversammlung/2026/EN/AGM_Invitation.pdf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https://www.hauptversammlung.de/fileadmin/public/user_upload/Fielmann_result25.pdf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Hauptversammlung 2025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https://www.hauptversammlung.de/fileadmin/public/user_upload/Fielmann_TO25.pdf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https://www.fielmann-group.com/fileadmin/fielmann/Dokumente/Hauptversammlung/2024/DE/Abstimmungsergebnisse.pdf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2024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https://hauptversammlung.de/fileadmin/public/user_upload/Fielmann_Einladung_zur_HV.2024.pdf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Remuneration System (vigente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https://www.fielmann-group.com/fileadmin/fielmann/Dokumente/Corporate_Governance/Verguetungssystem/Remuneration_system_for_the_Management_Board.pdf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datos de operaciones de directivos (art. 19 MAR), emisores con F, consulta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https://portal.mvp.bafin.de/database/DealingsInfo/sucheForm.do?emittentName=F&amp;locale=en_GB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(art. 17 MAR): Fielmann Group AG actualiza la previsión de 2026, reproducido por Der Aktionär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https://www.deraktionaer.de/nachricht/eqs-adhocfielmanngroupagaktualisiertprognosefuerdasgeschaeftsjahr2026angesichtsanhaltenderkonsumzurueckhaltungindeutschlanddeutsch-546426.html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FIE.DE, SDAX (índice de rendimiento), iShares STOXX Europe 600 Retail, iShares STOXX Europe 600 e iShares MDAX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https://finance.yahoo.com/quote/FIE.DE/history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previsiones financieras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https://www.marketscreener.com/quote/stock/FIELMANN-GROUP-AG-436069/finances/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(ETR:FIE): previsiones y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https://stockanalysis.com/quote/etr/FIE/forecast/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de plazos de los valores federales cotizados, vencimiento residual de 10 años (método Svensson),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Inc.: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https://www.marketscreener.com/quote/stock/WARBY-PARKER-INC-127525351/finances/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(BIT:AMP):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https://stockanalysis.com/quote/bit/AMP/statistics/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(SWX:SOON):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https://stockanalysis.com/quote/swx/SOON/statistics/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(CPH:DEMANT):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https://stockanalysis.com/quote/cph/DEMANT/statistics/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el anuncio de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 (G. Tavolini)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to Acquire GN Hearing in $2.6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Hearing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https://hearingreview.com/inside-hearing/industry-news/amplifon-to-acquire-gn-hearing-in-2-6-billion-deal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https://www.marketscreener.com/quote/stock/MISTER-SPEX-SE-114228928/finances/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noticias (ampliación de capital reservada a GN, préstamo de 1.400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88,4 %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la acción ordinaria de Fielmann Group AG en Xetra (FIE), única clase. Cuentas en euros, NIIF-UE, con la cuenta de resultados por naturaleza. El precio es el cierre del 8-oct-2026 (37,15 EUR): a la hora de tomarlo, la sesión del 9 no había cerrado; las rentabilidades, la volatilidad y las betas llegan hasta el 7-oct. Con NIIF 16, el EBITDA excluye los alquileres de las tiendas: los pasivos por arrendamiento (594 M EUR a 30-jun-26) van en la deuda del puente, en la deuda neta ajustada y en el valor empresa de los múltiplos; el capex del DCF incluye las altas de derechos de uso (unos 6 puntos de ventas al año) y la amortización, la de esos derechos; los comparables de EE. UU. (US GAAP) se toman sin sus arrendamientos operativos, porque su EBITDA ya lleva el alquiler. La cuenta lleva el EBITDA reportado: los ajustes de la empresa (integración, reorganización, cotizaciones atrasadas: 20,8 M EUR en 2024 y en 2025) se repiten cada año y no se tratan como no recurrentes; el consenso, que sigue el EBITDA ajustado de la guía, se rebaja en el 0,85 % de las ventas. Las cuentas de 2022-2024 se reexpresaron (seguros de coste cero y NIIF 15): se usa la última versión publicada de cada año. Fielmann publica semestres e informes trimestrales sin cuenta completa: los cuartos trimestres son el año menos los nueve meses. La empresa no publica ventas por tienda comparable ni transcripciones de sus conferencias. Las rentabilidades del SDAX (índice de rendimiento) y del sector (ETF del STOXX Europe 600 Retail) se calcularon con un script propio sobre los históricos de Yahoo.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Fielmann Group AG (FIE)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35.83</c:v>
                </c:pt>
                <c:pt idx="6">
                  <c:v>24.82</c:v>
                </c:pt>
                <c:pt idx="7">
                  <c:v>46.34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14.850000000000001</c:v>
                </c:pt>
                <c:pt idx="6">
                  <c:v>32.71</c:v>
                </c:pt>
                <c:pt idx="7">
                  <c:v>13.939999999999998</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Alemania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1223.5</c:v>
                </c:pt>
                <c:pt idx="1">
                  <c:v>1253</c:v>
                </c:pt>
                <c:pt idx="2">
                  <c:v>1345.6</c:v>
                </c:pt>
                <c:pt idx="3">
                  <c:v>1431.7</c:v>
                </c:pt>
                <c:pt idx="4">
                  <c:v>1482.5</c:v>
                </c:pt>
              </c:numCache>
            </c:numRef>
          </c:val>
        </c:ser>
        <c:ser>
          <c:idx val="1"/>
          <c:order val="1"/>
          <c:tx>
            <c:strRef>
              <c:f>Hoja1!$C$1</c:f>
              <c:strCache>
                <c:ptCount val="1"/>
                <c:pt idx="0">
                  <c:v>Suiza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186</c:v>
                </c:pt>
                <c:pt idx="1">
                  <c:v>208.2</c:v>
                </c:pt>
                <c:pt idx="2">
                  <c:v>217.3</c:v>
                </c:pt>
                <c:pt idx="3">
                  <c:v>228.5</c:v>
                </c:pt>
                <c:pt idx="4">
                  <c:v>241.9</c:v>
                </c:pt>
              </c:numCache>
            </c:numRef>
          </c:val>
        </c:ser>
        <c:ser>
          <c:idx val="2"/>
          <c:order val="2"/>
          <c:tx>
            <c:strRef>
              <c:f>Hoja1!$D$1</c:f>
              <c:strCache>
                <c:ptCount val="1"/>
                <c:pt idx="0">
                  <c:v>Austria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82.8</c:v>
                </c:pt>
                <c:pt idx="2">
                  <c:v>90.8</c:v>
                </c:pt>
                <c:pt idx="3">
                  <c:v>100.3</c:v>
                </c:pt>
                <c:pt idx="4">
                  <c:v>106.5</c:v>
                </c:pt>
              </c:numCache>
            </c:numRef>
          </c:val>
        </c:ser>
        <c:ser>
          <c:idx val="3"/>
          <c:order val="3"/>
          <c:tx>
            <c:strRef>
              <c:f>Hoja1!$E$1</c:f>
              <c:strCache>
                <c:ptCount val="1"/>
                <c:pt idx="0">
                  <c:v>España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111.8</c:v>
                </c:pt>
                <c:pt idx="1">
                  <c:v>123.3</c:v>
                </c:pt>
                <c:pt idx="2">
                  <c:v>175.4</c:v>
                </c:pt>
                <c:pt idx="3">
                  <c:v>194.3</c:v>
                </c:pt>
                <c:pt idx="4">
                  <c:v>211.7</c:v>
                </c:pt>
              </c:numCache>
            </c:numRef>
          </c:val>
        </c:ser>
        <c:ser>
          <c:idx val="4"/>
          <c:order val="4"/>
          <c:tx>
            <c:strRef>
              <c:f>Hoja1!$F$1</c:f>
              <c:strCache>
                <c:ptCount val="1"/>
                <c:pt idx="0">
                  <c:v>Norteamérica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32.4</c:v>
                </c:pt>
                <c:pt idx="3">
                  <c:v>196.8</c:v>
                </c:pt>
                <c:pt idx="4">
                  <c:v>276.5</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74.9</c:v>
                </c:pt>
                <c:pt idx="1">
                  <c:v>92</c:v>
                </c:pt>
                <c:pt idx="2">
                  <c:v>109.4</c:v>
                </c:pt>
                <c:pt idx="3">
                  <c:v>115.3</c:v>
                </c:pt>
                <c:pt idx="4">
                  <c:v>116.2</c:v>
                </c:pt>
              </c:numCache>
            </c:numRef>
          </c:val>
        </c:ser>
        <c:ser>
          <c:idx val="6"/>
          <c:order val="6"/>
          <c:tx>
            <c:strRef>
              <c:f>Hoja1!$H$1</c:f>
              <c:strCache>
                <c:ptCount val="1"/>
                <c:pt idx="0">
                  <c:v>Consolidación</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Alemania</c:v>
                </c:pt>
                <c:pt idx="1">
                  <c:v>Suiza</c:v>
                </c:pt>
                <c:pt idx="2">
                  <c:v>Austria</c:v>
                </c:pt>
                <c:pt idx="3">
                  <c:v>España</c:v>
                </c:pt>
                <c:pt idx="4">
                  <c:v>Norteamérica</c:v>
                </c:pt>
                <c:pt idx="5">
                  <c:v>Otros</c:v>
                </c:pt>
                <c:pt idx="6">
                  <c:v>Consolidación</c:v>
                </c:pt>
              </c:strCache>
            </c:strRef>
          </c:cat>
          <c:val>
            <c:numRef>
              <c:f>Hoja1!$B$2:$B$8</c:f>
              <c:numCache>
                <c:formatCode>General</c:formatCode>
                <c:ptCount val="7"/>
                <c:pt idx="0">
                  <c:v>60.9</c:v>
                </c:pt>
                <c:pt idx="1">
                  <c:v>9.9</c:v>
                </c:pt>
                <c:pt idx="2">
                  <c:v>4.4</c:v>
                </c:pt>
                <c:pt idx="3">
                  <c:v>8.7</c:v>
                </c:pt>
                <c:pt idx="4">
                  <c:v>11.4</c:v>
                </c:pt>
                <c:pt idx="5">
                  <c:v>4.8</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Norteamérica</c:v>
                </c:pt>
                <c:pt idx="2">
                  <c:v>Suiza</c:v>
                </c:pt>
                <c:pt idx="3">
                  <c:v>España</c:v>
                </c:pt>
                <c:pt idx="4">
                  <c:v>Austria</c:v>
                </c:pt>
                <c:pt idx="5">
                  <c:v>Otros</c:v>
                </c:pt>
              </c:strCache>
            </c:strRef>
          </c:cat>
          <c:val>
            <c:numRef>
              <c:f>Hoja1!$B$2:$B$7</c:f>
              <c:numCache>
                <c:formatCode>0"%"</c:formatCode>
                <c:ptCount val="6"/>
                <c:pt idx="0">
                  <c:v>60.9</c:v>
                </c:pt>
                <c:pt idx="1">
                  <c:v>11.3</c:v>
                </c:pt>
                <c:pt idx="2">
                  <c:v>9.9</c:v>
                </c:pt>
                <c:pt idx="3">
                  <c:v>8.7</c:v>
                </c:pt>
                <c:pt idx="4">
                  <c:v>4.4</c:v>
                </c:pt>
                <c:pt idx="5">
                  <c:v>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con IVA (óptica minorista en Alemania, ZVA))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6017</c:v>
                </c:pt>
                <c:pt idx="1">
                  <c:v>6558</c:v>
                </c:pt>
                <c:pt idx="2">
                  <c:v>6688</c:v>
                </c:pt>
                <c:pt idx="3">
                  <c:v>6763</c:v>
                </c:pt>
                <c:pt idx="4">
                  <c:v>6975</c:v>
                </c:pt>
                <c:pt idx="5">
                  <c:v>7025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Fielmann</c:v>
                </c:pt>
                <c:pt idx="1">
                  <c:v>EssilorLuxottica (Apollo-Optik en Alemania)</c:v>
                </c:pt>
                <c:pt idx="2">
                  <c:v>Amplifon</c:v>
                </c:pt>
                <c:pt idx="3">
                  <c:v>Specsavers</c:v>
                </c:pt>
                <c:pt idx="4">
                  <c:v>National Vision</c:v>
                </c:pt>
                <c:pt idx="5">
                  <c:v>Warby Parker</c:v>
                </c:pt>
                <c:pt idx="6">
                  <c:v>Mister Spex</c:v>
                </c:pt>
                <c:pt idx="7">
                  <c:v>Kind Hörgeräte</c:v>
                </c:pt>
              </c:strCache>
            </c:strRef>
          </c:cat>
          <c:val>
            <c:numRef>
              <c:f>Hoja1!$B$2:$B$9</c:f>
              <c:numCache>
                <c:formatCode>0.0"%"</c:formatCode>
                <c:ptCount val="8"/>
                <c:pt idx="0">
                  <c:v>13.5</c:v>
                </c:pt>
                <c:pt idx="1">
                  <c:v>11.9</c:v>
                </c:pt>
                <c:pt idx="2">
                  <c:v>8.2</c:v>
                </c:pt>
                <c:pt idx="3">
                  <c:v>9.9</c:v>
                </c:pt>
                <c:pt idx="4">
                  <c:v>3</c:v>
                </c:pt>
                <c:pt idx="5">
                  <c:v>-0.6</c:v>
                </c:pt>
                <c:pt idx="6">
                  <c:v>-14.5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5</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1520.7</c:v>
                </c:pt>
                <c:pt idx="1">
                  <c:v>1428.9</c:v>
                </c:pt>
                <c:pt idx="2">
                  <c:v>1678.2</c:v>
                </c:pt>
                <c:pt idx="3">
                  <c:v>1759</c:v>
                </c:pt>
                <c:pt idx="4">
                  <c:v>1970.9</c:v>
                </c:pt>
                <c:pt idx="5">
                  <c:v>2266.9</c:v>
                </c:pt>
                <c:pt idx="6">
                  <c:v>2435.3</c:v>
                </c:pt>
                <c:pt idx="7">
                  <c:v>2513</c:v>
                </c:pt>
                <c:pt idx="8">
                  <c:v>2614</c:v>
                </c:pt>
                <c:pt idx="9">
                  <c:v>2731</c:v>
                </c:pt>
                <c:pt idx="10">
                  <c:v>2841</c:v>
                </c:pt>
                <c:pt idx="11">
                  <c:v>2940</c:v>
                </c:pt>
                <c:pt idx="12">
                  <c:v>3028</c:v>
                </c:pt>
                <c:pt idx="13">
                  <c:v>3112</c:v>
                </c:pt>
                <c:pt idx="14">
                  <c:v>3189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385</c:v>
                </c:pt>
                <c:pt idx="1">
                  <c:v>336.7</c:v>
                </c:pt>
                <c:pt idx="2">
                  <c:v>396.1</c:v>
                </c:pt>
                <c:pt idx="3">
                  <c:v>339.5</c:v>
                </c:pt>
                <c:pt idx="4">
                  <c:v>401</c:v>
                </c:pt>
                <c:pt idx="5">
                  <c:v>471.1</c:v>
                </c:pt>
                <c:pt idx="6">
                  <c:v>559.8</c:v>
                </c:pt>
                <c:pt idx="7">
                  <c:v>560</c:v>
                </c:pt>
                <c:pt idx="8">
                  <c:v>593</c:v>
                </c:pt>
                <c:pt idx="9">
                  <c:v>628</c:v>
                </c:pt>
                <c:pt idx="10">
                  <c:v>659</c:v>
                </c:pt>
                <c:pt idx="11">
                  <c:v>685</c:v>
                </c:pt>
                <c:pt idx="12">
                  <c:v>706</c:v>
                </c:pt>
                <c:pt idx="13">
                  <c:v>725</c:v>
                </c:pt>
                <c:pt idx="14">
                  <c:v>743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79.7</c:v>
                </c:pt>
                <c:pt idx="1">
                  <c:v>80.4</c:v>
                </c:pt>
                <c:pt idx="2">
                  <c:v>79.5</c:v>
                </c:pt>
                <c:pt idx="3">
                  <c:v>78.2</c:v>
                </c:pt>
                <c:pt idx="4">
                  <c:v>79.5</c:v>
                </c:pt>
                <c:pt idx="5">
                  <c:v>79.9</c:v>
                </c:pt>
                <c:pt idx="6">
                  <c:v>79.9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25.3</c:v>
                </c:pt>
                <c:pt idx="1">
                  <c:v>23.6</c:v>
                </c:pt>
                <c:pt idx="2">
                  <c:v>23.6</c:v>
                </c:pt>
                <c:pt idx="3">
                  <c:v>19.3</c:v>
                </c:pt>
                <c:pt idx="4">
                  <c:v>20.3</c:v>
                </c:pt>
                <c:pt idx="5">
                  <c:v>20.8</c:v>
                </c:pt>
                <c:pt idx="6">
                  <c:v>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16.8</c:v>
                </c:pt>
                <c:pt idx="1">
                  <c:v>12.5</c:v>
                </c:pt>
                <c:pt idx="2">
                  <c:v>13</c:v>
                </c:pt>
                <c:pt idx="3">
                  <c:v>9.1</c:v>
                </c:pt>
                <c:pt idx="4">
                  <c:v>10.4</c:v>
                </c:pt>
                <c:pt idx="5">
                  <c:v>11.3</c:v>
                </c:pt>
                <c:pt idx="6">
                  <c:v>13.5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11.3</c:v>
                </c:pt>
                <c:pt idx="1">
                  <c:v>8.1</c:v>
                </c:pt>
                <c:pt idx="2">
                  <c:v>8.2</c:v>
                </c:pt>
                <c:pt idx="3">
                  <c:v>5.9</c:v>
                </c:pt>
                <c:pt idx="4">
                  <c:v>6.3</c:v>
                </c:pt>
                <c:pt idx="5">
                  <c:v>6.7</c:v>
                </c:pt>
                <c:pt idx="6">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15.3</c:v>
                </c:pt>
                <c:pt idx="2">
                  <c:v>12.5</c:v>
                </c:pt>
                <c:pt idx="3">
                  <c:v>12.2</c:v>
                </c:pt>
                <c:pt idx="4">
                  <c:v>3</c:v>
                </c:pt>
                <c:pt idx="5">
                  <c:v>2.7</c:v>
                </c:pt>
                <c:pt idx="6">
                  <c:v>1.3</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c:v>
                </c:pt>
                <c:pt idx="1">
                  <c:v>10</c:v>
                </c:pt>
                <c:pt idx="2">
                  <c:v>8</c:v>
                </c:pt>
                <c:pt idx="3">
                  <c:v>9</c:v>
                </c:pt>
                <c:pt idx="4">
                  <c:v>10</c:v>
                </c:pt>
                <c:pt idx="5">
                  <c:v>16</c:v>
                </c:pt>
                <c:pt idx="6">
                  <c:v>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51</c:v>
                </c:pt>
                <c:pt idx="1">
                  <c:v>49</c:v>
                </c:pt>
                <c:pt idx="2">
                  <c:v>44</c:v>
                </c:pt>
                <c:pt idx="3">
                  <c:v>47</c:v>
                </c:pt>
                <c:pt idx="4">
                  <c:v>52</c:v>
                </c:pt>
                <c:pt idx="5">
                  <c:v>46</c:v>
                </c:pt>
                <c:pt idx="6">
                  <c:v>43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c:v>
                </c:pt>
                <c:pt idx="1">
                  <c:v>25</c:v>
                </c:pt>
                <c:pt idx="2">
                  <c:v>23</c:v>
                </c:pt>
                <c:pt idx="3">
                  <c:v>22</c:v>
                </c:pt>
                <c:pt idx="4">
                  <c:v>21</c:v>
                </c:pt>
                <c:pt idx="5">
                  <c:v>18</c:v>
                </c:pt>
                <c:pt idx="6">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122.40000000000002</c:v>
                </c:pt>
                <c:pt idx="1">
                  <c:v>108.5</c:v>
                </c:pt>
                <c:pt idx="2">
                  <c:v>171.5</c:v>
                </c:pt>
                <c:pt idx="3">
                  <c:v>60.79999999999999</c:v>
                </c:pt>
                <c:pt idx="4">
                  <c:v>87.8</c:v>
                </c:pt>
                <c:pt idx="5">
                  <c:v>203.3</c:v>
                </c:pt>
                <c:pt idx="6">
                  <c:v>245.49999999999994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172.2</c:v>
                </c:pt>
                <c:pt idx="1">
                  <c:v>116.4</c:v>
                </c:pt>
                <c:pt idx="2">
                  <c:v>136.9</c:v>
                </c:pt>
                <c:pt idx="3">
                  <c:v>103.7</c:v>
                </c:pt>
                <c:pt idx="4">
                  <c:v>124.8</c:v>
                </c:pt>
                <c:pt idx="5">
                  <c:v>152.4</c:v>
                </c:pt>
                <c:pt idx="6">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20.7</c:v>
                </c:pt>
                <c:pt idx="1">
                  <c:v>12.9</c:v>
                </c:pt>
                <c:pt idx="2">
                  <c:v>14.1</c:v>
                </c:pt>
                <c:pt idx="3">
                  <c:v>9.5</c:v>
                </c:pt>
                <c:pt idx="4">
                  <c:v>10.7</c:v>
                </c:pt>
                <c:pt idx="5">
                  <c:v>11.8</c:v>
                </c:pt>
                <c:pt idx="6">
                  <c:v>13.9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7.7</c:v>
                </c:pt>
                <c:pt idx="1">
                  <c:v>7.7</c:v>
                </c:pt>
                <c:pt idx="2">
                  <c:v>7.7</c:v>
                </c:pt>
                <c:pt idx="3">
                  <c:v>7.7</c:v>
                </c:pt>
                <c:pt idx="4">
                  <c:v>7.7</c:v>
                </c:pt>
                <c:pt idx="5">
                  <c:v>7.7</c:v>
                </c:pt>
                <c:pt idx="6">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23.8</c:v>
                </c:pt>
                <c:pt idx="1">
                  <c:v>15.5</c:v>
                </c:pt>
                <c:pt idx="2">
                  <c:v>17.1</c:v>
                </c:pt>
                <c:pt idx="3">
                  <c:v>12.8</c:v>
                </c:pt>
                <c:pt idx="4">
                  <c:v>15.7</c:v>
                </c:pt>
                <c:pt idx="5">
                  <c:v>17.9</c:v>
                </c:pt>
                <c:pt idx="6">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0.35</c:v>
                </c:pt>
                <c:pt idx="1">
                  <c:v>0.61</c:v>
                </c:pt>
                <c:pt idx="2">
                  <c:v>0.56</c:v>
                </c:pt>
                <c:pt idx="3">
                  <c:v>1.05</c:v>
                </c:pt>
                <c:pt idx="4">
                  <c:v>1.27</c:v>
                </c:pt>
                <c:pt idx="5">
                  <c:v>1.64</c:v>
                </c:pt>
                <c:pt idx="6">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2028-2030</c:v>
                </c:pt>
                <c:pt idx="2">
                  <c:v>2032</c:v>
                </c:pt>
              </c:strCache>
            </c:strRef>
          </c:cat>
          <c:val>
            <c:numRef>
              <c:f>Hoja1!$B$2:$B$4</c:f>
              <c:numCache>
                <c:formatCode>#,##0</c:formatCode>
                <c:ptCount val="3"/>
                <c:pt idx="0">
                  <c:v>1.2</c:v>
                </c:pt>
                <c:pt idx="1">
                  <c:v>203.8</c:v>
                </c:pt>
                <c:pt idx="2">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15.8</c:v>
                </c:pt>
                <c:pt idx="1">
                  <c:v>169</c:v>
                </c:pt>
                <c:pt idx="2">
                  <c:v>22.6</c:v>
                </c:pt>
                <c:pt idx="3">
                  <c:v>61.5</c:v>
                </c:pt>
                <c:pt idx="4">
                  <c:v>144.3</c:v>
                </c:pt>
                <c:pt idx="5">
                  <c:v>333</c:v>
                </c:pt>
                <c:pt idx="6">
                  <c:v>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164.6</c:v>
                </c:pt>
                <c:pt idx="1">
                  <c:v>4.3</c:v>
                </c:pt>
                <c:pt idx="2">
                  <c:v>112.3</c:v>
                </c:pt>
                <c:pt idx="3">
                  <c:v>133.8</c:v>
                </c:pt>
                <c:pt idx="4">
                  <c:v>68.1</c:v>
                </c:pt>
                <c:pt idx="5">
                  <c:v>88.9</c:v>
                </c:pt>
                <c:pt idx="6">
                  <c:v>100.3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0.2</c:v>
                </c:pt>
                <c:pt idx="5">
                  <c:v>0.2</c:v>
                </c:pt>
                <c:pt idx="6">
                  <c:v>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11</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KORVA SE (familia Fielmann, a través de la Fielmann Familienstiftung y fielmann INTER-OPTIK)</c:v>
                </c:pt>
                <c:pt idx="1">
                  <c:v>Stichting Tranquilitati (fundación neerlandesa de la familia Fielmann)</c:v>
                </c:pt>
                <c:pt idx="2">
                  <c:v>Marc Fielmann (directa)</c:v>
                </c:pt>
                <c:pt idx="3">
                  <c:v>Sophie Fielmann-Lobron (directa)</c:v>
                </c:pt>
                <c:pt idx="4">
                  <c:v>Autocartera</c:v>
                </c:pt>
                <c:pt idx="5">
                  <c:v>Capital libre</c:v>
                </c:pt>
              </c:strCache>
            </c:strRef>
          </c:cat>
          <c:val>
            <c:numRef>
              <c:f>Hoja1!$B$2:$B$7</c:f>
              <c:numCache>
                <c:formatCode>0.0"%"</c:formatCode>
                <c:ptCount val="6"/>
                <c:pt idx="0">
                  <c:v>51.19</c:v>
                </c:pt>
                <c:pt idx="1">
                  <c:v>10.59</c:v>
                </c:pt>
                <c:pt idx="2">
                  <c:v>9.14</c:v>
                </c:pt>
                <c:pt idx="3">
                  <c:v>1.98</c:v>
                </c:pt>
                <c:pt idx="4">
                  <c:v>0.17</c:v>
                </c:pt>
                <c:pt idx="5">
                  <c:v>27.09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-5.6</c:v>
                </c:pt>
                <c:pt idx="1">
                  <c:v>20.1</c:v>
                </c:pt>
                <c:pt idx="2">
                  <c:v>-24.1</c:v>
                </c:pt>
                <c:pt idx="3">
                  <c:v>37.3</c:v>
                </c:pt>
                <c:pt idx="4">
                  <c:v>-7.7</c:v>
                </c:pt>
                <c:pt idx="5">
                  <c:v>-9.3</c:v>
                </c:pt>
                <c:pt idx="6">
                  <c:v>-35</c:v>
                </c:pt>
                <c:pt idx="7">
                  <c:v>33.4</c:v>
                </c:pt>
                <c:pt idx="8">
                  <c:v>-12.9</c:v>
                </c:pt>
                <c:pt idx="9">
                  <c:v>7.3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c:v>
                </c:pt>
                <c:pt idx="1">
                  <c:v>24.9</c:v>
                </c:pt>
                <c:pt idx="2">
                  <c:v>-20</c:v>
                </c:pt>
                <c:pt idx="3">
                  <c:v>31.6</c:v>
                </c:pt>
                <c:pt idx="4">
                  <c:v>18</c:v>
                </c:pt>
                <c:pt idx="5">
                  <c:v>11.2</c:v>
                </c:pt>
                <c:pt idx="6">
                  <c:v>-27.3</c:v>
                </c:pt>
                <c:pt idx="7">
                  <c:v>17.1</c:v>
                </c:pt>
                <c:pt idx="8">
                  <c:v>-1.8</c:v>
                </c:pt>
                <c:pt idx="9">
                  <c:v>25.3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16.1</c:v>
                </c:pt>
                <c:pt idx="1">
                  <c:v>17.4</c:v>
                </c:pt>
                <c:pt idx="2">
                  <c:v>13.2</c:v>
                </c:pt>
                <c:pt idx="3">
                  <c:v>10.4</c:v>
                </c:pt>
                <c:pt idx="4">
                  <c:v>11.6</c:v>
                </c:pt>
                <c:pt idx="5">
                  <c:v>9</c:v>
                </c:pt>
                <c:pt idx="6">
                  <c:v>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11</c:v>
                </c:pt>
                <c:pt idx="1">
                  <c:v>11</c:v>
                </c:pt>
                <c:pt idx="2">
                  <c:v>11</c:v>
                </c:pt>
                <c:pt idx="3">
                  <c:v>11</c:v>
                </c:pt>
                <c:pt idx="4">
                  <c:v>11</c:v>
                </c:pt>
                <c:pt idx="5">
                  <c:v>11</c:v>
                </c:pt>
                <c:pt idx="6">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Fielmann</c:v>
                </c:pt>
                <c:pt idx="1">
                  <c:v>EssilorLuxottica</c:v>
                </c:pt>
                <c:pt idx="2">
                  <c:v>Amplifon</c:v>
                </c:pt>
                <c:pt idx="3">
                  <c:v>Sonova</c:v>
                </c:pt>
                <c:pt idx="4">
                  <c:v>Demant</c:v>
                </c:pt>
                <c:pt idx="5">
                  <c:v>Warby Parker</c:v>
                </c:pt>
                <c:pt idx="6">
                  <c:v>National Vision</c:v>
                </c:pt>
              </c:strCache>
            </c:strRef>
          </c:cat>
          <c:val>
            <c:numRef>
              <c:f>Hoja1!$B$2:$B$8</c:f>
              <c:numCache>
                <c:formatCode>0.0"x"</c:formatCode>
                <c:ptCount val="7"/>
                <c:pt idx="0">
                  <c:v>6.6</c:v>
                </c:pt>
                <c:pt idx="1">
                  <c:v>10</c:v>
                </c:pt>
                <c:pt idx="3">
                  <c:v>14.5</c:v>
                </c:pt>
                <c:pt idx="4">
                  <c:v>13</c:v>
                </c:pt>
                <c:pt idx="5">
                  <c:v>19.8</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Fielmann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6.6</c:v>
                </c:pt>
              </c:numCache>
            </c:numRef>
          </c:yVal>
          <c:smooth val="0"/>
        </c:ser>
        <c:ser>
          <c:idx val="1"/>
          <c:order val="1"/>
          <c:tx>
            <c:strRef>
              <c:f>Hoja1!$A$3</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10</c:v>
                </c:pt>
              </c:numCache>
            </c:numRef>
          </c:yVal>
          <c:smooth val="0"/>
        </c:ser>
        <c:ser>
          <c:idx val="2"/>
          <c:order val="2"/>
          <c:tx>
            <c:strRef>
              <c:f>Hoja1!$A$4</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14.5</c:v>
                </c:pt>
              </c:numCache>
            </c:numRef>
          </c:yVal>
          <c:smooth val="0"/>
        </c:ser>
        <c:ser>
          <c:idx val="3"/>
          <c:order val="3"/>
          <c:tx>
            <c:strRef>
              <c:f>Hoja1!$A$5</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9.8</c:v>
                </c:pt>
              </c:numCache>
            </c:numRef>
          </c:xVal>
          <c:yVal>
            <c:numRef>
              <c:f>Hoja1!$C$5</c:f>
              <c:numCache>
                <c:formatCode>0.0"x"</c:formatCode>
                <c:ptCount val="1"/>
                <c:pt idx="0">
                  <c:v>13</c:v>
                </c:pt>
              </c:numCache>
            </c:numRef>
          </c:yVal>
          <c:smooth val="0"/>
        </c:ser>
        <c:ser>
          <c:idx val="4"/>
          <c:order val="4"/>
          <c:tx>
            <c:strRef>
              <c:f>Hoja1!$A$6</c:f>
              <c:strCache>
                <c:ptCount val="1"/>
                <c:pt idx="0">
                  <c:v>Warby Parker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14.8</c:v>
                </c:pt>
              </c:numCache>
            </c:numRef>
          </c:xVal>
          <c:yVal>
            <c:numRef>
              <c:f>Hoja1!$C$6</c:f>
              <c:numCache>
                <c:formatCode>0.0"x"</c:formatCode>
                <c:ptCount val="1"/>
                <c:pt idx="0">
                  <c:v>19.8</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GN Hearing (fabricante de audífonos, filial de GN Store Nord)</c:v>
                </c:pt>
                <c:pt idx="1">
                  <c:v>Diez sociedades de óptica y audición de Luxemburgo</c:v>
                </c:pt>
                <c:pt idx="2">
                  <c:v>Shopko Optical (cadena óptica de EE. UU.)</c:v>
                </c:pt>
                <c:pt idx="3">
                  <c:v>SVS Vision (cadena óptica de Míchigan, EE. UU.)</c:v>
                </c:pt>
                <c:pt idx="4">
                  <c:v>GrandVision (cadena óptica europea, 76,72 % de HAL y OPA posterior)</c:v>
                </c:pt>
              </c:strCache>
            </c:strRef>
          </c:cat>
          <c:val>
            <c:numRef>
              <c:f>Hoja1!$B$2:$B$6</c:f>
              <c:numCache>
                <c:formatCode>0.0"x"</c:formatCode>
                <c:ptCount val="5"/>
                <c:pt idx="0">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166</c:v>
                </c:pt>
                <c:pt idx="1">
                  <c:v>169</c:v>
                </c:pt>
                <c:pt idx="2">
                  <c:v>185</c:v>
                </c:pt>
                <c:pt idx="3">
                  <c:v>211</c:v>
                </c:pt>
                <c:pt idx="4">
                  <c:v>232</c:v>
                </c:pt>
                <c:pt idx="5">
                  <c:v>249</c:v>
                </c:pt>
                <c:pt idx="6">
                  <c:v>267</c:v>
                </c:pt>
                <c:pt idx="7">
                  <c:v>274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1223</c:v>
                </c:pt>
                <c:pt idx="1">
                  <c:v>719</c:v>
                </c:pt>
                <c:pt idx="2">
                  <c:v>2333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24.82</c:v>
                </c:pt>
                <c:pt idx="1">
                  <c:v>41.96</c:v>
                </c:pt>
                <c:pt idx="2">
                  <c:v>57.53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35.83</c:v>
                </c:pt>
                <c:pt idx="6">
                  <c:v>24.82</c:v>
                </c:pt>
                <c:pt idx="7">
                  <c:v>46.34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14.850000000000001</c:v>
                </c:pt>
                <c:pt idx="6">
                  <c:v>32.71</c:v>
                </c:pt>
                <c:pt idx="7">
                  <c:v>13.939999999999998</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