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 Inc.</w:t>
      </w:r>
    </w:p>
    <w:p>
      <w:pPr>
        <w:spacing w:after="60"/>
        <w:rPr>
          <w:color w:val="52514E"/>
          <w:sz w:val="22"/>
          <w:szCs w:val="22"/>
        </w:rPr>
      </w:pPr>
      <w:r>
        <w:rPr>
          <w:color w:val="52514E"/>
          <w:sz w:val="22"/>
          <w:szCs w:val="22"/>
        </w:rPr>
        <w:t xml:space="preserve">INTU · NASDAQ Global Select Market · ISIN US4612021034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302,75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342,07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+14,6 % (base +16,8 %)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430,22 USD · mercado 497,73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81.561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 / US4612021034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https://www.intuit.com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302,75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252,84 – 689,17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81.561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82.061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1.241 M USD/día (3,9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342,07 USD</w:t>
      </w:r>
      <w:r>
        <w:t xml:space="preserve"> frente a 302,75 · Rentabilidad a 12 meses </w:t>
      </w:r>
      <w:r>
        <w:rPr>
          <w:b/>
          <w:bCs/>
        </w:rPr>
        <w:t xml:space="preserve">+14,6 % (base +16,8 %)</w:t>
      </w:r>
      <w:r>
        <w:t xml:space="preserve"> · Valor intrínseco 430,22 USD · con la prima implícita del mercado: 497,73 (+64,4 %) · Alcista / bajista +71,6 % / -30,1 %</w:t>
      </w:r>
    </w:p>
    <w:p>
      <w:pPr>
        <w:spacing w:after="100"/>
      </w:pPr>
      <w:r>
        <w:rPr>
          <w:b/>
        </w:rPr>
        <w:t xml:space="preserve">La recomendación y por qué.</w:t>
      </w:r>
      <w:r>
        <w:t xml:space="preserve"> Comprar, con convicción media. El valor objetivo es de 430,22 USD, un 42,1 % por encima del precio de 302,75 USD, y con el dividendo la rentabilidad total esperada a 12 meses es del 43,7 %. El alcista gana un 71,6 % y el bajista pierde un 30,1 %: asimetría de 2,38 veces. Las dos reglas dan Comprar; con la prima de riesgo que hoy pide el mercado, el objetivo sube a 497,73 USD (+64,4 %). La razón en una frase: el precio descuenta que Intuit deja de crecer cuando su guía da un +9-10 % para FY2027. La convicción es media, la que sugieren los criterios, porque el bajista pierde más de un 25 %: el riesgo de la IA sobre TurboTax es real. Subiría si la campaña fiscal de 2027 recupera declaraciones y bajaría si TurboTax vuelve a perder cuota.</w:t>
      </w:r>
    </w:p>
    <w:p>
      <w:pPr>
        <w:spacing w:after="100"/>
      </w:pPr>
      <w:r>
        <w:rPr>
          <w:b/>
        </w:rPr>
        <w:t xml:space="preserve">El negocio.</w:t>
      </w:r>
      <w:r>
        <w:t xml:space="preserve"> Intuit es TurboTax (impuestos de particulares en EE. UU.), QuickBooks (contabilidad de pymes) y Credit Karma: 21.448 M de ingresos en FY2026 con un margen EBIT del 28,8 % y un ROIC del 23,1 % [1]. Su calidad sostiene en parte el crecimiento del caso base (7,1 % anual, sin capital): las pymes y Credit Karma crecen a doble dígito, pero TurboTax ha agotado su poder de precios [6, 7].</w:t>
      </w:r>
    </w:p>
    <w:p>
      <w:pPr>
        <w:spacing w:after="100"/>
      </w:pPr>
      <w:r>
        <w:rPr>
          <w:b/>
        </w:rPr>
        <w:t xml:space="preserve">Finanzas.</w:t>
      </w:r>
      <w:r>
        <w:t xml:space="preserve"> Los ingresos crecieron al 17,1 % anual en la década, con compras; el orgánico fue del 13-16 % en FY2023-FY2026. Genera un flujo libre del 10,6 % de su capitalización, aunque el de FY2026 está inflado por unos impuestos pagados excepcionalmente bajos [1]. La deuda neta es casi nula. Credit Karma y Mailchimp (19.200 M) bajaron el ROIC del 100 % al 13 % en FY2023; Mailchimp no crece.</w:t>
      </w:r>
    </w:p>
    <w:p>
      <w:pPr>
        <w:spacing w:after="100"/>
      </w:pPr>
      <w:r>
        <w:rPr>
          <w:b/>
        </w:rPr>
        <w:t xml:space="preserve">Equipo y gobierno.</w:t>
      </w:r>
      <w:r>
        <w:t xml:space="preserve"> Neutro. 11 de 13 consejeros son independientes y la remuneración se aprueba con más del 91 % [32, 33, 34, 35]. Pero desde enero Goodarzi es a la vez presidente y consejero delegado, los directivos vendieron 357,7 M en 12 meses y la guía de FY2023 se incumplió en ingresos [33, 42, 47].</w:t>
      </w:r>
    </w:p>
    <w:p>
      <w:pPr>
        <w:spacing w:after="100"/>
      </w:pPr>
      <w:r>
        <w:rPr>
          <w:b/>
        </w:rPr>
        <w:t xml:space="preserve">Valoración.</w:t>
      </w:r>
      <w:r>
        <w:t xml:space="preserve"> El DCF da 440,34 USD (+45,4 %). El DCF inverso dice que el precio supone un crecimiento de los ingresos del 1,2 % anual hasta FY2034e, frente al 7,1 % de nuestro caso base, o un margen EBITDA del 27,3 % en vez del 38,5 %: comprar hoy rinde un 13,2 % anual con nuestro caso base. Cotiza a 11,7 veces el EBITDA y 18,4 veces el beneficio, los mínimos de su década (medias de 35,7 y 52,3 veces), y por debajo del software comparable; comparables (400,82 USD) y transacciones (563,40) quedan por encima del precio. Discrepamos del mercado en la velocidad del daño de la IA.</w:t>
      </w:r>
    </w:p>
    <w:p>
      <w:pPr>
        <w:spacing w:after="100"/>
      </w:pPr>
      <w:r>
        <w:rPr>
          <w:b/>
        </w:rPr>
        <w:t xml:space="preserve">Riesgos y catalizadores.</w:t>
      </w:r>
      <w:r>
        <w:t xml:space="preserve"> El mayor riesgo es que los agentes de IA hagan gratis la declaración y la contabilidad básica, como les pasó a Chegg (bajista: 211,61 USD). La dirección admite que el precio ya es el primer motivo de baja en TurboTax [7]. Catalizadores: resultados del 1T FY2027 a finales de noviembre (fecha estimada), la campaña fiscal de enero-abril de 2027 y recompras con 7.900 M pendientes.</w:t>
      </w:r>
    </w:p>
    <w:p>
      <w:pPr>
        <w:spacing w:after="100"/>
      </w:pPr>
      <w:r>
        <w:rPr>
          <w:b/>
        </w:rPr>
        <w:t xml:space="preserve">Qué cambiaría la decisión.</w:t>
      </w:r>
      <w:r>
        <w:t xml:space="preserve"> Seguiría siendo Comprar por debajo de 414,30 USD y pasaría a Vender por encima de 502,93 USD. Bajaríamos a Mantener si las declaraciones federales de TurboTax caen más de un 3 % en 2027 o si QuickBooks Online deja de ganar clientes.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342,07 USD</w:t>
      </w:r>
      <w:r>
        <w:t xml:space="preserve"> (rentabilidad +14,6 % (base +16,8 %)) · Valor intrínseco: 430,22 USD (+42,1 % sobre 302,75) · con la prima implícita del mercado: 497,73 (+64,4 %)</w:t>
      </w:r>
    </w:p>
    <w:p>
      <w:pPr>
        <w:spacing w:after="100"/>
      </w:pPr>
      <w:r>
        <w:t xml:space="preserve">Intuit es el software financiero del contribuyente y de la pyme estadounidense: TurboTax prepara 39 millones de declaraciones federales y, con QuickBooks y Credit Karma, el grupo suma unos 100 millones de clientes entre consumidores, pymes y asesores [6]. Facturó 21.448 M en FY2026 (+14 %) con un margen EBIT del 28,8 % [1].</w:t>
      </w:r>
    </w:p>
    <w:p>
      <w:pPr>
        <w:spacing w:after="100"/>
      </w:pPr>
      <w:r>
        <w:t xml:space="preserve">El precio de 302,75 USD, un 56 % por debajo del máximo de 52 semanas, descuenta que los ingresos casi dejan de crecer (1,2 % anual hasta FY2034) cuando la guía de FY2027 da un +9-10 %. Cotiza a 11,7 veces el EBITDA, el mínimo de su década [54].</w:t>
      </w:r>
    </w:p>
    <w:p>
      <w:pPr>
        <w:spacing w:after="100"/>
      </w:pPr>
      <w:r>
        <w:t xml:space="preserve">El mercado acierta en que TurboTax ha perdido poder de precios: cayeron las declaraciones federales en 2026 y la dirección lo admite [6, 7]. Se equivoca al extenderlo a todo el grupo: GBS, sin Mailchimp, crecerá un 13-14 % y Credit Karma un 11-13 % según la guía [6]. Para invertir hay que creer que la pyme seguirá pagando por QuickBooks aunque la declaración de impuestos se abarate.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16,27 = 208,26 · 15,1x × 23,10 = 348,81 · 19,6x × 25,04 = 490,78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(49,1x) es 3,3 veces el PER de hoy (15,1x);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405,60 (nuestro base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 / -30,1 %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frente a 10,0 %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-30,1 %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301,62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301,62 y 385,41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385,41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502,93 USD, pasaríamos a Vender.</w:t>
      </w:r>
    </w:p>
    <w:p>
      <w:pPr>
        <w:pStyle w:val="ListParagraph"/>
        <w:numPr>
          <w:ilvl w:val="0"/>
          <w:numId w:val="2"/>
        </w:numPr>
        <w:spacing w:after="60"/>
      </w:pPr>
      <w:r>
        <w:t xml:space="preserve">Si las declaraciones federales de TurboTax caen más de un 3 % en 2027, pasaríamos a Mantener.</w:t>
      </w:r>
    </w:p>
    <w:p>
      <w:pPr>
        <w:pStyle w:val="ListParagraph"/>
        <w:numPr>
          <w:ilvl w:val="0"/>
          <w:numId w:val="2"/>
        </w:numPr>
        <w:spacing w:after="60"/>
      </w:pPr>
      <w:r>
        <w:t xml:space="preserve">Si QuickBooks Online deja de ganar clientes, revisaríamos el caso base hacia el bajista.</w:t>
      </w:r>
    </w:p>
    <w:p>
      <w:pPr>
        <w:pStyle w:val="ListParagraph"/>
        <w:numPr>
          <w:ilvl w:val="0"/>
          <w:numId w:val="2"/>
        </w:numPr>
        <w:spacing w:after="60"/>
      </w:pPr>
      <w:r>
        <w:t xml:space="preserve">Si el 1T FY2027 incumple la guía de +11 % de ingresos, bajaríamos la convicción.</w:t>
      </w:r>
    </w:p>
    <w:p>
      <w:pPr>
        <w:pStyle w:val="ListParagraph"/>
        <w:numPr>
          <w:ilvl w:val="0"/>
          <w:numId w:val="2"/>
        </w:numPr>
        <w:spacing w:after="60"/>
      </w:pPr>
      <w:r>
        <w:t xml:space="preserve">Si TurboTax recupera cuota en la campaña de 2027,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convierte la declaración de impuestos y la contabilidad básica en algo gratuito, que TurboTax entra en declive y que QuickBooks le sigue: un Intuit sin crecimiento, valorado como H&amp;R Block.</w:t>
      </w:r>
    </w:p>
    <w:p>
      <w:pPr>
        <w:keepNext/>
        <w:spacing w:after="100"/>
      </w:pPr>
      <w:r>
        <w:rPr>
          <w:b/>
          <w:bCs/>
        </w:rPr>
        <w:t xml:space="preserve">Lo que creemos nosotros.</w:t>
      </w:r>
    </w:p>
    <w:p>
      <w:pPr>
        <w:spacing w:after="100"/>
      </w:pPr>
      <w:r>
        <w:t xml:space="preserve">TurboTax crecerá poco (2-3 % en FY2027) y con menos precio, pero dos tercios del crecimiento vienen ya de pymes y Credit Karma, que crecen a doble dígito; un 7,1 % anual de media es prudente frente a la guía.</w:t>
      </w:r>
    </w:p>
    <w:p>
      <w:pPr>
        <w:keepNext/>
        <w:spacing w:after="100"/>
      </w:pPr>
      <w:r>
        <w:rPr>
          <w:b/>
          <w:bCs/>
        </w:rPr>
        <w:t xml:space="preserve">Por qué podemos tener razón.</w:t>
      </w:r>
    </w:p>
    <w:p>
      <w:pPr>
        <w:spacing w:after="100"/>
      </w:pPr>
      <w:r>
        <w:t xml:space="preserve">Porque la guía de FY2027 se dio en agosto, después de la peor campaña de TurboTax, y sigue dando un +9-10 % con el beneficio operativo GAAP al +26-27 % [6]. Si la IA rompiera también QuickBooks, se vería primero en los clientes de QuickBooks Online, que siguen creciendo.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11,7 veces el EBITDA y 18,4 veces el beneficio, mínimos de la década.</w:t>
      </w:r>
    </w:p>
    <w:p>
      <w:pPr>
        <w:pStyle w:val="ListParagraph"/>
        <w:numPr>
          <w:ilvl w:val="0"/>
          <w:numId w:val="2"/>
        </w:numPr>
        <w:spacing w:after="60"/>
      </w:pPr>
      <w:r>
        <w:rPr>
          <w:b/>
        </w:rPr>
        <w:t xml:space="preserve">Guía de FY2027</w:t>
      </w:r>
      <w:r>
        <w:t xml:space="preserve">: ingresos +9-10 % y beneficio operativo GAAP +26-27 % [6].</w:t>
      </w:r>
    </w:p>
    <w:p>
      <w:pPr>
        <w:pStyle w:val="ListParagraph"/>
        <w:numPr>
          <w:ilvl w:val="0"/>
          <w:numId w:val="2"/>
        </w:numPr>
        <w:spacing w:after="60"/>
      </w:pPr>
      <w:r>
        <w:rPr>
          <w:b/>
        </w:rPr>
        <w:t xml:space="preserve">Pymes y Credit Karma</w:t>
      </w:r>
      <w:r>
        <w:t xml:space="preserve">: GBS sin Mailchimp +13-14 % y Credit Karma +11-13 % previstos [6].</w:t>
      </w:r>
    </w:p>
    <w:p>
      <w:pPr>
        <w:pStyle w:val="ListParagraph"/>
        <w:numPr>
          <w:ilvl w:val="0"/>
          <w:numId w:val="2"/>
        </w:numPr>
        <w:spacing w:after="60"/>
      </w:pPr>
      <w:r>
        <w:rPr>
          <w:b/>
        </w:rPr>
        <w:t xml:space="preserve">Caja</w:t>
      </w:r>
      <w:r>
        <w:t xml:space="preserve">: flujo libre del 10,6 % de la capitalización y deuda neta casi nula.</w:t>
      </w:r>
    </w:p>
    <w:p>
      <w:pPr>
        <w:pStyle w:val="ListParagraph"/>
        <w:numPr>
          <w:ilvl w:val="0"/>
          <w:numId w:val="2"/>
        </w:numPr>
        <w:spacing w:after="60"/>
      </w:pPr>
      <w:r>
        <w:rPr>
          <w:b/>
        </w:rPr>
        <w:t xml:space="preserve">Recompras</w:t>
      </w:r>
      <w:r>
        <w:t xml:space="preserve">: 7.900 M de autorización, un 10 % del capital al precio de hoy.</w:t>
      </w:r>
    </w:p>
    <w:p>
      <w:pPr>
        <w:pStyle w:val="Heading2"/>
      </w:pPr>
      <w:r>
        <w:t xml:space="preserve">En contra</w:t>
      </w:r>
    </w:p>
    <w:p>
      <w:pPr>
        <w:pStyle w:val="ListParagraph"/>
        <w:numPr>
          <w:ilvl w:val="0"/>
          <w:numId w:val="2"/>
        </w:numPr>
        <w:spacing w:after="60"/>
      </w:pPr>
      <w:r>
        <w:rPr>
          <w:b/>
        </w:rPr>
        <w:t xml:space="preserve">TurboTax pierde clientes</w:t>
      </w:r>
      <w:r>
        <w:t xml:space="preserve">: −2 % de declaraciones federales en 2026; el precio es el primer motivo de baja [6, 7].</w:t>
      </w:r>
    </w:p>
    <w:p>
      <w:pPr>
        <w:pStyle w:val="ListParagraph"/>
        <w:numPr>
          <w:ilvl w:val="0"/>
          <w:numId w:val="2"/>
        </w:numPr>
        <w:spacing w:after="60"/>
      </w:pPr>
      <w:r>
        <w:rPr>
          <w:b/>
        </w:rPr>
        <w:t xml:space="preserve">Riesgo de la IA</w:t>
      </w:r>
      <w:r>
        <w:t xml:space="preserve">: Intuit ya cuenta a los asistentes de IA entre sus competidores [1].</w:t>
      </w:r>
    </w:p>
    <w:p>
      <w:pPr>
        <w:pStyle w:val="ListParagraph"/>
        <w:numPr>
          <w:ilvl w:val="0"/>
          <w:numId w:val="2"/>
        </w:numPr>
        <w:spacing w:after="60"/>
      </w:pPr>
      <w:r>
        <w:rPr>
          <w:b/>
        </w:rPr>
        <w:t xml:space="preserve">Compras caras</w:t>
      </w:r>
      <w:r>
        <w:t xml:space="preserve">: Credit Karma y Mailchimp (19.200 M) bajaron el ROIC del 100 % al 13 % [1].</w:t>
      </w:r>
    </w:p>
    <w:p>
      <w:pPr>
        <w:pStyle w:val="ListParagraph"/>
        <w:numPr>
          <w:ilvl w:val="0"/>
          <w:numId w:val="2"/>
        </w:numPr>
        <w:spacing w:after="60"/>
      </w:pPr>
      <w:r>
        <w:rPr>
          <w:b/>
        </w:rPr>
        <w:t xml:space="preserve">Gobierno</w:t>
      </w:r>
      <w:r>
        <w:t xml:space="preserve">: presidente y consejero delegado en la misma persona; ventas de directivos de 357,7 M [33, 42].</w:t>
      </w:r>
    </w:p>
    <w:p>
      <w:pPr>
        <w:pStyle w:val="ListParagraph"/>
        <w:numPr>
          <w:ilvl w:val="0"/>
          <w:numId w:val="2"/>
        </w:numPr>
        <w:spacing w:after="60"/>
      </w:pPr>
      <w:r>
        <w:rPr>
          <w:b/>
        </w:rPr>
        <w:t xml:space="preserve">Flujo de 2026 inflado</w:t>
      </w:r>
      <w:r>
        <w:t xml:space="preserve"> por impuestos pagados bajos [1].</w:t>
      </w:r>
    </w:p>
    <w:p>
      <w:pPr>
        <w:pStyle w:val="Heading2"/>
      </w:pPr>
      <w:r>
        <w:t xml:space="preserve">Qué tiene que pasar para que la tesis funcione</w:t>
      </w:r>
    </w:p>
    <w:p>
      <w:pPr>
        <w:spacing w:after="100"/>
      </w:pPr>
      <w:r>
        <w:t xml:space="preserve">La tesis depende de que QuickBooks y Credit Karma sigan creciendo a doble dígito mientras TurboTax se estabiliza. La señal de que no ocurre sería una campaña fiscal de 2027 con las declaraciones de TurboTax cayendo más de un 3 % o un 1T FY2027 por debajo de la guía de +11 %.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federales de TurboTax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millones (−2 %,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erosión por la IA y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GBS sin Mailchimp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+13-14 %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en línea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millones (+3 %)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vería primero aquí.</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Credit Karma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+11-13 %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motor de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(FY2026); guía ≈ 32 %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salto de beneficio de la guía.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 se constituyó en California en marzo de 1984, se trasladó a Delaware y salió a bolsa en marzo de 1993 [1]. Creció con tres franquicias: la contabilidad para pymes (QuickBooks), la declaración de la renta para particulares (TurboTax) y el software fiscal para asesores (Lacerte, ProSeries). En la última década se transformó con dos compras grandes: Credit Karma (diciembre de 2020, 8.100 M USD) y Mailchimp (noviembre de 2021, 12.000 M USD: 5.700 M en efectivo y 10,1 M de acciones) [10]. Sasan Goodarzi es consejero delegado desde enero de 2019 y presidente desde enero de 2026; ese mismo 2019 la empresa declaró su estrategia de plataforma experta impulsada por IA [1]. En mayo de 2026 recortó un 17 % la plantilla fija para reasignar recursos a sus tres grandes apuestas [11], y en el FY2026 superó los 21.000 M USD de ingresos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California (marzo de 1984)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Delaware y salida a bolsa en marzo de 1993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Goodarzi, consejero delegado (enero); la empresa declara la estrategia de plataforma experta con 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Credit Karma el 3 de diciembre de 2020 por 8.100 M USD: entrada en la recomendación de créditos y seguros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Mailchimp el 1 de noviembre de 2021 por 12.000 M USD (5.700 M en efectivo y 10,1 M de acciones), financiada en parte con un préstamo de 4.700 M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los fiscales generales de los 50 estados por la publicidad de TurboTax «gratis»: 141 M USD, sin admitir culpa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la orden de la FTC sobre la publicidad de TurboTax (23 de marzo), sin sanción económica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Consumer, Credit Karma y ProTax se unen en un solo segmento Consumer (1 de agosto); el IRS suspende Direct File para la campaña de 2026 (noviembre)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Quinto Circuito anula la orden de la FTC (20 de marzo); recorte del 17 % de la plantilla fija (20 de mayo); ingresos de 21.448 M USD en el FY2026; Mailchimp pasa a segmento propio desde el FY2027 [1, 6,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 vende software financiero y servicios a unos 93 millones de particulares, pymes y asesores, sobre todo en EE. UU.: los ingresos internacionales son en torno al 8 % del total [1]. En pymes (Global Business Solutions, 60 % de los ingresos del FY2026) ofrece QuickBooks Online y Desktop, Intuit Enterprise Suite para empresas medianas, nóminas, cobros con tarjeta, pago de facturas, cuenta corriente, préstamos (QuickBooks Capital) y marketing por correo (Mailchimp) [1]. En particulares (Consumer, 40 %) vende TurboTax, en versión «hágalo usted mismo» y asistida por expertos (TurboTax Live), Credit Karma, que recomienda tarjetas, préstamos y seguros, y ProTax, el software fiscal para asesores (Lacerte, ProSeries, ProConnect) [1]. Vende sobre todo en directo por internet y apps, y a través de asesores contables (programa ProAdvisor), bancos, minoristas y plataformas de IA [1]. Usa la nube pública de Amazon Web Services y Google Cloud para la mayoría de sus sistemas [1].</w:t>
      </w:r>
    </w:p>
    <w:p>
      <w:pPr>
        <w:pStyle w:val="Heading2"/>
      </w:pPr>
      <w:r>
        <w:t xml:space="preserve">Cómo gana dinero</w:t>
      </w:r>
    </w:p>
    <w:p>
      <w:pPr>
        <w:spacing w:after="100"/>
      </w:pPr>
      <w:r>
        <w:t xml:space="preserve">Cuatro motores. Suscripciones de QuickBooks Online Accounting (5.051 M USD en el FY2026, +23 % por precios efectivos más altos, más clientes y mezcla) [1]. Servicios en línea ligados al volumen, como cobros, nóminas y préstamos (4.867 M, +16 %): los cobros crecen con el volumen procesado por cliente y el rendimiento, y QuickBooks Capital con el volumen de préstamos [1]. TurboTax (5.296 M, +7 %), que cobra por declaración y crece por la mezcla hacia la versión asistida: TurboTax Live ya es el 53 % de los ingresos de TurboTax y creció un 37 % [6]. Y Credit Karma (2.641 M, +20 %), que cobra comisiones por cada préstamo, tarjeta o seguro contratado y depende del apetito de crédito de los bancos [1, 6]. La estacionalidad es muy fuerte: TurboTax y ProTax se concentran de noviembre a abril, en el 2T y el 3T fiscales [1]. El margen operativo GAAP fue del 27,4 % en el FY2026 (5.884 M sobre 21.448 M)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Intuit vende a decenas de millones de particulares y pymes y no publica ningún cliente relevante [1]. Lo que se repite es el </w:t>
      </w:r>
      <w:r>
        <w:rPr>
          <w:b/>
        </w:rPr>
        <w:t xml:space="preserve">poder de precios</w:t>
      </w:r>
      <w:r>
        <w:t xml:space="preserve">. En el FY2026 los clientes de pago del ecosistema en línea crecieron un 3 %, pero el ingreso medio por cliente subió un 15 % [1]. El ecosistema Desktop creció un 6 % solo por precios efectivos más altos [1]. En TurboTax Online el ingreso medio por usuario se esperaba +11 % en la campaña de 2026, mientras las unidades totales en línea caían cerca de un 2 % y los usuarios que no pagan bajaban de 8 a 7 millones [12]. Las unidades federales de TurboTax en EE. UU. bajaron un 2 %, de 39,9 a 39,0 millones (Desktop −7 %, Online −2 %) [6]. La empresa no publica tasa de renovación ni de bajas; como referencia del sector, Xero declara una tasa de bajas mensual media del 1,14 %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del ecosistema online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(+5 %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QuickBooks Online, QuickBooks Time y Mailchimp; dos puntos menos de crecimiento que el año anterior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cliente del ecosistema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precio y adopción de servicios (cobros, nóminas, capital)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federales de TurboTax en EE. UU.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Online 34,9 (-2 %), escritorio 4,1 (-7 %)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TurboTax Live (peso en TurboTax)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en ingresos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TurboTax Live +38 % en FY2026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Credit Karma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personales, tarjetas y seguros; la empresa no publica el número de miembros en el 10-K ni en la nota de resultados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Mailchimp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1.267 M; guía FY2027 de -1 % a 0 %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préstamos de QuickBooks Capital en el 4T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préstamos vendidos a socios (forward flow), con menor rendimiento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de mercado medio (QBO Advanced + Intuit Enterprise Suite)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mercado medio +39 % en FY2026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Intuit juega en dos mercados. El primero es la declaración de la renta de particulares en EE. UU.: las declaraciones que el contribuyente prepara por sí mismo y presenta por internet son el mercado de TurboTax, y las de los profesionales, el de H&amp;R Block y ProTax. Se mide en unidades con la estadística oficial del IRS [13, 14, 15, 16, 17, 18] y en dinero con IBISWorld (servicios de preparación de impuestos) [27]. El segundo es el software de contabilidad y gestión para pymes, mundial pero con EE. UU. como mercado principal, con dos estimaciones independientes, la de Research and Markets [28] y la de Grand View Research [29]. La serie usa las declaraciones autopreparadas presentadas por internet (IRS), que es el volumen más directo del negocio de TurboTax. Ojo: los informes de mercado de software contable se quedan cortos frente a las cuentas reales. Research and Markets da 5.100 M USD para EE. UU. en 2025 [28], cuando solo QuickBooks Online Accounting y Desktop facturaron 6.852 M en el FY2026 [1]. Por eso esas cifras sirven para el crecimiento, no para calcular cuotas.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Declaración de la renta: 67,1 millones de declaraciones autopreparadas presentadas por internet en 2025 (87,9 millones de profesionales; 165,8 millones recibidas en total) [14]; en dinero, 15.000 M USD en 2026 los servicios de preparación de impuestos de EE. UU. [27]. Software de contabilidad: 16.600 M USD en el mundo en 2025, 5.100 M en EE. UU. [28]; 19.380 M USD en el mundo en 2024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eclaraciones individuales autopreparadas presentadas por internet en EE. UU. (año natural, IR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declaraciones y de contribuyentes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declaraciones autopreparadas por internet pasaron de 72,2 millones (2020, año de las ayudas por la pandemia) a 67,1 millones (2025); a 8-may-2026 iban un 1,7 % por encima del año anterior (65,7 frente a 64,6 millones) [13,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«hágalo usted mismo» a la declaración asistida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Live creció un 37 % y ya es el 53 % de los ingresos de TurboTax [6]; H&amp;R Block subió un 4 % su precio medio neto en la declaración asistida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contabilidad de las pymes y paso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crecimiento anual del 8,0 % (2025-2032) [28] y del 8,4 % (2025-2030) [29] del software de contabilidad; QuickBooks Online Accounting +23 %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y crédito integrados en el software (cobros, pago de facturas, préstamos)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dinero de Intuit subieron 434 M en el FY2026 [1]; Xero compró Melio, una plataforma estadounidense de pago de facturas, para unir contabilidad y pagos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 creció un 20 %, sobre todo por los préstamos personales (+235 M) [1, 6]; depende del apetito de crédito de bancos y aseguradoras.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Agentes de IA y ofertas gratuitas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cuenta ya entre sus competidores a los proveedores de IA de uso general [1]; los clientes de TurboTax que no pagan bajaron de 8 a 7 millones y las unidades en línea cayeron un 2 % [6,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actores grandes en la declaración de la renta (TurboTax, con 39,0 millones de unidades, frente a 3,6 millones de declaraciones de pago por internet de H&amp;R Block) [6, 19], pero con ofertas gratuitas: Cash App Taxes declara gratis [20]. La cuota de TurboTax en las declaraciones por internet bajó cerca de 1 punto en 2026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(unos 93 millones) sin capacidad de negociar [1]; el ingreso medio por cliente del ecosistema en línea subió un 15 % con un 3 % más de clientes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(AWS, Google Cloud) y los modelos de IA son insumos con varios proveedores [1]; los gastos de alojamiento y servicios externos crecen y el 10-K avisa de que la IA puede exigir más inversión y subir costes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exactitud fiscal, el cumplimiento normativo y la confianza; Intuit admite que la IA puede bajarlas para nuevos entrantes y para los proveedores de IA de uso general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profesionales presentan 87,9 millones de declaraciones frente a 67,1 millones autopreparadas [14]; el programa público Free File sigue vigente hasta octubre de 2029 [19]; Direct File llegó a 296.531 declaraciones aceptadas en 2025 antes de suspenderse [26]; los agentes de IA son el nuevo sustituto posible [1].</w:t>
            </w:r>
          </w:p>
        </w:tc>
      </w:tr>
    </w:tbl>
    <w:p>
      <w:pPr>
        <w:spacing w:after="160" w:before="0"/>
      </w:pPr>
    </w:p>
    <w:p>
      <w:pPr>
        <w:pStyle w:val="Heading2"/>
      </w:pPr>
      <w:r>
        <w:t xml:space="preserve">Ciclo</w:t>
      </w:r>
    </w:p>
    <w:p>
      <w:pPr>
        <w:spacing w:after="100"/>
      </w:pPr>
      <w:r>
        <w:t xml:space="preserve">El volumen de declaraciones es estable: 162-166 millones recibidas al año en 2022-2025 [14, 15, 16, 17]. Responde más a la política fiscal que al PIB. En 2020 las ayudas por la pandemia llevaron a 72,2 millones las autopreparadas por internet, que volvieron a 67,4 millones en 2021 [18]. En 2022 y 2023 bajaron un 0,6 % y un 2,8 % [16, 17]. El software contable para pymes sigue creciendo a tasas altas (QuickBooks Online +23 %, Xero +31 %, Sage +10 % subyacente) [1, 22, 23]. Lo cíclico está en Credit Karma y QuickBooks Capital, ligados al crédito [1]. No se ha documentado el comportamiento del sector en 2008-09.</w:t>
      </w:r>
    </w:p>
    <w:p>
      <w:pPr>
        <w:pStyle w:val="Heading2"/>
      </w:pPr>
      <w:r>
        <w:t xml:space="preserve">Regulación</w:t>
      </w:r>
    </w:p>
    <w:p>
      <w:pPr>
        <w:spacing w:after="100"/>
      </w:pPr>
      <w:r>
        <w:t xml:space="preserve">El IRS suspendió Direct File, su programa gratuito de declaración directa, para la campaña de 2026; el Tesoro alegó que había mejores alternativas y que se usaba poco [26]. Proponentes siguen defendiéndolo y el acuerdo Free File entre el IRS y la industria vence en octubre de 2029 [1, 19]. El 20 de marzo de 2026 el Quinto Circuito anuló la orden de la FTC sobre la publicidad de TurboTax «gratis» [1]. Credit Karma sigue bajo una orden de la FTC que exige un programa de seguridad con auditorías bienales hasta 2034 [1]. En IA rigen la Ley de IA de la UE (2025) y normas estatales en Utah, Colorado y California [1]. La ley fiscal OBBBA rebajó los pagos de impuestos en efectivo de Intuit en el FY2026 [1].</w:t>
      </w:r>
    </w:p>
    <w:p>
      <w:pPr>
        <w:pStyle w:val="Heading2"/>
      </w:pPr>
      <w:r>
        <w:t xml:space="preserve">Tendencias y disrupción</w:t>
      </w:r>
    </w:p>
    <w:p>
      <w:pPr>
        <w:spacing w:after="100"/>
      </w:pPr>
      <w:r>
        <w:t xml:space="preserve">La IA es la tendencia dominante y tiene dos caras. Intuit y sus rivales venden ya agentes que hacen el trabajo: Intuit declara agentes que ejecutan tareas de contabilidad de forma autónoma y experiencias de agente en TurboTax [1], H&amp;R Block ofrece AI Tax Assist [19] y Xero se presenta como ganador de la IA [22]. Al mismo tiempo, Intuit admite que los proveedores de IA de uso general pueden crear productos que resuelvan las mismas necesidades [1]. El mercado lo ha descontado: tras recortar la previsión de TurboTax a 5.277-5.282 M USD (desde 5.305-5.330 M) la acción tocó mínimos de cinco años, con una caída del 51 % en 2026 a esa fecha [30]. La segunda tendencia es la mezcla hacia la declaración asistida por expertos, que favorece a Intuit (TurboTax Live +37 %) [6]. La tercera, la unión de contabilidad, pagos y crédito en una sola plataforma (Xero con Melio, Bill.com, Block) [20, 21,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software fiscal para particulares en EE. UU. (estimación propia: 39,0 millones de unidades federales de TurboTax frente a 67,1 millones de declaraciones autopreparadas por internet, ≈ 58 %) [6, 14]. En contabilidad para pymes es el líder en EE. UU. por ingresos (6.852 M USD entre QuickBooks Online y Desktop Accounting), sin cuota fiable porque los informes de mercado dan un tamaño menor que sus propias ventas [1, 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la declaración de la renta: 11,3 millones de declaraciones asistidas y 3,6 millones de pago por internet en el FY2026 (junio); la cuota es la de sus declaraciones de pago por internet sobre las autopreparadas (estimación propia). Ingresos +4,9 %; la de por internet creció un 0,2 %. EBIT = ingresos menos gastos operativos (907,7 M). Ofrece AI Tax Assist y es dueña de Wave (contabilidad para pymes, 122,7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QuickBooks en contabilidad en la nube: 2.753 M NZD en el FY2026 (marzo), +31 %, con 4,92 millones de clientes y la compra de Melio para entrar en EE. UU.; resultado operativo de 316 M NZD, lastrado por los costes de la compra. Ingresos convertidos a 0,5876 USD/NZD, media del ejercicio [22,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contabilidad para pymes y empresas medianas (Sage Intacct, que creció un 23 % en EE. UU.): 2.513 M GBP en el FY2025 (septiembre), +10 % subyacente, y beneficio operativo de 530 M GBP. Compite con Intuit Enterprise Suite en el segmento medio. Convertido a 1,3071 USD/GBP, media del ejercicio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cobros de pymes (Square) y en la declaración de la renta gratuita (Cash App Taxes); ingresos planos en 2025 y resultado operativo de 1.708 M. Los ingresos incluyen bitcoin, de margen bajo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Holdings (Bill.com)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pago de facturas y cuentas a pagar de pymes, integrado con QuickBooks, NetSuite, Sage Intacct y Xero; ingresos +13 % en el FY2026 (junio) y pérdida operativa de 73 M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asesores ProAdvisor y de aplicaciones conectadas a QuickBooks Online [1]; Bill.com se integra con QuickBooks entre los primeros [14]. Credit Karma conecta usuarios y entidades con datos de aprobación (Lightbox)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y aun así los clientes crecieron un 3 % [1]; el ecosistema Desktop creció un 6 % solo por precio [1]. Los datos contables y el historial fiscal atan al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y QuickBooks son marcas registradas con 39,0 millones de unidades federales y 9.918 M USD de ecosistema en línea [1, 4]; cartera de patentes creciente, aunque sin dependencia de ninguna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del 27,4 % frente al 23,0 % de H&amp;R Block, el 21,1 % de Sage, el 11,5 % de Xero y el −4,4 % de Bill.com en sus últimos ejercicios [1, 12, 14-16].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93 millones de clientes y datos propios que alimentan sus modelos de IA [1]; pero la IA puede bajar las barreras de entrada, según la propia empresa [1].</w:t>
            </w:r>
          </w:p>
        </w:tc>
      </w:tr>
    </w:tbl>
    <w:p>
      <w:pPr>
        <w:spacing w:after="160" w:before="0"/>
      </w:pPr>
    </w:p>
    <w:p>
      <w:pPr>
        <w:pStyle w:val="Heading2"/>
      </w:pPr>
      <w:r>
        <w:t xml:space="preserve">Amenazas</w:t>
      </w:r>
    </w:p>
    <w:p>
      <w:pPr>
        <w:spacing w:after="100"/>
      </w:pPr>
      <w:r>
        <w:t xml:space="preserve">Tres, por orden de probabilidad. Primera, la erosión del volumen de TurboTax: en 2026 cayeron las unidades federales (−2 %) y la cuota de las declaraciones por internet (≈ −1 punto), y la guía del FY2027 da a TurboTax solo un +2-3 % [6, 12]. Segunda, los agentes de IA de uso general, que Intuit ya lista como competidores y que pueden ofrecer como complemento lo que hoy cobra TurboTax o QuickBooks [1]. Tercera, la declaración pública gratuita: Direct File está suspendido, no derogado, y Free File sigue hasta 2029 [19, 26]. En pymes, Xero entra en EE. UU. con Melio y Sage Intacct crece un 23 % en el segmento medio [22,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17,1 %</w:t>
      </w:r>
      <w:r>
        <w:t xml:space="preserve">, EBITDA </w:t>
      </w:r>
      <w:r>
        <w:rPr>
          <w:b/>
          <w:bCs/>
        </w:rPr>
        <w:t xml:space="preserve">17,4 %</w:t>
      </w:r>
      <w:r>
        <w:t xml:space="preserve">, BPA </w:t>
      </w:r>
      <w:r>
        <w:rPr>
          <w:b/>
          <w:bCs/>
        </w:rPr>
        <w:t xml:space="preserve">17,8 %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5.196 M en FY2017 a 21.448 M en FY2026 [1, 5]. FY2021 y FY2022 incluyen la entrada de Credit Karma (dic-2020) y Mailchimp (nov-2021) [3]; desde FY2023 el crecimiento es orgánico salvo una compra pequeña en FY2025 (184 M) [1]. En FY2026 los ingresos crecieron un 14 %: Global Business Solutions +16 % (+18 % sin Mailchimp) y Consumer +11 % (TurboTax +7 %, Credit Karma +20 %) [6]. El EBIT subió un 20 % hasta 5.884 M (27,4 % de margen) pese a 293 M de reestructuración en el 4T [1]. La amortización de intangibles de las dos compras (659 M en FY2026) y los pagos en acciones (2.056 M) van dentro del EBIT [1]. El beneficio neto de FY2026 (4.566 M) incluye 180 M de ganancias netas en inversiones a largo plazo [1] y una tasa fiscal del 24 % frente al 20 % de FY2025, por menos ventaja fiscal de los pagos en acciones [6].</w:t>
      </w:r>
    </w:p>
    <w:p>
      <w:pPr>
        <w:pStyle w:val="Heading2"/>
      </w:pPr>
      <w:r>
        <w:t xml:space="preserve">Ajustes y partidas no recurrentes</w:t>
      </w:r>
    </w:p>
    <w:p>
      <w:pPr>
        <w:spacing w:after="100"/>
      </w:pPr>
      <w:r>
        <w:t xml:space="preserve">Cifras reportadas US GAAP. El EBITDA es EBIT más depreciación y amortización de intangibles adquiridos del estado de flujos; incluye los pagos en acciones (2.056 M en FY2026, 9,6 % de los ingresos) [1]. En no recurrentes van la reestructuración de FY2024 (223 M, con 25 M de pagos en acciones), FY2025 (15 M) y FY2026 (293 M, plan de 2026 con coste total previsto de 315 M) [1] y el acuerdo de 141 M con los fiscales de los 50 estados en FY2022 [3]; hubo reestructuración en dos de los últimos tres ejercicios. El BPA no GAAP de la empresa (24,27 USD en FY2026) excluye pagos en acciones, amortización de intangibles, reestructuración y resultados de inversiones [6]; desde FY2027 dejará de excluir los pagos en acciones [6]. FY2017 está reexpresado por la norma de ingresos ASC 606 en el 10-K de FY2019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4T26 (25-ago-2026) la dirección presentó un FY2026 con 21.448 M de ingresos (+14 %) y BPA no GAAP de 24,27 USD (+20 %) [6], pero el mensaje central fue un cambio de modelo: reconoció que TurboTax perdió clientes de bricolaje fiscal por precio y anunció que aceptará un ingreso medio por cliente menor para recuperar cuota de declaraciones electrónicas del IRS [7]. Los clientes de pago del ecosistema online crecieron solo un 3 % (8,9 millones), dos puntos menos que un año antes, y la empresa fijó como prioridad captar clientes nuevos [7]. Anunció dos cambios de presentación: Mailchimp pasa a ser segmento propio en FY2027 y los pagos en acciones dejan de excluirse del resultado no GAAP [6]. La guía de FY2027 desacelera los ingresos al 9-10 % (TurboTax +2-3 %, Credit Karma +11-13 %, Desktop a la baja, Mailchimp de -1 % a 0 %) con mejora de margen por el recorte de plantilla del plan de 2026 (293 M de coste en el 4T) [6, 7]. El objetivo a largo plazo es crecer a doble dígito de forma duradera, y solo se dan expectativas por segmento [7]. Se mantuvo el ritmo de recompras (2.100 M en el 4T, +179 %)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Credit Karma, consolidada desde el 3-dic-2020: casi 8 meses en la cuenta y el año completo en el balance (fondo de comercio de 1.654 M a 5.613 M).; FY2022: Mailchimp, consolidada desde el 1-nov-2021 (12.000 M): 9 meses en la cuenta y el año completo en el balance (fondo de comercio a 13.736 M).; FY2020: el activo total crece un 74 % y los ingresos un 13 %).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488 M en FY2017 a 6.914 M en FY2022 por las compras de Credit Karma y Mailchimp, y está en 7.669 M en FY2026 tras emitir 1.750 M en jun-2026 para refinanciar los vencimientos de FY2027 [1, 5]. La caja con inversiones a corto plazo subió a 7.200 M [1]. El circulante operativo es negativo: clientes 625 M frente a ingresos diferidos 1.072 M y proveedores 873 M [1]. El activo está dominado por fondo de comercio (13.981 M) e intangibles (4.642 M), el 51 % del total [1]. Los préstamos a cobrar de QuickBooks Capital y consumo suman 1.647 M (1.468 M para mantener y 179 M para vender) [1]. El patrimonio bajó de 19.710 M a 18.992 M en FY2026 porque las recompras (5.463 M) y los dividendos (1.341 M) superaron al beneficio; en jul-2026 la empresa amortizó toda la autocartera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38.708</w:t>
      </w:r>
      <w:r>
        <w:t xml:space="preserve">, conversión </w:t>
      </w:r>
      <w:r>
        <w:rPr>
          <w:b/>
          <w:bCs/>
        </w:rPr>
        <w:t xml:space="preserve">164 %</w:t>
      </w:r>
      <w:r>
        <w:t xml:space="preserve"> del beneficio neto; adquisiciones 9.473, dividendos 7.701, recompras 16.995.</w:t>
      </w:r>
    </w:p>
    <w:p>
      <w:pPr>
        <w:spacing w:after="100"/>
      </w:pPr>
      <w:r>
        <w:t xml:space="preserve">El flujo operativo pasó de 1.599 M en FY2017 a 8.838 M en FY2026 [1, 5]. FY2026 está inflado por los impuestos: los pagos en caja por impuestos bajaron a 281 M desde 1.408 M en FY2025 y 1.881 M en FY2024 por la deducción inmediata del I+D (ley OBBBA) [1]; los impuestos diferidos sumaron 1.279 M al flujo [1]. El capex es pequeño: 221 M en FY2026 (175 M de inmovilizado y 46 M de software capitalizado), un 1 % de los ingresos [1]. La mayor diferencia entre beneficio y caja son los pagos en acciones (2.056 M), que no consumen caja pero diluyen; la empresa pagó además 709 M en FY2026 (982 M en FY2025) por retenciones fiscales de acciones entregadas a empleados, en financiación [1]. Los préstamos de QuickBooks Capital van en inversión, fuera del flujo operativo: originó 6.755 M y cobró o vendió 6.463 M en FY2026 [1]. Los fondos de clientes (-2.086 M en FY2026, +3.107 M en FY2025) van en financiación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Intuit desde 1990 y emitió opinión favorable sobre las cuentas y sobre el control interno de FY2026 [1]; la cuestión clave de auditoría fue la identificación de obligaciones de desempeño en el reconocimiento de ingresos [1]. Los pagos en acciones sumaron 2.056 M en FY2026 (9,6 % de los ingresos y 45 % del beneficio neto) [1]. No hubo deterioros del fondo de comercio en FY2024-FY2026: el valor razonable de todas las unidades superó con holgura su valor contable [1]; las pérdidas acumuladas por deterioro son 114 M, anteriores a FY2024 [1]. El software de uso interno capitalizado es pequeño (46 M en FY2026) [1]. Diferencia entre resultado contable y fiscal: en FY2026 los impuestos en caja (281 M) fueron muy inferiores al gasto contable (1.451 M) por la deducción del I+D [1]. FY2017 está reexpresado por ASC 606 en la cuenta pero no en el balance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2.056 M en FY2026 (9,6 % de los ingresos); el EBIT no GAAP los excluía hasta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 FY2026 inflado por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pagados de 281 M frente a 1.408 M en FY2025 por la ley OBBBA; efecto no recurrente en su mayor parte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 M en FY2024, 15 M en FY2025 y 293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Préstamos fuera del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originaciones de préstamos de QuickBooks Capital (6.755 M en FY2026) van en inversión; las provisiones por pérdidas crediticias subieron a 237 M desde 134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inversiones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 M de ganancias netas en inversiones a largo plazo en FY2026 dentro de otros ingresos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demandas en jul y ago-2026 por declaraciones de 2025 y 2026; sin estimación de pérdida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19,1 % · </w:t>
      </w:r>
      <w:r>
        <w:rPr>
          <w:b/>
          <w:bCs/>
        </w:rPr>
        <w:t xml:space="preserve">WACC</w:t>
      </w:r>
      <w:r>
        <w:t xml:space="preserve">: 10,0 %.</w:t>
      </w:r>
    </w:p>
    <w:p>
      <w:pPr>
        <w:spacing w:after="100"/>
      </w:pPr>
      <w:r>
        <w:rPr>
          <w:b/>
        </w:rPr>
        <w:t xml:space="preserve">Intuit crea valor, pero mucho menos que antes de sus dos grandes compras.</w:t>
      </w:r>
      <w:r>
        <w:t xml:space="preserve"> El ROIC después de impuestos fue del 94-126 % de FY2017 a FY2020, con un negocio de software sin apenas capital. Credit Karma (7.200 M, dic-2020) y Mailchimp (12.000 M, nov-2021) lo hundieron al 12,6 % en FY2023 al multiplicar el capital invertido; desde entonces se ha recuperado al 23,1 % en FY2026, más del doble del WACC del 10,0 % [1, 4]. Lo explica el margen EBIT, que ha vuelto del 21,3 % de FY2022 al 28,8 %. Mailchimp no ha rendido (ingresos de 1.267-1.287 M en FY2024-FY2026, sin crecer) y será segmento propio en FY2027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4.705 M + inversiones a corto plazo 2.495 M (7.200 M) a 31-jul-2026; línea de crédito no garantizada de 2.200 M sin disponer hasta ene-2031 y programa de pagarés de 2.200 M sin saldo [1]. En ago-2026 devolvió los bonos de 750 M de sep-2026 con la emisión de jun-2026 y caja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 S&amp;P A (estable), jun-2026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nominal de 7.720 M: 6.750 M en bonos sénior no garantizados (cupones del 1,35 % al 5,50 %, vencimientos de 2026 a 2053) y 970 M en líneas garantizadas de sociedades instrumentales que financian préstamos de QuickBooks Capital, sin recurso a Intuit [1]. La línea de 2.200 M exige deuda bruta/EBITDA no superior a 4,0 veces; la empresa la cumple [1]. Pasivos por arrendamiento operativo de 752 M fuera de la deuda (US GAAP: su gasto ya está en el EBITDA) [1, 5]. Fondos de clientes de 5.038 M a ambos lados del balance (activo y pasivo corriente) [1]. Litigios: dos demandas colectivas de accionistas presentadas en jul y ago-2026 y una demanda colectiva en Ontario certificada en jul-2026, sin estimación de pérdida; el Tribunal de Apelación del Quinto Circuito anuló en mar-2026 la orden de la FTC sobre la publicidad de TurboTax gratuito [1]. Otros pasivos corrientes: 308 M de planes de compensación diferida de directivos y 41 M del impuesto especial sobre recompras [1].</w:t>
      </w:r>
    </w:p>
    <w:p>
      <w:pPr>
        <w:pStyle w:val="Heading1"/>
      </w:pPr>
      <w:r>
        <w:t xml:space="preserve">12. Asignación de capital</w:t>
      </w:r>
    </w:p>
    <w:p>
      <w:pPr>
        <w:pStyle w:val="Confianza"/>
        <w:spacing w:after="100"/>
      </w:pPr>
      <w:r>
        <w:t xml:space="preserve">Confianza: Alta</w:t>
      </w:r>
    </w:p>
    <w:p>
      <w:pPr>
        <w:spacing w:after="100"/>
      </w:pPr>
      <w:r>
        <w:t xml:space="preserve">Dividendo trimestral de 1,38 USD por acción pagadero el 16-oct-2026, un 15 % más que un año antes [6]; el dividendo declarado por acción subió de 1,36 USD en FY2017 a 4,80 USD en FY2026 [1, 5]. Recompras: 5.463 M en FY2026 (13,4 millones de acciones), frente a 2.793 M en FY2025 [1]; el consejo amplió la autorización en 3.200 M (ago-2025) y 8.000 M (may-2026), y quedan 7.900 M [1, 6]. En jul-2026 amortizó toda la autocartera [1]. La dirección espera que las recompras sigan siendo una parte significativa de la asignación de capital en FY2027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en caja y 10,6 millones de acciones (3.800 M); contraprestación total de 8.100 M con acciones condicionadas a permanencia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865 M en FY2021 (8 meses) a 2.641 M en FY2026; caída en FY2023 (1.634 M); sin deterioro del fondo de comercio [1,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5.700 M en caja y 10,1 millones de acciones (6.300 M a 625,99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estancados: 1.267 M (FY2024), 1.287 M (FY2025), 1.272 M (FY2026); guía FY2027 de -1 % a 0 %; sin deterioro; segmento propio desde FY2027 [3, 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no identificada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134 M de fondo de comercio en Global Business Solutions [1].</w:t>
            </w:r>
          </w:p>
        </w:tc>
      </w:tr>
    </w:tbl>
    <w:p>
      <w:pPr>
        <w:spacing w:after="160" w:before="0"/>
      </w:pPr>
    </w:p>
    <w:p>
      <w:pPr>
        <w:spacing w:after="100"/>
      </w:pPr>
      <w:r>
        <w:t xml:space="preserve">Entre FY2017 y FY2026 Intuit pagó en caja 9.473 M por compras, 7.701 M en dividendos y 16.995 M en recompras [5] (sumas de la serie de flujos). Las dos grandes compras se pagaron en parte con acciones (20,7 millones de acciones), y las acciones diluidas pasaron de 261 millones en FY2017 a 284 millones en FY2022; las recompras las bajaron a 277 millones en FY2026 y 272 millones en el 4T26 [5,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ene-2026)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enero de 2019; antes dirigió Small Business (2016-2018) y Consumer Tax (2013-2016), fue CIO y CEO de Nexant [1]. Con él los ingresos pasaron de 9.633 M USD en FY2021 a 21.448 M en FY2026 y el beneficio operativo GAAP de 2.500 M a 5.884 M [45][6]. Desde la junta de enero de 2026 también preside el consejo [32][1].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Sandeep S. Aujla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agosto de 2023; en Intuit desde 2015 como responsable de finanzas de Small Business y Tecnología; antes en Visa, Goldman Sachs y Morgan Stanley [1]. En sus tres ejercicios la empresa ha superado la guía anual de ingresos y de beneficio operativo no GAAP (FY2024-FY2026) [48][49][6].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(empleado de la compañía)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Intuit y es consejero desde 1984; es empleado (salario de 0,65 M USD y bonus de 0,65 M en FY2025) y no cuenta como independiente [32]. Tenía 6,16 M de acciones a 31-oct-2025 a través de fideicomisos [32] y vendió 494.365 acciones por 327,5 M USD en diciembre de 2025 con un plan 10b5-1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y vicepresidente de Visa; consejero desde 2024 y coordinador independiente desde la junta de enero de 2026, cuando el CEO asumió la presidencia [32]. Es el único consejero o directivo que ha comprado acciones en los 12 meses previos al corte: 1.750 acciones por 0,54 M USD en mayo de 2026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Ashley Still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general de Mid-Market y Small Business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Mid-Market y desde el 31-may-2026 suma Small Business tras la salida de Marianna Tessel, que había sido NEO con una remuneración de 16,4 M USD en FY2025 [37][32]. No figura entre los directivos ejecutivos (executive officers) del 10-K de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 Hanebrink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Estrategia y Desarrollo Corporativo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cargo desde 2019; antes en Block (Square) entre 2014 y 2016 y en Intuit desde 2011; consejero de PubMatic [1]. Responsable de las compras grandes del periodo (Credit Karma y Mailchimp).</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dada en nov-2020 (no se dio en ago-2020): ingresos 8.265-8.415 M USD (+8-10 %); beneficio operativo GAAP 2.425-2.475 M; no GAAP 2.960-3.010 M; BPA no GAAP 8,40-8,55 USD [43][44]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9.633 M (+25 %, con Credit Karma, comprada en dic-2020 y no incluida en la guía); beneficio operativo GAAP 2.500 M; no GAAP 3.485 M; BPA no GAAP 9,74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11.050-11.200 M USD (+15-16 %); beneficio operativo GAAP 2.605-2.680 M; no GAAP 4.050-4.125 M; BPA GAAP 7,46-7,66 USD y no GAAP 11,05-11,25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12.726 M (11.964 M sin los 762 M de Mailchimp, comprada después de la guía); beneficio operativo GAAP 2.571 M; no GAAP 4.504 M; BPA GAAP 7,28 USD y no GAAP 11,85 USD; incluye un cargo de 141 M por el acuerdo con los fiscales generales de los estados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14.485-14.700 M USD (+14-16 %); beneficio operativo GAAP 2.794-2.899 M; no GAAP 5.258-5.363 M; BPA no GAAP 13,59-13,89 USD; Credit Karma +10-15 %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14.368 M (+13 %), por debajo del rango; beneficio operativo GAAP 3.141 M; no GAAP 5.503 M; BPA no GAAP 14,40 USD; Credit Karma −9 %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15.890-16.105 M USD (+11-12 %); beneficio operativo GAAP 3.615-3.720 M; no GAAP 6.155-6.260 M; BPA no GAAP 16,17-16,47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16.285 M (+13 %); beneficio operativo GAAP 3.630 M (parte baja del rango); no GAAP 6.402 M; BPA no GAAP 16,94 USD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18.160-18.347 M USD (+12-13 %); beneficio operativo GAAP 4.649-4.724 M; no GAAP 7.241-7.316 M; BPA no GAAP 19,16-19,36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18.831 M (+16 %); beneficio operativo GAAP 4.923 M; no GAAP 7.572 M; BPA no GAAP 20,15 USD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20.997-21.186 M USD (+12-13 %); beneficio operativo GAAP 5.782-5.859 M; no GAAP 8.611-8.688 M; BPA GAAP 15,49-15,69 USD y no GAAP 22,98-23,18 USD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21.448 M (+14 %); beneficio operativo GAAP 5.884 M; no GAAP 8.935 M; BPA GAAP 16,46 USD y no GAAP 24,27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Seis guías anuales entre FY2021 y FY2026: cuatro cumplidas o superadas en ingresos y beneficio operativo, y dos parciales (FY2022, beneficio GAAP por debajo por el cargo de 141 M USD; FY2023, ingresos 117 M por debajo del rango) [44]-[6]. La guía de FY2027 cambia la base: el no GAAP incluye ya los pagos en acciones (2.020 M USD) y Mailchimp pasa a segmento propio, lo que rompe la comparación con años anteriores [6]. El equipo es estable en la cúpula (Goodarzi desde 2019, Aujla desde 2023), pero en 2025-2026 la directora de personas (Fennell) pasó a otro puesto, salió la de Small Business (Tessel), cambió el secretario general (McLean por Cozzens, 31-jul-2026) y el CEO pasó a presidir el consejo [32][37][38][1]. El proxy no nombra sucesor del CEO.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 y empleado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 Burton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L. Dalzell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(presidente);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Liu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Tekedra Mawakana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 Norrod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Szkutak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Vazquez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S. Yuan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Adena Friedman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McDermott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0,54 / ventas 357,73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 M de acciones a 30-sep-2025 (13G/A de 6-oct-2025) [32]; el 13G/A de 27-mar-2026 declara 0 % tras su reorganización interna del 12-ene-2026, que reparte la posición entre filiales que declaran por separado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23,4 M de acciones a 31-dic-2024 según su 13G/A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6,16 M de acciones a 31-oct-2025 [32]; vendió 494.365 en diciembre de 2025 (alrededor del 8 % de su posición)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6,94 M de acciones con opciones ejercitables a 31-oct-2025, la mayor parte de Cook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amortizó 27.006 M USD de acciones propias en FY2026 y el balance de 31-jul-2026 no tiene autocartera (21.543 M a 31-jul-2025); en FY2026 pagó 5.412 M en recompras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D. Cook (fundador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K. Goodarzi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Vasant Prabhu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 D. Hotz (directora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depende a partes iguales de ingresos y beneficio operativo no GAAP; en FY2025 la fórmula dio el 117,8 % del objetivo (ingresos de 18.830 M USD frente a 18.450 M; beneficio de 7.570 M frente a 7.360 M), pero el comité pagó el 100 % por los objetivos «True North» no financieros [32]. El variable a largo plazo es la mitad en PSU por rentabilidad total relativa (objetivo en el percentil 60, tope del 100 % si la rentabilidad absoluta es negativa) y la otra mitad en RSU y opciones, que solo exigen permanencia [32]. No hay métrica de ROIC ni de flujo de caja. El 96 % de la remuneración directa del CEO es variable y sus PSU tienen un año de retención [32]. Hay recuperación (clawback) según la norma de Nasdaq y del plan de acciones; sin gross-up fiscal por cambio de control [32].</w:t>
      </w:r>
    </w:p>
    <w:p>
      <w:pPr>
        <w:pStyle w:val="Heading2"/>
      </w:pPr>
      <w:r>
        <w:t xml:space="preserve">Operaciones vinculadas, estructura de control y defensas</w:t>
      </w:r>
    </w:p>
    <w:p>
      <w:pPr>
        <w:spacing w:after="100"/>
      </w:pPr>
      <w:r>
        <w:t xml:space="preserve">No hay accionista de control: el mayor es Vanguard (10,28 %) y el fundador tiene el 2,21 % [32]. Una sola clase de acciones con el mismo voto, elección anual de todos los consejeros por mayoría, derecho de acceso al proxy y actuación por escrito de los accionistas; se prohíbe a consejeros y empleados cubrir o pignorar acciones [32]. Desde el inicio de FY2025 (1-ago-2024) no ha habido operaciones vinculadas de más de 120.000 USD ni hay propuestas [32]. En enero de 2025 la junta aprobó limitar la responsabilidad de los directivos según la ley de Delaware, con el 85,15 % a favor sobre los votos emitidos [34]. Desde enero de 2026 el CEO preside el consejo, con un consejero coordinador independiente (Prabhu) [32]. Dos de los trece consejeros no son independientes (Goodarzi y Cook) y todas las comisiones son solo de independientes [32].</w:t>
      </w:r>
    </w:p>
    <w:p>
      <w:pPr>
        <w:pStyle w:val="Heading2"/>
      </w:pPr>
      <w:r>
        <w:t xml:space="preserve">Señales de alerta</w:t>
      </w:r>
    </w:p>
    <w:p>
      <w:pPr>
        <w:pStyle w:val="ListParagraph"/>
        <w:numPr>
          <w:ilvl w:val="0"/>
          <w:numId w:val="2"/>
        </w:numPr>
        <w:spacing w:after="60"/>
      </w:pPr>
      <w:r>
        <w:t xml:space="preserve">Unión de presidente y CEO desde la junta de 22-ene-2026, anunciada el 20-nov-2025, tras la salida de la presidenta independiente Suzanne Nora Johnson [32].</w:t>
      </w:r>
    </w:p>
    <w:p>
      <w:pPr>
        <w:pStyle w:val="ListParagraph"/>
        <w:numPr>
          <w:ilvl w:val="0"/>
          <w:numId w:val="2"/>
        </w:numPr>
        <w:spacing w:after="60"/>
      </w:pPr>
      <w:r>
        <w:t xml:space="preserve">Ventas de directivos por 357,7 M USD en 12 meses, frente a compras de 0,54 M; el 92 % las hizo el fundador Scott Cook en diciembre de 2025 a 632-678 USD por acción, con planes 10b5-1 [42]. El 16-mar-2026 el fundador y la cúpula cancelaron sus planes 10b5-1; entre el 10 y el 12 de marzo el consejero Dalzell había vendido a 440-474 USD [39][42].</w:t>
      </w:r>
    </w:p>
    <w:p>
      <w:pPr>
        <w:pStyle w:val="ListParagraph"/>
        <w:numPr>
          <w:ilvl w:val="0"/>
          <w:numId w:val="2"/>
        </w:numPr>
        <w:spacing w:after="60"/>
      </w:pPr>
      <w:r>
        <w:t xml:space="preserve">Rotación en la dirección: cambia la directora de personas (ago-2025), la directora de Small Business (31-may-2026) y el secretario general (julio de 2026) [37][38][1].</w:t>
      </w:r>
    </w:p>
    <w:p>
      <w:pPr>
        <w:pStyle w:val="ListParagraph"/>
        <w:numPr>
          <w:ilvl w:val="0"/>
          <w:numId w:val="2"/>
        </w:numPr>
        <w:spacing w:after="60"/>
      </w:pPr>
      <w:r>
        <w:t xml:space="preserve">Reestructuración de mayo de 2026: un 17 % menos de plantilla y 300-340 M USD de cargos [40].</w:t>
      </w:r>
    </w:p>
    <w:p>
      <w:pPr>
        <w:pStyle w:val="ListParagraph"/>
        <w:numPr>
          <w:ilvl w:val="0"/>
          <w:numId w:val="2"/>
        </w:numPr>
        <w:spacing w:after="60"/>
      </w:pPr>
      <w:r>
        <w:t xml:space="preserve">El apoyo al CEO en la junta de 2026 bajó al 95,08 % a favor (99,59 % en 2025) y al consejero Szkutak al 94,91 % [33][34].</w:t>
      </w:r>
    </w:p>
    <w:p>
      <w:pPr>
        <w:pStyle w:val="ListParagraph"/>
        <w:numPr>
          <w:ilvl w:val="0"/>
          <w:numId w:val="2"/>
        </w:numPr>
        <w:spacing w:after="60"/>
      </w:pPr>
      <w:r>
        <w:t xml:space="preserve">El voto a favor de la remuneración no ha bajado del 91,67 % en las tres últimas juntas [33][34][35].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25-ago-2026 Intuit fijó la guía del FY2027 (agosto 2026-julio 2027): ingresos de 23.279-23.512 M USD (+9-10 %), con Global Business Solutions sin Mailchimp +13-14 %, TurboTax +2-3 %, Credit Karma +11-13 %, ProTax +2 % y Mailchimp, ya como segmento propio, entre −1 % y 0 % [6]. Beneficio operativo GAAP de 7.408-7.490 M (+26-27 %) y BPA GAAP de 20,12-20,36 USD (+22-24 %) [6]. Desde el 1-ago-2026 las medidas no GAAP ya incluyen los pagos en acciones: beneficio operativo no GAAP de 8.063-8.145 M y BPA no GAAP de 22,88-23,12 USD, con 2.020 M de pagos en acciones dentro [6]. Para el 1T FY2027, ingresos de 4.294-4.313 M (+11 %) y BPA GAAP de 1,71-1,75 USD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34 analistas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12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 – 732,00</w:t>
            </w:r>
          </w:p>
        </w:tc>
      </w:tr>
    </w:tbl>
    <w:p>
      <w:pPr>
        <w:spacing w:after="160" w:before="0"/>
      </w:pPr>
    </w:p>
    <w:p>
      <w:pPr>
        <w:pStyle w:val="Heading2"/>
      </w:pPr>
      <w:r>
        <w:t xml:space="preserve">Revisiones de estimaciones</w:t>
      </w:r>
    </w:p>
    <w:p>
      <w:pPr>
        <w:spacing w:after="100"/>
      </w:pPr>
      <w:r>
        <w:t xml:space="preserve">MarketScreener es la única fuente gratuita con estimaciones completas a tres años [51]; Stock Analysis (S&amp;P Global) coincide en el precio objetivo medio (405,60 USD), mínimo (290) y máximo (732) y da un consenso de ingresos del FY2027 de 23.400 M [53]. Las recomendaciones se han deteriorado: en mayo de 2026 había 28 compras, 6 mantener y ninguna venta; en octubre, 20 compras, 12 mantener y 2 ventas [53]. El salto se concentra en agosto, tras la guía del FY2027, cuando las compras fuertes pasaron de 20 a 16 y los mantener de 8 a 12 [53]. Los cambios del BPA a 3 y 12 meses no están en abierto.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bl>
    <w:p>
      <w:pPr>
        <w:spacing w:after="160" w:before="0"/>
      </w:pPr>
    </w:p>
    <w:p>
      <w:pPr>
        <w:spacing w:after="100"/>
      </w:pPr>
      <w:r>
        <w:t xml:space="preserve">Intuit ha perdido un 54,3 % en 2026 hasta el 9 de octubre, frente a un S&amp;P 500 que sube un 14,1 % y un índice de software (IGV) que sube un 6,6 % [54]. La caída máxima es del 68,2 %, del 30-jul-2025 al 25-jun-2026, y la cotización tocó 252,84 USD el 22 de junio [54]. Las mayores caídas diarias del último año fueron del 20,0 % el 21-may-2026, del 10,9 % el 3-feb-2026 y del 8,9 % el 2-jun-2026 [54]. Tras la guía del FY2027 del 25 de agosto (ingresos +9-10 % frente al +14 % del FY2026, TurboTax +2-3 %) el valor siguió por encima de su mínimo de junio [6, 54]. A diez años la acción sube un 10,8 % anual, por debajo del S&amp;P 500 (13,7 %) y del IGV (17,4 %) [54]. La beta de 5 años con datos mensuales es 0,97 [54]. Las posiciones cortas son el 2,63 % de las acciones [57].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Intuit cotiza a 11,7 veces el EBITDA de los últimos 12 meses y 18,4 veces el beneficio, los mínimos de su década: la media fue de 35,7 y 52,3 veces, y el mínimo anterior de 12,5 veces el EBITDA [54]. La acción ha caído un 54,3 % en 2026 mientras el BPA GAAP subía un 20 %: es una caída de múltiplo, no de beneficio [1, 54]. El mercado ha dejado de pagar a Intuit como un monopolio fiscal y contable y la valora como un negocio que la IA puede convertir en gratuito.</w:t>
      </w:r>
    </w:p>
    <w:p>
      <w:pPr>
        <w:pStyle w:val="Heading1"/>
      </w:pPr>
      <w:r>
        <w:t xml:space="preserve">18. Comparables cotizados</w:t>
      </w:r>
    </w:p>
    <w:p>
      <w:pPr>
        <w:pStyle w:val="Confianza"/>
        <w:spacing w:after="100"/>
      </w:pPr>
      <w:r>
        <w:t xml:space="preserve">Confianza: Media</w:t>
      </w:r>
    </w:p>
    <w:p>
      <w:pPr>
        <w:spacing w:after="100"/>
      </w:pPr>
      <w:r>
        <w:t xml:space="preserve">Nueve cotizadas de EE. UU. que venden software y servicios financieros a pymes y consumidores: H&amp;R Block (impuestos, rival directo de TurboTax), Paychex y Paycom (nóminas), BILL (pagos y cuentas a pagar de pymes), Block y Toast (pagos y software para comercios), Shopify (software para pymes de comercio electrónico), Freshworks (software de atención al cliente para pymes) y Adobe (software de suscripción de tamaño y márgenes parecidos). Xero y Sage, los rivales más directos de QuickBooks, quedan fuera porque cotizan en Australia y Londres, con cuentas en otra divisa y sin el mismo desglose de pagos en acciones a 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Shopify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Freshworks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12,2x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13,7x / 42,3x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19,6x / 27,2x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3,2x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-4,9 + 1,74 × crecimiento; R² = 0,84. Para el crecimiento esperado de la empresa (9,2 %), el múltiplo ajustado es 11,1x y el valor por acción, 355,71.</w:t>
      </w:r>
    </w:p>
    <w:p>
      <w:pPr>
        <w:spacing w:after="100"/>
      </w:pPr>
      <w:r>
        <w:t xml:space="preserve">Intuit cotiza a 9,5 veces el EBITDA de los próximos 12 meses y 14,5 veces el beneficio, por debajo de la mediana del software de pagos, nóminas y pymes (12,2 y 19,6 veces) pese a tener más margen (32,7 % frente al 16,6 %) y un crecimiento parecido (9,2 % frente al 12,9 %) [58, 59, 60, 61, 62, 63, 64, 65, 66, 67]. Solo H&amp;R Block (5,2 veces) y Adobe (8,4 veces), con el mismo miedo a la IA, cotizan más bajo. La mediana daría 400,82 USD. La muestra es frágil (Shopify a 63,9 veces): pesa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7.100 M USD en efectivo y acciones, a partes iguales; Credit Karma facturó casi 1.000 M USD en 2019 (sin auditar), un 20 % más [68]. El precio incluía unos 1.000 M de acciones para empleados que se llevan a gasto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12.000 M USD en efectivo y acciones, con 300 M de primas a empleados en acciones [69]. El anuncio no daba los ingresos de Mailchimp, entonces privada; para el FY2027 Intuit espera de Mailchimp 1.256-1.266 M de ingresos, sin crecimiento [6,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Avalara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93,50 USD por acción en efectivo, 8.400 M USD con la deuda neta y una prima del 27 % sobre el cierre previo a las noticias [70]. Ingresos de los 12 meses a junio de 2022: unos 789 M USD (2021: 699 M; primer semestre de 2022: 413 M frente a 323 M) [71, 72]. Software fiscal para pymes y empresas medianas.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USD por acción en efectivo, 8.000 M USD de valor empresa y una prima del 77 % sobre el cierre sin efecto de las noticias [73]. Ingresos de los 12 meses a octubre de 2022: 818 M USD [74]. Software de gestión del gasto.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22,50 USD por acción en efectivo, unos 4.100 M USD de valor empresa y una prima del 19 % sobre la media de 30 días [75]. Ingresos de los 12 meses a septiembre de 2024: 624 M USD [76]. Nóminas y recursos humanos para pymes.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 USD por acción en efectivo, 12.300 M USD de valor empresa y una prima del 32 % sobre el cierre sin efecto del 15-ago-2025 [77]. Ingresos de los 12 meses a junio de 2025: 1.852 M USD [78]. Software de nóminas y recursos humanos.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Divvy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 M USD: 625 M en efectivo y 1.875 M en acciones de Bill.com [79]. Divvy, privada, no publicó ingresos [79]. Tarjetas y gestión de gastos para pymes.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523,60 – 778,36</w:t>
            </w:r>
          </w:p>
        </w:tc>
      </w:tr>
    </w:tbl>
    <w:p>
      <w:pPr>
        <w:spacing w:after="160" w:before="0"/>
      </w:pPr>
    </w:p>
    <w:p>
      <w:pPr>
        <w:spacing w:after="100"/>
      </w:pPr>
      <w:r>
        <w:t xml:space="preserve">Cinco compras de software con múltiplo de ventas, de 6,6 a 10,6 veces (Credit Karma, Avalara, Coupa, Paycor y Dayforce), con primas del 27-77 % [68, 69, 70, 71, 72, 73, 74, 75, 76, 77, 78]. Darían 563,40 USD por acción, casi el doble del precio, pero llevan prima de control y son de empresas sin el riesgo de la IA de hoy; con 81.000 M de capitalización una opa no es realista.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+9,5 %: la guía del 25-ago-2026 da 23.279-23.512 M (+9-10 %), con GBS sin Mailchimp +13-14 %, Credit Karma +11-13 %, TurboTax +2-3 % y Mailchimp plano [6]. El consenso da 23.408 M [51]. Luego baja medio punto al año hasta el 4 % de FY2034e. La media del caso base (7,1 %) queda muy por debajo del 17,1 % anual de la década, que incluye las compras, y del 13-16 % orgánico de FY2023-FY2026 [1].</w:t>
      </w:r>
    </w:p>
    <w:p>
      <w:pPr>
        <w:keepNext/>
        <w:spacing w:after="100"/>
      </w:pPr>
      <w:r>
        <w:rPr>
          <w:b/>
          <w:bCs/>
        </w:rPr>
        <w:t xml:space="preserve">Márgenes.</w:t>
      </w:r>
    </w:p>
    <w:p>
      <w:pPr>
        <w:spacing w:after="100"/>
      </w:pPr>
      <w:r>
        <w:t xml:space="preserve">Margen EBITDA GAAP del 35,5 % en FY2027e: la guía da un beneficio operativo GAAP de 7.408-7.490 M (+26-27 %), con ≈850 M de amortizaciones [6]. Sube al 38,5 % en FY2030e por apalancamiento operativo y el recorte del 17 % de la plantilla [40], frente al 32,7 % de FY2026 (sin la reestructuración) y al 31-32 % de FY2017-FY2020. El consenso, con los pagos en acciones restados, da un 36,3 % en FY2027e [51].</w:t>
      </w:r>
    </w:p>
    <w:p>
      <w:pPr>
        <w:keepNext/>
        <w:spacing w:after="100"/>
      </w:pPr>
      <w:r>
        <w:rPr>
          <w:b/>
          <w:bCs/>
        </w:rPr>
        <w:t xml:space="preserve">Inversión y circulante.</w:t>
      </w:r>
    </w:p>
    <w:p>
      <w:pPr>
        <w:spacing w:after="100"/>
      </w:pPr>
      <w:r>
        <w:t xml:space="preserve">Capex del 1,5 % de las ventas en FY2027e que sube al 2,5 %; el de FY2026 fue del 1,0 % [1]. La amortización (3,9 %) incluye 659 M de intangibles de Credit Karma y Mailchimp y converge al capex. Circulante negativo (−1,2 % de las ventas), el de FY2026. Tipo impositivo normalizado del 22 %, por encima del de caja de FY2026, que se benefició de la nueva ley fiscal [1].</w:t>
      </w:r>
    </w:p>
    <w:p>
      <w:pPr>
        <w:keepNext/>
        <w:spacing w:after="100"/>
      </w:pPr>
      <w:r>
        <w:rPr>
          <w:b/>
          <w:bCs/>
        </w:rPr>
        <w:t xml:space="preserve">Coste del capital.</w:t>
      </w:r>
    </w:p>
    <w:p>
      <w:pPr>
        <w:spacing w:after="100"/>
      </w:pPr>
      <w:r>
        <w:t xml:space="preserve">Tasa libre del 5,22 %, el Tesoro de EE. UU. a 10 años del 8-oct-2026 [55]. Beta de 0,97, la mensual a 5 años frente al S&amp;P 500; la semanal a 2 años da 0,48, demasiado baja para un negocio con este riesgo [54]. Prima de mercado del 5,5 %, coste de la deuda del 5,6 % (bono de 2036) y un 8,6 % de deuda a valor de mercado. WACC del 10,02 %; con la prima implícita del mercado (4,20 %), el 8,87 % [56].</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(4,72 %). El múltiplo de salida implícito es de 10,7 veces el EBITDA, por debajo de los 11,7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526,31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 M (-3 % del NOPAT)</w:t>
            </w:r>
          </w:p>
        </w:tc>
      </w:tr>
    </w:tbl>
    <w:p>
      <w:pPr>
        <w:spacing w:after="160" w:before="0"/>
      </w:pPr>
    </w:p>
    <w:p>
      <w:pPr>
        <w:spacing w:after="100"/>
      </w:pPr>
      <w:r>
        <w:t xml:space="preserve">La proyección apenas necesita inversión neta de la amortización (reinversión acumulada de -2.024 M, con un capex bruto medio del 2,1 % de las ventas). En un negocio de activos ligeros, el crecimiento medio del 7,1 %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GBS sin Mailchimp +13-14 % (clientes de QuickBooks Online +3 % y precio y mezcla), Credit Karma +11-13 %, TurboTax +2-3 % y Mailchimp plano; reparto entre volumen y precio, estimación propia [6,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en FY2026, pero TurboTax aceptará menos precio para recuperar cuota [6,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ingresos de +8,4 % en FY2029e [51].</w:t>
            </w:r>
          </w:p>
        </w:tc>
      </w:tr>
    </w:tbl>
    <w:p>
      <w:pPr>
        <w:spacing w:after="160" w:before="0"/>
      </w:pPr>
    </w:p>
    <w:p>
      <w:pPr>
        <w:spacing w:after="100"/>
      </w:pPr>
      <w:r>
        <w:t xml:space="preserve">En parte. El 7,1 % anual del caso base no necesita capital (capex del 1,5-2,5 %) y tiene precedente: los ingresos orgánicos crecieron un 13-16 % en FY2023-FY2026 y QuickBooks Online sigue ganando clientes [1, 6]. Pero el poder de precios de TurboTax se ha agotado: perdió un 2 % de declaraciones federales en 2026 y la dirección admite que el precio es el primer motivo de baja [6, 7]. El crecimiento tendrá que venir de pymes y Credit Karma, no del negocio fiscal. Por eso el caso base baja del 9,5 % al 4 % y el bajista deja los ingresos planos.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27,3 % (base: 38,5 %)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 (WACC: 10,0 %)</w:t>
            </w:r>
          </w:p>
        </w:tc>
      </w:tr>
    </w:tbl>
    <w:p>
      <w:pPr>
        <w:spacing w:after="160" w:before="0"/>
      </w:pPr>
    </w:p>
    <w:p>
      <w:pPr>
        <w:spacing w:after="100"/>
      </w:pPr>
      <w:r>
        <w:t xml:space="preserve">El DCF da 440,34 USD por acción, un 45,4 % por encima del precio, con un 61 % del valor en el terminal. </w:t>
      </w:r>
      <w:r>
        <w:rPr>
          <w:b/>
        </w:rPr>
        <w:t xml:space="preserve">El precio descuenta que Intuit deja de crecer.</w:t>
      </w:r>
      <w:r>
        <w:t xml:space="preserve"> El DCF inverso dice que, con nuestros márgenes, los 302,75 USD de hoy suponen un crecimiento de los ingresos del 1,2 % anual de FY2027e a FY2034e, frente al 7,1 % de nuestro caso base y a una guía de +9-10 % para FY2027; o, con nuestro crecimiento, un margen EBITDA del 27,3 % en vez del 38,5 %. Comprar a este precio rinde un 13,2 % anual si se cumple el caso base, tres puntos por encima de su coste de capital. Lo que el precio teme es que los agentes de IA conviertan la declaración de impuestos y la contabilidad de la pyme en algo gratuito: la propia dirección admite que el precio ya es el primer motivo por el que se van los clientes de TurboTax [7].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hacen la declaración de impuestos y la contabilidad básica casi gratis: TurboTax pierde clientes por precio y QuickBooks frena, como le pasó a Chegg con los asistentes de IA. Ingresos casi planos durante ocho años, margen EBITDA del 32,5 %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FY2027 (+9-10 %) y el crecimiento baja medio punto al año, con QuickBooks Online y Credit Karma tirando y TurboTax plano: crecimiento medio del 7,1 % y margen EBITDA del 38,5 % desde FY2030.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TurboTax Live y los servicios con expertos asistidos por IA siguen creciendo un 30 % y QuickBooks gana el mercado medio de empresas: crecimiento medio del 9,1 % y margen del 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398,97 USD (+31,8 %).</w:t>
      </w:r>
    </w:p>
    <w:p>
      <w:pPr>
        <w:spacing w:after="100"/>
      </w:pPr>
      <w:r>
        <w:t xml:space="preserve">La asimetría es buena: el alcista vale 519,38 USD (+71,6 %) y el bajista 211,61 (−30,1 %), 2,38 veces. El bajista no es cosmético: deja los ingresos casi planos ocho años y quita seis puntos de margen, lo que le pasó a Chegg cuando llegaron los asistentes de IA. Aun así, el precio está más cerca del bajista que del base, porque el DCF inverso ya pide un 1,2 % anual. Con la prima de riesgo que hoy pide el mercado (4,20 %), el bajista sube a 242,69 USD. El valor ponderado por probabilidad es de 398,97 USD.</w:t>
      </w:r>
    </w:p>
    <w:p>
      <w:pPr>
        <w:pStyle w:val="Heading1"/>
      </w:pPr>
      <w:r>
        <w:t xml:space="preserve">22. Suma de partes</w:t>
      </w:r>
    </w:p>
    <w:p>
      <w:pPr>
        <w:pStyle w:val="Confianza"/>
        <w:spacing w:after="100"/>
      </w:pPr>
      <w:r>
        <w:t xml:space="preserve">Confianza: Media</w:t>
      </w:r>
    </w:p>
    <w:p>
      <w:pPr>
        <w:spacing w:after="100"/>
      </w:pPr>
      <w:r>
        <w:t xml:space="preserve">No aplica en el valor objetivo: los segmentos solo tienen resultado reexpresado para FY2024-FY2026 y los costes no asignados (10.311 M en FY2026) son la mayor parte del gasto, así que una suma de partes dependería de cómo se repartan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430,22 USD (+42,1 % sobre 302,75).</w:t>
      </w:r>
    </w:p>
    <w:p>
      <w:pPr>
        <w:spacing w:after="100"/>
      </w:pPr>
      <w:r>
        <w:t xml:space="preserve">Pesos: DCF 55 %, escenarios 25 %, comparables 15 %, transacciones 5 % y suma de partes 0 %. El DCF manda porque la caja de Intuit es predecible (conversión del 164 % del beneficio en la década, inflada por la amortización de intangibles) y porque recoge el riesgo con un WACC del 10 %; los escenarios pesan un 25 % porque el riesgo de la IA es asimétrico. Los comparables (400,82 USD) pesan un 15 % por la fragilidad de la muestra, y las transacciones (563,40 USD) un 5 % porque llevan prima de control. Todos los métodos quedan por encima del precio de 302,75 USD. El valor objetivo es de 430,22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r>
    </w:tbl>
    <w:p>
      <w:pPr>
        <w:spacing w:after="160" w:before="0"/>
      </w:pPr>
    </w:p>
    <w:p>
      <w:pPr>
        <w:spacing w:after="100"/>
      </w:pPr>
      <w:r>
        <w:rPr>
          <w:b/>
          <w:bCs/>
        </w:rPr>
        <w:t xml:space="preserve">Objetivo a 12 meses (ponderado):</w:t>
      </w:r>
      <w:r>
        <w:t xml:space="preserve"> 342,07 USD · rentabilidad +14,6 % (base +16,8 %) · señal Mantener.</w:t>
      </w:r>
    </w:p>
    <w:p>
      <w:pPr>
        <w:spacing w:after="100"/>
      </w:pPr>
      <w:r>
        <w:t xml:space="preserve">Para comparar, con la regla v2 (historia al cierre, mismo precio): 12,8x / 15,1x / 19,6x, 14,6 % Mantener; con el tope anterior del base (×1,3, 14-oct mediodía): 48,8 % Comprar; con la v3 sin el selector (tope ×1,1): 26,2 % Comprar. Decide la v2, elegida por el selector de método (desrateada: la mediana adelantada (49,1x) es 3,3 veces el PER de hoy (15,1x); la historia es de otro régimen y decide la v2; METODO-VIGENTE.md).</w:t>
      </w:r>
    </w:p>
    <w:p>
      <w:pPr>
        <w:keepNext/>
        <w:spacing w:after="100"/>
      </w:pPr>
      <w:r>
        <w:rPr>
          <w:b/>
          <w:bCs/>
        </w:rPr>
        <w:t xml:space="preserve">Frente al consenso (solo contraste).</w:t>
      </w:r>
    </w:p>
    <w:p>
      <w:pPr>
        <w:spacing w:after="100"/>
      </w:pPr>
      <w:r>
        <w:t xml:space="preserve">Nuestro BPA base de FY2028e (23,10) se separa un -2,1 % del consenso (23,60) y nuestro precio base (348,81) un -14,0 % del objetivo medio de los analistas (405,60).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430,22 (+42,1 %) frente al objetivo a 12 meses ponderado 342,07 (+14,6 % con dividendo; base +16,8 %).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(+11 % de ingresos en el 1T) y de QuickBooks Online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proxy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de Goodarzi como presidente y consejero delegado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fiscal de 2027 (datos semanales del IRS)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TurboTax recupera cuota bajando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(cierre de la campaña)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trimestre que hundió la acción un 20 %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(7.900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10 %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fiscales de OpenAI, Google o Apple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prueba del riesgo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la declaración de impuestos y la contabilidad básica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211,61 USD, −52 %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fiscales propios, TurboTax Live con expertos y QuickBooks como sistema de registro de la pyme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federales de TurboTax por debajo de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de TurboTax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≈27 USD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con menos precio, según la dirección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TurboTax por debajo del +2 %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 estancado y posible deterioro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Costó 12.000 M; ingresos planos en 1.270-1.290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deterioro hasta FY2026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 con ingresos a la baja como segmento propio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Direct File del IRS, publicidad de «gratis» (FTC) y demandas de accionistas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Direct File está suspendido para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Free File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Direct File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Tesoro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11 %: el DCF baja a 384,84 USD, aún +27 %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casi nula y flujo libre del 10,6 %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presidente y consejero delegado en la misma persona desde enero de 2026 y ventas de directivos de 357,7 M en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de 13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ventas fuera de planes 10b5-1</w:t>
            </w:r>
          </w:p>
        </w:tc>
      </w:tr>
    </w:tbl>
    <w:p>
      <w:pPr>
        <w:spacing w:after="160" w:before="0"/>
      </w:pPr>
    </w:p>
    <w:p>
      <w:pPr>
        <w:pStyle w:val="Heading2"/>
      </w:pPr>
      <w:r>
        <w:t xml:space="preserve">Pre-mortem</w:t>
      </w:r>
    </w:p>
    <w:p>
      <w:pPr>
        <w:spacing w:after="100"/>
      </w:pPr>
      <w:r>
        <w:t xml:space="preserve">Octubre de 2029: la acción ha caído un 40 %, a unos 180 USD. La historia más probable empieza en la campaña fiscal de 2027: OpenAI y Apple integran la preparación de la declaración en sus asistentes, gratis para la mayoría de los contribuyentes, y TurboTax pierde un 8 % de declaraciones aunque baje precios. En 2028 los asistentes empiezan a llevar también la contabilidad básica de autónomos y micropymes, y QuickBooks Online frena al 5 %. El margen aguanta un tiempo con los recortes de plantilla, pero el mercado deja de ver crecimiento y valora a Intuit como a H&amp;R Block, a 6 veces el EBITDA. El indicador que lo habría anticipado: las declaraciones federales a la baja en 2026 y la admisión de que el precio era el primer motivo de baja.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13,29, riesgo bajo (E 1,12; S 8,79; G 3,38)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Los asuntos que mueven las cifras son tres. Primero, la privacidad y la seguridad de los datos: Intuit custodia declaraciones de la renta y datos de crédito de unos 93 millones de clientes, y Credit Karma está bajo una orden de la FTC que exige un programa de seguridad con auditorías bienales hasta 2034 [1]. Segundo, la protección del consumidor en la publicidad y la venta: los 141 M USD pagados a los estados en 2022 y el litigio con la FTC por los productos «gratis» [1]. Tercero, el uso responsable de la IA, sujeto a la Ley de IA de la UE y a leyes estatales en Utah, Colorado y California [1]. El capital humano también pesa: el recorte del 17 % de la plantilla fija en 2026 costará unos 315 M USD [1, 11]. Las emisiones no son materiales en un negocio de software en la nube pública. Morningstar Sustainalytics le da un riesgo ESG bajo, de 13,29, con el componente social (8,79) como el mayor [31].</w:t>
      </w:r>
    </w:p>
    <w:p>
      <w:pPr>
        <w:pStyle w:val="Heading2"/>
      </w:pPr>
      <w:r>
        <w:t xml:space="preserve">Controversias</w:t>
      </w:r>
    </w:p>
    <w:p>
      <w:pPr>
        <w:spacing w:after="100"/>
      </w:pPr>
      <w:r>
        <w:t xml:space="preserve">Litigio con la FTC por la publicidad de TurboTax gratis: orden de 2024 anulada por el Quinto Circuito el 20-mar-2026 y petición de archivo el 31-ago-2026 [1]. Acción colectiva en Ontario (Canadá), certificada el 24-jul-2026 [1]. Dos demandas colectivas de accionistas (10-jul y 17-ago-2026) por declaraciones supuestamente engañosas en 2025-2026 [1]. Intuit no puede estimar la pérdida posible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TurboTax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medio por cliente está dispuesta a ceder TurboTax para recuperar cuota, y qué efecto tendrá en el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negocio fiscal se encoge.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clientes perdidos se fue a soluciones con IA y qué parte a Free File o a gestores?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riesgo es estructural 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QuickBooks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QuickBooks Online ganó y perdió en FY2026, y con qué ingreso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Mailchimp como segmento propio y se ha valorado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12.000 M y no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impositivo de caja espera después de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caja de FY2026 está inflado por impuestos bajos.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las recompras al precio actual, con 7.900 M de autorización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este precio retirarían un 10 % del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opiniones entre julio y octubre de 2026: una de venta por el frenazo del crecimiento, los despidos y la amenaza a TurboTax, y una de compra por su dominio en finanzas personales y de pymes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TurboTax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analista lo contrasta con las declaraciones de TurboTax y la guía de FY2027.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Dominio en pymes (QuickBooks)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contrasta con el crecimiento de Global Business Solutions y los múltiplos.</w:t>
            </w:r>
          </w:p>
        </w:tc>
      </w:tr>
    </w:tbl>
    <w:p>
      <w:pPr>
        <w:spacing w:after="160" w:before="0"/>
      </w:pPr>
    </w:p>
    <w:p>
      <w:pPr>
        <w:spacing w:after="100"/>
      </w:pPr>
      <w:r>
        <w:t xml:space="preserve">Hay muy poco debate abierto que leer: dos opiniones de gestores en julio-agosto, una de venta (frenazo, despidos, amenaza a TurboTax) y una de compra (dominio en pymes y finanzas personales) [1]. Los analistas han pasado de 28 compras y ninguna venta en mayo a 20 compras y 2 ventas en octubre [52]. El pesimismo está en el precio (−54 % en el año), no en un sentimiento extremo de los comentarios.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3 explicados. Fuentes: 80 (54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74 % y los ingresos un 13 %: si hubo una compra cerca del cierre, decláralo en financieros.cambios_perimetro y explícalo. Explicación: El activo creció por la caja de la emisión de deuda y la financiación preparada para Credit Karma (cerrada en dic-2020, en FY2021), no por una compra en FY2020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11,2x a 18,7x según qué comparable se quite (358,93 a 600,53 por acción): la muestra es frágil; explícalo y no le des mucho peso. Explicación: Con Shopify (63,9 veces) y Freshworks en la muestra, la mediana es frágil: por eso los comparables pesan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(42,3x → 25,2x), Block (13,7x → 8,9x): el salto implica un crecimiento del EBITDA que no cuadra con el de las ventas. ¿EBITDA de proveedores distintos, o un cambio de perímetro? Explicación: BILL y Block salen de márgenes muy bajos y el EBITDA previsto de Block parece cambiar de definición; pesan poco en la mediana [62, 63].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4T26 y guion de la conferencia: no citan el consenso previo; 2) fact sheet del 4T26 y 10-K FY2026: no lo recogen; 3) series XBRL de EDGAR: no contienen estimaciones de analistas (el consenso previo trimestral no tiene fuente gratuita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miembros de Credit Karma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menciona el crecimiento de los miembros que declaran con TurboTax, +50 %); 2) nota de resultados y fact sheet del 4T26: no publican miembros; 3) guion de la conferencia del 4T26: tampoco da la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clientes de pago del ecosistema online en FY2025 (cifra absoluta)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el +3 %; 2) 10-K FY2025: solo el +5 %; 3) guion del 4T26: solo 8,9 millones en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guion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Listado de PDF de investors.intuit.com/financial-information (solo el 4T26); 2) listado de investors.intuit.com/financial-information/quarterly-results (sin enlaces a PDF); 3) 8-K de mayo de 2026 en EDGAR: solo la nota de resultados, sin guion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 FY2018-FY2023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reexpresa solo FY2024-FY2025; 2) 10-K FY2025 y FY2023: segmentos antiguos (cuatro) con otra asignación de gastos; 3) fact sheet del 4T26: reexpresado solo desde FY2024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Intuit y H&amp;R Block: solo dan sus unidades, no las de TaxAct, FreeTaxUSA ni Cash App Taxes; 2) estadística del IRS: no desglosa por proveedor de software; 3) IBISWorld y Research and Markets: la cuota por empresa está tras el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calificación MSCI de Intuit: solo descripciones genéricas; 2) ficha de Sustainalytics en su web: sin datos de la empresa sin acceso; 3) ficha de Saxo: solo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de campaña del IRS: la serie publicada en la web empieza en 2010; 2) 10-K de Intuit del FY2026 y del FY2022: no tratan esa crisis; 3) informes sectoriales: sin serie anterior a 2020 a la vista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de Ashley Still y Anton Hanebrink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propiedad del proxy 2026 (solo NEO y consejeros); 2) Form 4 de 12 meses (Hanebrink solo con entregas de acciones, sin saldo agregado); 3) 10-K FY2026 (sin participaciones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Friedman y McDermott y composición de 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(composición anterior a la junta); 2) 8-K de 20-nov-2025 (sin asignación a comisiones); 3) 10-K FY2026 (remite al proxy de 2027, aún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Intuit (solo da múltiplos de los ejercicios estimados); 2) Stock Analysis, estadísticas (solo el múltiplo actual; el histórico es de pago); 3) Yahoo Finance (sin series históricas de múltiplos adelantados)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un gráfico sin cifras); 2) Stock Analysis, previsiones (solo el año en curso; el resto es de pago); 3) MarketScreener, página de finanzas (sin histórico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ev_ventas de Mailchimp (2021) y de Divvy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 compra en EDGAR (Intuit, 13-sep-2021; Bill.com, 6-may-2021: no dan ingresos); 2) búsqueda de texto completo de EDGAR en los documentos de Intuit de sep-dic 2021 (10-Q, folletos 424B7 y nota de resultados del 1T FY2022); 3) datos XBRL de Intuit (sin ingresos pro forma de Mailchimp)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bloqueado para la lectura automática; 2) Stocktwits y Seeking Alpha: contenido con JavaScript o de pago; 3) búsqueda de comentarios de 2026: crónicas sin comentarios abiertos y páginas copiadas sin fiabilidad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https://www.sec.gov/Archives/edgar/data/896878/000089687825000035/intu-20250731.htm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https://www.sec.gov/Archives/edgar/data/896878/000089687823000034/intu-20230731.htm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https://www.sec.gov/Archives/edgar/data/896878/000089687820000148/fy20q410-kdocument.htm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company facts (XBRL de 10-K y 10-Q, FY2016-FY2026)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Fourth Quarter and Full Year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https://www.sec.gov/Archives/edgar/data/896878/000089687826000029/fy26q4earningspressrelease.htm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Earnings Script (conferencia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https://investors.intuit.com/_assets/_1dd06c04c67bf383f19eaab5661c4ac7/intuit/db/946/10378/webcast_transcript/Q4+FY26+Earnings+Script.pdf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https://investors.intuit.com/_assets/_1dd06c04c67bf383f19eaab5661c4ac7/intuit/db/946/10378/fact_sheet/Q4+FY26+Fact+Sheet+External+vf.pdf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4.950% Notes due 2031 y 5.500% Notes due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https://www.sec.gov/Archives/edgar/data/896878/000119312526262087/d35506dfwp.htm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ejercicio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https://www.sec.gov/Archives/edgar/data/896878/000089687822000028/intu-20220731.htm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8-K, anexo 99.02: carta del consejero delegado a la plantilla (20-may-2026)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Third Quarter Fiscal 2026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May 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https://www.irs.gov/newsroom/filing-season-statistics-for-week-ending-may-8-2026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26,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https://www.irs.gov/newsroom/filing-season-statistics-for-week-ending-dec-26-2025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27,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https://www.irs.gov/newsroom/filing-season-statistics-for-week-ending-dec-27-2024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29,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https://www.irs.gov/newsroom/filing-season-statistics-for-week-ending-dec-29-2023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30,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https://www.irs.gov/newsroom/filing-season-statistics-for-week-ending-december-30-2022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https://www.sec.gov/Archives/edgar/data/12659/000001265926000026/hrb-20260630.htm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https://www.sec.gov/Archives/edgar/data/1786352/000162828026058238/bill-20260630.htm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delivers strong FY26 results (comunicado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https://announcements.asx.com.au/asxpdf/20260514/pdf/06zkqzlkq0xnph.pdf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New Zealand Dollar Spot Exchange Rate (DEXUSNZ), abr-2025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 oct-2024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IRS Says Direct File Won't Be Around for 2026 Tax Filing Season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CPA Practice Advisor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https://www.cpapracticeadvisor.com/2025/11/05/irs-says-direct-file-wont-be-around-for-2026-filing-season/172448/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Tax Preparation Services in the US - Market Size (2004-2031)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https://www.ibisworld.com/united-states/market-size/tax-preparation-services/1399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 Global Strategic Business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 (Global Industry Analysts)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https://www.researchandmarkets.com/reports/5030539/accounting-software-global-strategic-business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Market Size, Share &amp; Trends Analysis Report, 2025-2030 (ficha del distribuidor)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https://www.giikorea.co.kr/report/grvi1771624-accounting-software-market-size-share-trends.html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slumps to more than five-year low on slashed TurboTax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https://www.investing.com/news/earnings/intuit-raises-guidance-sees-ai-as-a-clear-net-tailwind-4702183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(INTU), ficha de la acción: ESG Risk Rating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https://www.home.saxo/markets/stocks/intu-xnas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22-ene-2026)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https://www.sec.gov/Archives/edgar/data/896878/000089687825000057/intu-20251126.htm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22-ene-2026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https://www.sec.gov/Archives/edgar/data/896878/000089687826000006/intu-20260122.htm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23-ene-2025 (Items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https://www.sec.gov/Archives/edgar/data/896878/000089687825000003/intu-20250123.htm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18-ene-2024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https://www.sec.gov/Archives/edgar/data/896878/000089687824000003/intu-20240118.htm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nombramiento de A. Friedman y B. McDermott como consejeros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https://www.sec.gov/Archives/edgar/data/896878/000089687825000046/intu-20251120.htm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 Marianna Tessel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https://www.sec.gov/Archives/edgar/data/896878/000089687826000020/intu-20260428.htm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transición de Laura Fennell y nombramiento de Caryl Hilliard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https://www.sec.gov/Archives/edgar/data/896878/000089687825000027/intu-20250612.htm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cancelación de los planes 10b5-1 del fundador y la cúpula y recompras (Item 7.01)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https://www.sec.gov/Archives/edgar/data/896878/000089687826000017/intu-20260316.htm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plan de reestructuración, recorte del 17 % de la plantilla (Item 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https://www.sec.gov/Archives/edgar/data/896878/000089687826000024/intu-20260520.htm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1.750 M USD en bonos senior 2031 y 2036 (Item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https://www.sec.gov/Archives/edgar/data/896878/000119312526267866/d159651d8k.htm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Intuit, 10-oct-2025 a 10-oct-2026 (102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https://www.sec.gov/cgi-bin/browse-edgar?action=getcompany&amp;CIK=0000896878&amp;type=4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FY2020 (25-ago-2020)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https://www.sec.gov/Archives/edgar/data/896878/000089687820000143/fy20q4earningspressrel.htm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 FY2021 (19-nov-2020), con la guía de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https://www.sec.gov/Archives/edgar/data/896878/000089687820000221/fy21q1earningspressrel.htm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FY2021, con la guía de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https://www.sec.gov/Archives/edgar/data/896878/000089687821000205/fy21q4earningspressrelease.htm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FY2022, con la guía de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https://www.sec.gov/Archives/edgar/data/896878/000089687822000025/fy22q4earningspressrelease.htm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FY2023, con la guía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https://www.sec.gov/Archives/edgar/data/896878/000089687823000031/fy23q4earningspressrelease.htm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FY2024, con la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https://www.sec.gov/Archives/edgar/data/896878/000089687824000035/fy24q4earningspressrelease.htm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FY2025, con la guía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https://www.sec.gov/Archives/edgar/data/896878/000089687825000031/fy25q4earningspressrelease.htm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n.º 11) de The Vanguard Group sobre Intuit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https://www.sec.gov/Archives/edgar/data/896878/000010290926001526/primary_doc.xml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INTU, S&amp;P 500 (^GSPC) e iShares Expanded Tech-Software (IGV)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https://finance.yahoo.com/quote/INTU/history/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H&amp;R Block, Paychex, Paycom, BILL, Block, Toast, Shopify, Freshworks y Adobe (cotización, capitalización y cuentas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https://www.marketscreener.com/quote/stock/H-R-BLOCK-INC-12975/finances/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https://www.marketscreener.com/quote/stock/BILL-HOLDINGS-INC-82519082/finances/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Toast,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https://www.marketscreener.com/quote/stock/TOAST-INC-127218834/finances/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https://www.marketscreener.com/quote/stock/SHOPIFY-INC-22283351/finances/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Freshworks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https://www.marketscreener.com/quote/stock/FRESHWORKS-INC-127173267/finances/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Credit Karma (Exhibit 99.01,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https://www.sec.gov/Archives/edgar/data/896878/000119312520046491/d802959dex9901.htm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Mailchimp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https://www.sec.gov/Archives/edgar/data/896878/000119312521271682/d226456dex991.htm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to be acquired by Vista Equity Partners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https://www.sec.gov/Archives/edgar/data/1348036/000119312522214160/d295697dex991.htm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Announces Second Quarter 2022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https://www.sec.gov/Archives/edgar/data/1348036/000156459022028315/avlr-ex991_6.htm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ingresos anuales de 2021 (datos XBRL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https://data.sec.gov/api/xbrl/companyconcept/CIK0001348036/us-gaap/RevenueFromContractWithCustomerExcludingAssessedTax.json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Enters into Definitive Agreement to Be Acquired by Thoma Bravo for $8 Billion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https://data.sec.gov/api/xbrl/companyconcept/CIK0001385867/us-gaap/RevenueFromContractWithCustomerExcludingAssessedTax.json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https://data.sec.gov/api/xbrl/companyconcept/CIK0001839439/us-gaap/RevenueFromContractWithCustomerExcludingAssessedTax.json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Definitive Agreement to be Acquired by Thoma Bravo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https://data.sec.gov/api/xbrl/companyconcept/CIK0001725057/us-gaap/RevenueFromContractWithCustomerExcludingAssessedTax.json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to Acquire Divvy, a Leader in Spend Management for SMBs (Exhibit 99.2,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https://www.sec.gov/Archives/edgar/data/1786352/000156459021024959/bill-ex992_84.htm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https://stockchase.com/INTU-Q</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del NASDAQ (INTU), en dólares; precio de cierre del viernes 9-oct-2026 (302,75 USD; el corte cae en sábado) [54]. Ejercicio a 31 de julio, nombrado por el año en que termina (FY2026 = ago-25 a jul-26). Acciones: 269,4 M diluidas, las del 31-jul-2026 más los derechos potenciales, para casar con la caja del mismo balance [1]. EBITDA en US GAAP, con los pagos en acciones como gasto (9,6 % de las ventas en FY2026); el consenso de MarketScreener los sigue excluyendo y el motor resta un 8,6 % de las ventas (la previsión de la empresa para FY2027) [6, 51]. Desde el 1-ago-2026 el no GAAP de Intuit sí los incluye: la guía de FY2027 no es comparable con las anteriores [6]. Caja = efectivo e inversiones a corto plazo, sin los fondos de clientes; la deuda incluye 970 M de líneas sin recurso que financian préstamos a pymes de QuickBooks Capital [1]. Segmentos: solo los dos actuales (GBS y Consumer) con resultado reexpresado para FY2024-FY2026; los ingresos de FY2018-FY2023 se reconstruyen con las líneas de ingresos de cada 10-K. FY2017 está reexpresado por la ASC 606 en la cuenta, no en el balance. El flujo de caja de FY2026 está inflado por unos impuestos pagados excepcionalmente bajos (281 M frente a 1.408 M en FY2025): el DCF usa un tipo normalizado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 Inc. (INTU)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Hoja1!$B$2:$B$10</c:f>
              <c:numCache>
                <c:formatCode>#,##0</c:formatCode>
                <c:ptCount val="9"/>
                <c:pt idx="0">
                  <c:v>252.84</c:v>
                </c:pt>
                <c:pt idx="1">
                  <c:v>290</c:v>
                </c:pt>
                <c:pt idx="2">
                  <c:v>284.84</c:v>
                </c:pt>
                <c:pt idx="3">
                  <c:v>383.27</c:v>
                </c:pt>
                <c:pt idx="4">
                  <c:v>523.6</c:v>
                </c:pt>
                <c:pt idx="5">
                  <c:v>394.46</c:v>
                </c:pt>
                <c:pt idx="6">
                  <c:v>211.61</c:v>
                </c:pt>
                <c:pt idx="7">
                  <c:v>486.05</c:v>
                </c:pt>
                <c:pt idx="8">
                  <c:v>301.24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Hoja1!$C$2:$C$10</c:f>
              <c:numCache>
                <c:formatCode>#,##0</c:formatCode>
                <c:ptCount val="9"/>
                <c:pt idx="0">
                  <c:v>436.3299999999999</c:v>
                </c:pt>
                <c:pt idx="1">
                  <c:v>442</c:v>
                </c:pt>
                <c:pt idx="2">
                  <c:v>544.4000000000001</c:v>
                </c:pt>
                <c:pt idx="3">
                  <c:v>186.39999999999998</c:v>
                </c:pt>
                <c:pt idx="4">
                  <c:v>254.76</c:v>
                </c:pt>
                <c:pt idx="5">
                  <c:v>106.66000000000003</c:v>
                </c:pt>
                <c:pt idx="6">
                  <c:v>307.77</c:v>
                </c:pt>
                <c:pt idx="7">
                  <c:v>91.82</c:v>
                </c:pt>
                <c:pt idx="8">
                  <c:v>3.019999999999982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Global Business Solutions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3061</c:v>
                </c:pt>
                <c:pt idx="1">
                  <c:v>3533</c:v>
                </c:pt>
                <c:pt idx="2">
                  <c:v>4050</c:v>
                </c:pt>
                <c:pt idx="3">
                  <c:v>4688</c:v>
                </c:pt>
                <c:pt idx="4">
                  <c:v>6460</c:v>
                </c:pt>
                <c:pt idx="5">
                  <c:v>8038</c:v>
                </c:pt>
                <c:pt idx="6">
                  <c:v>9533</c:v>
                </c:pt>
                <c:pt idx="7">
                  <c:v>11077</c:v>
                </c:pt>
                <c:pt idx="8">
                  <c:v>12864</c:v>
                </c:pt>
              </c:numCache>
            </c:numRef>
          </c:val>
        </c:ser>
        <c:ser>
          <c:idx val="1"/>
          <c:order val="1"/>
          <c:tx>
            <c:strRef>
              <c:f>Hoja1!$C$1</c:f>
              <c:strCache>
                <c:ptCount val="1"/>
                <c:pt idx="0">
                  <c:v>Consumer</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2964</c:v>
                </c:pt>
                <c:pt idx="1">
                  <c:v>3251</c:v>
                </c:pt>
                <c:pt idx="2">
                  <c:v>3629</c:v>
                </c:pt>
                <c:pt idx="3">
                  <c:v>4945</c:v>
                </c:pt>
                <c:pt idx="4">
                  <c:v>6266</c:v>
                </c:pt>
                <c:pt idx="5">
                  <c:v>6330</c:v>
                </c:pt>
                <c:pt idx="6">
                  <c:v>6752</c:v>
                </c:pt>
                <c:pt idx="7">
                  <c:v>7754</c:v>
                </c:pt>
                <c:pt idx="8">
                  <c:v>8584</c:v>
                </c:pt>
              </c:numCache>
            </c:numRef>
          </c:val>
        </c:ser>
        <c:ser>
          <c:idx val="2"/>
          <c:order val="2"/>
          <c:tx>
            <c:strRef>
              <c:f>Hoja1!$D$1</c:f>
              <c:strCache>
                <c:ptCount val="1"/>
                <c:pt idx="0">
                  <c:v>Costes no asignados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Global Business Solutions</c:v>
                </c:pt>
                <c:pt idx="1">
                  <c:v>Consumer</c:v>
                </c:pt>
                <c:pt idx="2">
                  <c:v>Costes no asignados</c:v>
                </c:pt>
              </c:strCache>
            </c:strRef>
          </c:cat>
          <c:val>
            <c:numRef>
              <c:f>Hoja1!$B$2:$B$4</c:f>
              <c:numCache>
                <c:formatCode>General</c:formatCode>
                <c:ptCount val="3"/>
                <c:pt idx="0">
                  <c:v>60</c:v>
                </c:pt>
                <c:pt idx="1">
                  <c:v>40</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92</c:v>
                </c:pt>
                <c:pt idx="1">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declaraciones individuales autopreparadas presentadas por internet en EE. UU. (año natural, IRS))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72.2</c:v>
                </c:pt>
                <c:pt idx="1">
                  <c:v>67.4</c:v>
                </c:pt>
                <c:pt idx="2">
                  <c:v>66.9</c:v>
                </c:pt>
                <c:pt idx="3">
                  <c:v>65.1</c:v>
                </c:pt>
                <c:pt idx="4">
                  <c:v>66.1</c:v>
                </c:pt>
                <c:pt idx="5">
                  <c:v>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Intuit</c:v>
                </c:pt>
                <c:pt idx="1">
                  <c:v>H&amp;R Block</c:v>
                </c:pt>
                <c:pt idx="2">
                  <c:v>Xero</c:v>
                </c:pt>
                <c:pt idx="3">
                  <c:v>Sage Group</c:v>
                </c:pt>
                <c:pt idx="4">
                  <c:v>Block</c:v>
                </c:pt>
                <c:pt idx="5">
                  <c:v>Bill Holdings (Bill.com)</c:v>
                </c:pt>
              </c:strCache>
            </c:strRef>
          </c:cat>
          <c:val>
            <c:numRef>
              <c:f>Hoja1!$B$2:$B$7</c:f>
              <c:numCache>
                <c:formatCode>0.0"%"</c:formatCode>
                <c:ptCount val="6"/>
                <c:pt idx="0">
                  <c:v>28.8</c:v>
                </c:pt>
                <c:pt idx="1">
                  <c:v>23</c:v>
                </c:pt>
                <c:pt idx="2">
                  <c:v>11.5</c:v>
                </c:pt>
                <c:pt idx="3">
                  <c:v>21.1</c:v>
                </c:pt>
                <c:pt idx="4">
                  <c:v>7.1</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5196</c:v>
                </c:pt>
                <c:pt idx="1">
                  <c:v>6025</c:v>
                </c:pt>
                <c:pt idx="2">
                  <c:v>6784</c:v>
                </c:pt>
                <c:pt idx="3">
                  <c:v>7679</c:v>
                </c:pt>
                <c:pt idx="4">
                  <c:v>9633</c:v>
                </c:pt>
                <c:pt idx="5">
                  <c:v>12726</c:v>
                </c:pt>
                <c:pt idx="6">
                  <c:v>14368</c:v>
                </c:pt>
                <c:pt idx="7">
                  <c:v>16285</c:v>
                </c:pt>
                <c:pt idx="8">
                  <c:v>18831</c:v>
                </c:pt>
                <c:pt idx="9">
                  <c:v>21448</c:v>
                </c:pt>
                <c:pt idx="10">
                  <c:v>23486</c:v>
                </c:pt>
                <c:pt idx="11">
                  <c:v>25599</c:v>
                </c:pt>
                <c:pt idx="12">
                  <c:v>27775</c:v>
                </c:pt>
                <c:pt idx="13">
                  <c:v>29997</c:v>
                </c:pt>
                <c:pt idx="14">
                  <c:v>32097</c:v>
                </c:pt>
                <c:pt idx="15">
                  <c:v>34023</c:v>
                </c:pt>
                <c:pt idx="16">
                  <c:v>35724</c:v>
                </c:pt>
                <c:pt idx="17">
                  <c:v>37153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1654</c:v>
                </c:pt>
                <c:pt idx="1">
                  <c:v>1813</c:v>
                </c:pt>
                <c:pt idx="2">
                  <c:v>2079</c:v>
                </c:pt>
                <c:pt idx="3">
                  <c:v>2394</c:v>
                </c:pt>
                <c:pt idx="4">
                  <c:v>2863</c:v>
                </c:pt>
                <c:pt idx="5">
                  <c:v>3458</c:v>
                </c:pt>
                <c:pt idx="6">
                  <c:v>3947</c:v>
                </c:pt>
                <c:pt idx="7">
                  <c:v>4642</c:v>
                </c:pt>
                <c:pt idx="8">
                  <c:v>5747</c:v>
                </c:pt>
                <c:pt idx="9">
                  <c:v>7023</c:v>
                </c:pt>
                <c:pt idx="10">
                  <c:v>8337</c:v>
                </c:pt>
                <c:pt idx="11">
                  <c:v>9472</c:v>
                </c:pt>
                <c:pt idx="12">
                  <c:v>10555</c:v>
                </c:pt>
                <c:pt idx="13">
                  <c:v>11549</c:v>
                </c:pt>
                <c:pt idx="14">
                  <c:v>12357</c:v>
                </c:pt>
                <c:pt idx="15">
                  <c:v>13099</c:v>
                </c:pt>
                <c:pt idx="16">
                  <c:v>13754</c:v>
                </c:pt>
                <c:pt idx="17">
                  <c:v>14304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84.4</c:v>
                </c:pt>
                <c:pt idx="1">
                  <c:v>83.8</c:v>
                </c:pt>
                <c:pt idx="2">
                  <c:v>82.8</c:v>
                </c:pt>
                <c:pt idx="3">
                  <c:v>82.1</c:v>
                </c:pt>
                <c:pt idx="4">
                  <c:v>82.5</c:v>
                </c:pt>
                <c:pt idx="5">
                  <c:v>81.1</c:v>
                </c:pt>
                <c:pt idx="6">
                  <c:v>78.1</c:v>
                </c:pt>
                <c:pt idx="7">
                  <c:v>78.7</c:v>
                </c:pt>
                <c:pt idx="8">
                  <c:v>79.6</c:v>
                </c:pt>
                <c:pt idx="9">
                  <c:v>80.2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31.8</c:v>
                </c:pt>
                <c:pt idx="1">
                  <c:v>30.1</c:v>
                </c:pt>
                <c:pt idx="2">
                  <c:v>30.6</c:v>
                </c:pt>
                <c:pt idx="3">
                  <c:v>31.2</c:v>
                </c:pt>
                <c:pt idx="4">
                  <c:v>29.7</c:v>
                </c:pt>
                <c:pt idx="5">
                  <c:v>27.2</c:v>
                </c:pt>
                <c:pt idx="6">
                  <c:v>27.5</c:v>
                </c:pt>
                <c:pt idx="7">
                  <c:v>28.5</c:v>
                </c:pt>
                <c:pt idx="8">
                  <c:v>30.5</c:v>
                </c:pt>
                <c:pt idx="9">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27.3</c:v>
                </c:pt>
                <c:pt idx="1">
                  <c:v>25.9</c:v>
                </c:pt>
                <c:pt idx="2">
                  <c:v>27.3</c:v>
                </c:pt>
                <c:pt idx="3">
                  <c:v>28.3</c:v>
                </c:pt>
                <c:pt idx="4">
                  <c:v>26</c:v>
                </c:pt>
                <c:pt idx="5">
                  <c:v>21.3</c:v>
                </c:pt>
                <c:pt idx="6">
                  <c:v>21.9</c:v>
                </c:pt>
                <c:pt idx="7">
                  <c:v>23.7</c:v>
                </c:pt>
                <c:pt idx="8">
                  <c:v>26.2</c:v>
                </c:pt>
                <c:pt idx="9">
                  <c:v>28.8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c:v>
                </c:pt>
                <c:pt idx="1">
                  <c:v>22.1</c:v>
                </c:pt>
                <c:pt idx="2">
                  <c:v>23</c:v>
                </c:pt>
                <c:pt idx="3">
                  <c:v>23.8</c:v>
                </c:pt>
                <c:pt idx="4">
                  <c:v>21.4</c:v>
                </c:pt>
                <c:pt idx="5">
                  <c:v>16.2</c:v>
                </c:pt>
                <c:pt idx="6">
                  <c:v>16.6</c:v>
                </c:pt>
                <c:pt idx="7">
                  <c:v>18.2</c:v>
                </c:pt>
                <c:pt idx="8">
                  <c:v>20.5</c:v>
                </c:pt>
                <c:pt idx="9">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10.2</c:v>
                </c:pt>
                <c:pt idx="1">
                  <c:v>17</c:v>
                </c:pt>
                <c:pt idx="2">
                  <c:v>15.1</c:v>
                </c:pt>
                <c:pt idx="3">
                  <c:v>20.3</c:v>
                </c:pt>
                <c:pt idx="4">
                  <c:v>18.3</c:v>
                </c:pt>
                <c:pt idx="5">
                  <c:v>17.4</c:v>
                </c:pt>
                <c:pt idx="6">
                  <c:v>10.4</c:v>
                </c:pt>
                <c:pt idx="7">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c:v>
                </c:pt>
                <c:pt idx="1">
                  <c:v>6</c:v>
                </c:pt>
                <c:pt idx="2">
                  <c:v>5</c:v>
                </c:pt>
                <c:pt idx="3">
                  <c:v>7</c:v>
                </c:pt>
                <c:pt idx="4">
                  <c:v>15</c:v>
                </c:pt>
                <c:pt idx="5">
                  <c:v>13</c:v>
                </c:pt>
                <c:pt idx="6">
                  <c:v>10</c:v>
                </c:pt>
                <c:pt idx="7">
                  <c:v>10</c:v>
                </c:pt>
                <c:pt idx="8">
                  <c:v>10</c:v>
                </c:pt>
                <c:pt idx="9">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71</c:v>
                </c:pt>
                <c:pt idx="1">
                  <c:v>66</c:v>
                </c:pt>
                <c:pt idx="2">
                  <c:v>86</c:v>
                </c:pt>
                <c:pt idx="3">
                  <c:v>81</c:v>
                </c:pt>
                <c:pt idx="4">
                  <c:v>135</c:v>
                </c:pt>
                <c:pt idx="5">
                  <c:v>112</c:v>
                </c:pt>
                <c:pt idx="6">
                  <c:v>74</c:v>
                </c:pt>
                <c:pt idx="7">
                  <c:v>76</c:v>
                </c:pt>
                <c:pt idx="8">
                  <c:v>75</c:v>
                </c:pt>
                <c:pt idx="9">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1369</c:v>
                </c:pt>
                <c:pt idx="1">
                  <c:v>1988</c:v>
                </c:pt>
                <c:pt idx="2">
                  <c:v>2169</c:v>
                </c:pt>
                <c:pt idx="3">
                  <c:v>2277</c:v>
                </c:pt>
                <c:pt idx="4">
                  <c:v>3125</c:v>
                </c:pt>
                <c:pt idx="5">
                  <c:v>3660</c:v>
                </c:pt>
                <c:pt idx="6">
                  <c:v>4786</c:v>
                </c:pt>
                <c:pt idx="7">
                  <c:v>4634</c:v>
                </c:pt>
                <c:pt idx="8">
                  <c:v>6083</c:v>
                </c:pt>
                <c:pt idx="9">
                  <c:v>8617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985</c:v>
                </c:pt>
                <c:pt idx="1">
                  <c:v>1329</c:v>
                </c:pt>
                <c:pt idx="2">
                  <c:v>1557</c:v>
                </c:pt>
                <c:pt idx="3">
                  <c:v>1826</c:v>
                </c:pt>
                <c:pt idx="4">
                  <c:v>2062</c:v>
                </c:pt>
                <c:pt idx="5">
                  <c:v>2066</c:v>
                </c:pt>
                <c:pt idx="6">
                  <c:v>2384</c:v>
                </c:pt>
                <c:pt idx="7">
                  <c:v>2963</c:v>
                </c:pt>
                <c:pt idx="8">
                  <c:v>3869</c:v>
                </c:pt>
                <c:pt idx="9">
                  <c:v>4566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94.4</c:v>
                </c:pt>
                <c:pt idx="1">
                  <c:v>101.7</c:v>
                </c:pt>
                <c:pt idx="2">
                  <c:v>102.9</c:v>
                </c:pt>
                <c:pt idx="3">
                  <c:v>126</c:v>
                </c:pt>
                <c:pt idx="4">
                  <c:v>42.6</c:v>
                </c:pt>
                <c:pt idx="5">
                  <c:v>15.7</c:v>
                </c:pt>
                <c:pt idx="6">
                  <c:v>12.6</c:v>
                </c:pt>
                <c:pt idx="7">
                  <c:v>16</c:v>
                </c:pt>
                <c:pt idx="8">
                  <c:v>19</c:v>
                </c:pt>
                <c:pt idx="9">
                  <c:v>23.1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c:v>
                </c:pt>
                <c:pt idx="1">
                  <c:v>10</c:v>
                </c:pt>
                <c:pt idx="2">
                  <c:v>10</c:v>
                </c:pt>
                <c:pt idx="3">
                  <c:v>10</c:v>
                </c:pt>
                <c:pt idx="4">
                  <c:v>10</c:v>
                </c:pt>
                <c:pt idx="5">
                  <c:v>10</c:v>
                </c:pt>
                <c:pt idx="6">
                  <c:v>10</c:v>
                </c:pt>
                <c:pt idx="7">
                  <c:v>10</c:v>
                </c:pt>
                <c:pt idx="8">
                  <c:v>10</c:v>
                </c:pt>
                <c:pt idx="9">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72.7</c:v>
                </c:pt>
                <c:pt idx="1">
                  <c:v>63.7</c:v>
                </c:pt>
                <c:pt idx="2">
                  <c:v>47.4</c:v>
                </c:pt>
                <c:pt idx="3">
                  <c:v>41.2</c:v>
                </c:pt>
                <c:pt idx="4">
                  <c:v>27.5</c:v>
                </c:pt>
                <c:pt idx="5">
                  <c:v>15.7</c:v>
                </c:pt>
                <c:pt idx="6">
                  <c:v>14.1</c:v>
                </c:pt>
                <c:pt idx="7">
                  <c:v>16.6</c:v>
                </c:pt>
                <c:pt idx="8">
                  <c:v>20.3</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-0.17</c:v>
                </c:pt>
                <c:pt idx="1">
                  <c:v>-0.7</c:v>
                </c:pt>
                <c:pt idx="2">
                  <c:v>-1.11</c:v>
                </c:pt>
                <c:pt idx="3">
                  <c:v>-1.54</c:v>
                </c:pt>
                <c:pt idx="4">
                  <c:v>-0.64</c:v>
                </c:pt>
                <c:pt idx="5">
                  <c:v>1.05</c:v>
                </c:pt>
                <c:pt idx="6">
                  <c:v>0.62</c:v>
                </c:pt>
                <c:pt idx="7">
                  <c:v>0.42</c:v>
                </c:pt>
                <c:pt idx="8">
                  <c:v>0.25</c:v>
                </c:pt>
                <c:pt idx="9">
                  <c:v>0.07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1250</c:v>
                </c:pt>
                <c:pt idx="1">
                  <c:v>400</c:v>
                </c:pt>
                <c:pt idx="2">
                  <c:v>1100</c:v>
                </c:pt>
                <c:pt idx="3">
                  <c:v>720</c:v>
                </c:pt>
                <c:pt idx="4">
                  <c:v>750</c:v>
                </c:pt>
                <c:pt idx="5">
                  <c:v>3500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363</c:v>
                </c:pt>
                <c:pt idx="2">
                  <c:v>64</c:v>
                </c:pt>
                <c:pt idx="3">
                  <c:v>0</c:v>
                </c:pt>
                <c:pt idx="4">
                  <c:v>3064</c:v>
                </c:pt>
                <c:pt idx="5">
                  <c:v>5682</c:v>
                </c:pt>
                <c:pt idx="6">
                  <c:v>33</c:v>
                </c:pt>
                <c:pt idx="7">
                  <c:v>83</c:v>
                </c:pt>
                <c:pt idx="8">
                  <c:v>184</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353</c:v>
                </c:pt>
                <c:pt idx="1">
                  <c:v>407</c:v>
                </c:pt>
                <c:pt idx="2">
                  <c:v>501</c:v>
                </c:pt>
                <c:pt idx="3">
                  <c:v>561</c:v>
                </c:pt>
                <c:pt idx="4">
                  <c:v>646</c:v>
                </c:pt>
                <c:pt idx="5">
                  <c:v>774</c:v>
                </c:pt>
                <c:pt idx="6">
                  <c:v>889</c:v>
                </c:pt>
                <c:pt idx="7">
                  <c:v>1034</c:v>
                </c:pt>
                <c:pt idx="8">
                  <c:v>1189</c:v>
                </c:pt>
                <c:pt idx="9">
                  <c:v>1347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839</c:v>
                </c:pt>
                <c:pt idx="1">
                  <c:v>272</c:v>
                </c:pt>
                <c:pt idx="2">
                  <c:v>556</c:v>
                </c:pt>
                <c:pt idx="3">
                  <c:v>323</c:v>
                </c:pt>
                <c:pt idx="4">
                  <c:v>1005</c:v>
                </c:pt>
                <c:pt idx="5">
                  <c:v>1861</c:v>
                </c:pt>
                <c:pt idx="6">
                  <c:v>1967</c:v>
                </c:pt>
                <c:pt idx="7">
                  <c:v>1988</c:v>
                </c:pt>
                <c:pt idx="8">
                  <c:v>2772</c:v>
                </c:pt>
                <c:pt idx="9">
                  <c:v>5412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 Inc.</c:v>
                </c:pt>
                <c:pt idx="2">
                  <c:v>Scott D. Cook (fideicomisos)</c:v>
                </c:pt>
                <c:pt idx="3">
                  <c:v>Consejeros y directivos (21 personas)</c:v>
                </c:pt>
                <c:pt idx="4">
                  <c:v>Autocartera</c:v>
                </c:pt>
              </c:strCache>
            </c:strRef>
          </c:cat>
          <c:val>
            <c:numRef>
              <c:f>Hoja1!$B$2:$B$6</c:f>
              <c:numCache>
                <c:formatCode>0.0"%"</c:formatCode>
                <c:ptCount val="5"/>
                <c:pt idx="0">
                  <c:v>10.28</c:v>
                </c:pt>
                <c:pt idx="1">
                  <c:v>8.39</c:v>
                </c:pt>
                <c:pt idx="2">
                  <c:v>2.21</c:v>
                </c:pt>
                <c:pt idx="3">
                  <c:v>2.49</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18.8</c:v>
                </c:pt>
                <c:pt idx="1">
                  <c:v>37.7</c:v>
                </c:pt>
                <c:pt idx="2">
                  <c:v>24.8</c:v>
                </c:pt>
                <c:pt idx="3">
                  <c:v>33.1</c:v>
                </c:pt>
                <c:pt idx="4">
                  <c:v>45</c:v>
                </c:pt>
                <c:pt idx="5">
                  <c:v>69.3</c:v>
                </c:pt>
                <c:pt idx="6">
                  <c:v>-39.5</c:v>
                </c:pt>
                <c:pt idx="7">
                  <c:v>60.6</c:v>
                </c:pt>
                <c:pt idx="8">
                  <c:v>0.6</c:v>
                </c:pt>
                <c:pt idx="9">
                  <c:v>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21.5</c:v>
                </c:pt>
                <c:pt idx="1">
                  <c:v>28.7</c:v>
                </c:pt>
                <c:pt idx="2">
                  <c:v>34.1</c:v>
                </c:pt>
                <c:pt idx="3">
                  <c:v>32.2</c:v>
                </c:pt>
                <c:pt idx="4">
                  <c:v>49.9</c:v>
                </c:pt>
                <c:pt idx="5">
                  <c:v>38.5</c:v>
                </c:pt>
                <c:pt idx="6">
                  <c:v>37.3</c:v>
                </c:pt>
                <c:pt idx="7">
                  <c:v>40</c:v>
                </c:pt>
                <c:pt idx="8">
                  <c:v>38.9</c:v>
                </c:pt>
                <c:pt idx="9">
                  <c:v>12.5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35.7</c:v>
                </c:pt>
                <c:pt idx="1">
                  <c:v>35.7</c:v>
                </c:pt>
                <c:pt idx="2">
                  <c:v>35.7</c:v>
                </c:pt>
                <c:pt idx="3">
                  <c:v>35.7</c:v>
                </c:pt>
                <c:pt idx="4">
                  <c:v>35.7</c:v>
                </c:pt>
                <c:pt idx="5">
                  <c:v>35.7</c:v>
                </c:pt>
                <c:pt idx="6">
                  <c:v>35.7</c:v>
                </c:pt>
                <c:pt idx="7">
                  <c:v>35.7</c:v>
                </c:pt>
                <c:pt idx="8">
                  <c:v>35.7</c:v>
                </c:pt>
                <c:pt idx="9">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Intuit</c:v>
                </c:pt>
                <c:pt idx="1">
                  <c:v>H&amp;R Block</c:v>
                </c:pt>
                <c:pt idx="2">
                  <c:v>Paychex</c:v>
                </c:pt>
                <c:pt idx="3">
                  <c:v>Paycom Software</c:v>
                </c:pt>
                <c:pt idx="4">
                  <c:v>BILL Holdings</c:v>
                </c:pt>
                <c:pt idx="5">
                  <c:v>Block</c:v>
                </c:pt>
                <c:pt idx="6">
                  <c:v>Toast</c:v>
                </c:pt>
                <c:pt idx="7">
                  <c:v>Shopify</c:v>
                </c:pt>
                <c:pt idx="8">
                  <c:v>Freshworks</c:v>
                </c:pt>
                <c:pt idx="9">
                  <c:v>Adobe</c:v>
                </c:pt>
              </c:strCache>
            </c:strRef>
          </c:cat>
          <c:val>
            <c:numRef>
              <c:f>Hoja1!$B$2:$B$11</c:f>
              <c:numCache>
                <c:formatCode>0.0"x"</c:formatCode>
                <c:ptCount val="10"/>
                <c:pt idx="0">
                  <c:v>9.5</c:v>
                </c:pt>
                <c:pt idx="1">
                  <c:v>5.2</c:v>
                </c:pt>
                <c:pt idx="2">
                  <c:v>12.2</c:v>
                </c:pt>
                <c:pt idx="3">
                  <c:v>10.2</c:v>
                </c:pt>
                <c:pt idx="4">
                  <c:v>25.2</c:v>
                </c:pt>
                <c:pt idx="5">
                  <c:v>8.9</c:v>
                </c:pt>
                <c:pt idx="6">
                  <c:v>25.8</c:v>
                </c:pt>
                <c:pt idx="7">
                  <c:v>63.9</c:v>
                </c:pt>
                <c:pt idx="8">
                  <c:v>38.4</c:v>
                </c:pt>
                <c:pt idx="9">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9.2</c:v>
                </c:pt>
              </c:numCache>
            </c:numRef>
          </c:xVal>
          <c:yVal>
            <c:numRef>
              <c:f>Hoja1!$C$2</c:f>
              <c:numCache>
                <c:formatCode>0.0"x"</c:formatCode>
                <c:ptCount val="1"/>
                <c:pt idx="0">
                  <c:v>9.5</c:v>
                </c:pt>
              </c:numCache>
            </c:numRef>
          </c:yVal>
          <c:smooth val="0"/>
        </c:ser>
        <c:ser>
          <c:idx val="1"/>
          <c:order val="1"/>
          <c:tx>
            <c:strRef>
              <c:f>Hoja1!$A$3</c:f>
              <c:strCache>
                <c:ptCount val="1"/>
                <c:pt idx="0">
                  <c:v>H&amp;R 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5.2</c:v>
                </c:pt>
              </c:numCache>
            </c:numRef>
          </c:yVal>
          <c:smooth val="0"/>
        </c:ser>
        <c:ser>
          <c:idx val="2"/>
          <c:order val="2"/>
          <c:tx>
            <c:strRef>
              <c:f>Hoja1!$A$4</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12.2</c:v>
                </c:pt>
              </c:numCache>
            </c:numRef>
          </c:yVal>
          <c:smooth val="0"/>
        </c:ser>
        <c:ser>
          <c:idx val="3"/>
          <c:order val="3"/>
          <c:tx>
            <c:strRef>
              <c:f>Hoja1!$A$5</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10.2</c:v>
                </c:pt>
              </c:numCache>
            </c:numRef>
          </c:yVal>
          <c:smooth val="0"/>
        </c:ser>
        <c:ser>
          <c:idx val="4"/>
          <c:order val="4"/>
          <c:tx>
            <c:strRef>
              <c:f>Hoja1!$A$6</c:f>
              <c:strCache>
                <c:ptCount val="1"/>
                <c:pt idx="0">
                  <c:v>BILL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13.4</c:v>
                </c:pt>
              </c:numCache>
            </c:numRef>
          </c:xVal>
          <c:yVal>
            <c:numRef>
              <c:f>Hoja1!$C$6</c:f>
              <c:numCache>
                <c:formatCode>0.0"x"</c:formatCode>
                <c:ptCount val="1"/>
                <c:pt idx="0">
                  <c:v>25.2</c:v>
                </c:pt>
              </c:numCache>
            </c:numRef>
          </c:yVal>
          <c:smooth val="0"/>
        </c:ser>
        <c:ser>
          <c:idx val="5"/>
          <c:order val="5"/>
          <c:tx>
            <c:strRef>
              <c:f>Hoja1!$A$7</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8.9</c:v>
                </c:pt>
              </c:numCache>
            </c:numRef>
          </c:yVal>
          <c:smooth val="0"/>
        </c:ser>
        <c:ser>
          <c:idx val="6"/>
          <c:order val="6"/>
          <c:tx>
            <c:strRef>
              <c:f>Hoja1!$A$8</c:f>
              <c:strCache>
                <c:ptCount val="1"/>
                <c:pt idx="0">
                  <c:v>Toast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24.9</c:v>
                </c:pt>
              </c:numCache>
            </c:numRef>
          </c:xVal>
          <c:yVal>
            <c:numRef>
              <c:f>Hoja1!$C$8</c:f>
              <c:numCache>
                <c:formatCode>0.0"x"</c:formatCode>
                <c:ptCount val="1"/>
                <c:pt idx="0">
                  <c:v>25.8</c:v>
                </c:pt>
              </c:numCache>
            </c:numRef>
          </c:yVal>
          <c:smooth val="0"/>
        </c:ser>
        <c:ser>
          <c:idx val="7"/>
          <c:order val="7"/>
          <c:tx>
            <c:strRef>
              <c:f>Hoja1!$A$9</c:f>
              <c:strCache>
                <c:ptCount val="1"/>
                <c:pt idx="0">
                  <c:v>Shopify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37.2</c:v>
                </c:pt>
              </c:numCache>
            </c:numRef>
          </c:xVal>
          <c:yVal>
            <c:numRef>
              <c:f>Hoja1!$C$9</c:f>
              <c:numCache>
                <c:formatCode>0.0"x"</c:formatCode>
                <c:ptCount val="1"/>
                <c:pt idx="0">
                  <c:v>63.9</c:v>
                </c:pt>
              </c:numCache>
            </c:numRef>
          </c:yVal>
          <c:smooth val="0"/>
        </c:ser>
        <c:ser>
          <c:idx val="8"/>
          <c:order val="8"/>
          <c:tx>
            <c:strRef>
              <c:f>Hoja1!$A$10</c:f>
              <c:strCache>
                <c:ptCount val="1"/>
                <c:pt idx="0">
                  <c:v>Freshworks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18.1</c:v>
                </c:pt>
              </c:numCache>
            </c:numRef>
          </c:xVal>
          <c:yVal>
            <c:numRef>
              <c:f>Hoja1!$C$10</c:f>
              <c:numCache>
                <c:formatCode>0.0"x"</c:formatCode>
                <c:ptCount val="1"/>
                <c:pt idx="0">
                  <c:v>38.4</c:v>
                </c:pt>
              </c:numCache>
            </c:numRef>
          </c:yVal>
          <c:smooth val="0"/>
        </c:ser>
        <c:ser>
          <c:idx val="9"/>
          <c:order val="9"/>
          <c:tx>
            <c:strRef>
              <c:f>Hoja1!$A$11</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10.3</c:v>
                </c:pt>
              </c:numCache>
            </c:numRef>
          </c:xVal>
          <c:yVal>
            <c:numRef>
              <c:f>Hoja1!$C$11</c:f>
              <c:numCache>
                <c:formatCode>0.0"x"</c:formatCode>
                <c:ptCount val="1"/>
                <c:pt idx="0">
                  <c:v>8.4</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6381</c:v>
                </c:pt>
                <c:pt idx="1">
                  <c:v>7175</c:v>
                </c:pt>
                <c:pt idx="2">
                  <c:v>7926</c:v>
                </c:pt>
                <c:pt idx="3">
                  <c:v>8603</c:v>
                </c:pt>
                <c:pt idx="4">
                  <c:v>9123</c:v>
                </c:pt>
                <c:pt idx="5">
                  <c:v>9584</c:v>
                </c:pt>
                <c:pt idx="6">
                  <c:v>10052</c:v>
                </c:pt>
                <c:pt idx="7">
                  <c:v>10450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46412</c:v>
                </c:pt>
                <c:pt idx="1">
                  <c:v>72715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302,75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211.61</c:v>
                </c:pt>
                <c:pt idx="1">
                  <c:v>440.34</c:v>
                </c:pt>
                <c:pt idx="2">
                  <c:v>519.38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Hoja1!$B$2:$B$10</c:f>
              <c:numCache>
                <c:formatCode>#,##0</c:formatCode>
                <c:ptCount val="9"/>
                <c:pt idx="0">
                  <c:v>252.84</c:v>
                </c:pt>
                <c:pt idx="1">
                  <c:v>290</c:v>
                </c:pt>
                <c:pt idx="2">
                  <c:v>284.84</c:v>
                </c:pt>
                <c:pt idx="3">
                  <c:v>383.27</c:v>
                </c:pt>
                <c:pt idx="4">
                  <c:v>523.6</c:v>
                </c:pt>
                <c:pt idx="5">
                  <c:v>394.46</c:v>
                </c:pt>
                <c:pt idx="6">
                  <c:v>211.61</c:v>
                </c:pt>
                <c:pt idx="7">
                  <c:v>486.05</c:v>
                </c:pt>
                <c:pt idx="8">
                  <c:v>301.24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Hoja1!$C$2:$C$10</c:f>
              <c:numCache>
                <c:formatCode>#,##0</c:formatCode>
                <c:ptCount val="9"/>
                <c:pt idx="0">
                  <c:v>436.3299999999999</c:v>
                </c:pt>
                <c:pt idx="1">
                  <c:v>442</c:v>
                </c:pt>
                <c:pt idx="2">
                  <c:v>544.4000000000001</c:v>
                </c:pt>
                <c:pt idx="3">
                  <c:v>186.39999999999998</c:v>
                </c:pt>
                <c:pt idx="4">
                  <c:v>254.76</c:v>
                </c:pt>
                <c:pt idx="5">
                  <c:v>106.66000000000003</c:v>
                </c:pt>
                <c:pt idx="6">
                  <c:v>307.77</c:v>
                </c:pt>
                <c:pt idx="7">
                  <c:v>91.82</c:v>
                </c:pt>
                <c:pt idx="8">
                  <c:v>3.019999999999982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