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lululemon athletica inc.</w:t>
      </w:r>
    </w:p>
    <w:p>
      <w:pPr>
        <w:spacing w:after="60"/>
        <w:rPr>
          <w:color w:val="52514E"/>
          <w:sz w:val="22"/>
          <w:szCs w:val="22"/>
        </w:rPr>
      </w:pPr>
      <w:r>
        <w:rPr>
          <w:color w:val="52514E"/>
          <w:sz w:val="22"/>
          <w:szCs w:val="22"/>
        </w:rPr>
        <w:t xml:space="preserve">LULU · Nasdaq Global Select Market · ISIN US5500211090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93,61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96,56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+3,2 % (base +7,4 %)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132,71 USD · mercado 146,21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lululemon athletica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LULU / US5500211090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Vancouver (Columbia Británica, Canadá) · 1998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https://corporate.lululemon.com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93,61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91,28 – 225,98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10.365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4,6 M acciones/día, ≈ 505 M USD/día (3 meses) [67]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96,56 USD</w:t>
      </w:r>
      <w:r>
        <w:t xml:space="preserve"> frente a 93,61 · Rentabilidad a 12 meses </w:t>
      </w:r>
      <w:r>
        <w:rPr>
          <w:b/>
          <w:bCs/>
        </w:rPr>
        <w:t xml:space="preserve">+3,2 % (base +7,4 %)</w:t>
      </w:r>
      <w:r>
        <w:t xml:space="preserve"> · Valor intrínseco 132,71 USD · con la prima implícita del mercado: 146,21 (+56,2 %) · Alcista / bajista +90,9 % / -20,1 %</w:t>
      </w:r>
    </w:p>
    <w:p>
      <w:pPr>
        <w:spacing w:after="100"/>
      </w:pPr>
      <w:r>
        <w:rPr>
          <w:b/>
        </w:rPr>
        <w:t xml:space="preserve">La recomendación y por qué.</w:t>
      </w:r>
      <w:r>
        <w:t xml:space="preserve"> Comprar, con convicción media. El valor objetivo es de 132,71 USD frente a un precio de 93,61 (cierre del 6-oct-2026): rentabilidad total esperada del 41,8 %, con un alcista de +90,9 % y un bajista de −20,1 % (asimetría de 4,52x). Con la prima implícita del mercado (4,2 % [70]) sube a 146,21 USD: la regla relativa también da Comprar. La razón en una frase: el precio descuenta un declive permanente que las cifras de 2026 todavía no demuestran.</w:t>
      </w:r>
    </w:p>
    <w:p>
      <w:pPr>
        <w:spacing w:after="100"/>
      </w:pPr>
      <w:r>
        <w:rPr>
          <w:b/>
        </w:rPr>
        <w:t xml:space="preserve">El negocio.</w:t>
      </w:r>
      <w:r>
        <w:t xml:space="preserve"> Lululemon vende ropa técnica casi solo por canal propio (825 tiendas y 44 % digital [1, 7]), con un margen bruto del 56,6 % frente al 42,9 % de Nike [19] y un ROIC del 56,8 % frente a un WACC del 10,96 %. Lo vulnerable es la marca en EE. UU.: Américas, el 70,7 % de las ventas, encadena comparables del −3 % en FY2025 y del −12 % en el 2T26 frente a Alo y Vuori [7, 28, 29]. China, que compensaba (+20 % en FY2025), cayó un 8 % a tipo constante en el 2T26 [7]. ¿Sostiene su calidad el crecimiento que proyectamos? En parte: el ROIC y el margen bruto lo financian de sobra, pero el poder de precios no está demostrado (más rebajas y aranceles sin repercutir [1, 7]); por eso el caso base crece por debajo del mercado, deja caer la cuota mundial del 2,6 % al ≈ 1,9 % en FY2035e y no pide subidas de precio por encima de la inflación.</w:t>
      </w:r>
    </w:p>
    <w:p>
      <w:pPr>
        <w:spacing w:after="100"/>
      </w:pPr>
      <w:r>
        <w:rPr>
          <w:b/>
        </w:rPr>
        <w:t xml:space="preserve">Finanzas.</w:t>
      </w:r>
      <w:r>
        <w:t xml:space="preserve"> Tras crecer un 18,9 % anual en diez años, las ventas caerán un 5-7 % en 2026 según una guía rebajada dos veces [7, 9]. El margen EBIT pasa del 23,7 % de FY2024 a ≈ 14,6 % en 2026: ≈ 250 pb de aranceles y fin de la exención de minimis y ≈ 450 pb de desapalancamiento de gastos [1, 16]. El EBITDA de 12 meses incluye 134,5 M de devoluciones de aranceles no recurrentes [7]. La caja neta es de 1.271 M y el flujo libre de 1.354 M en 12 meses: una rentabilidad por FCF del 13,1 %.</w:t>
      </w:r>
    </w:p>
    <w:p>
      <w:pPr>
        <w:spacing w:after="100"/>
      </w:pPr>
      <w:r>
        <w:rPr>
          <w:b/>
        </w:rPr>
        <w:t xml:space="preserve">Equipo y gobierno.</w:t>
      </w:r>
      <w:r>
        <w:t xml:space="preserve"> Resta. Tres cambios de primer ejecutivo o presidente en 24 meses; Heidi O'Neill, de Nike, es CEO desde el 8-sep-2026 sin plan presentado [34]. El fundador (8,6 %) pactó una tregua en mayo tras una batalla de proxies, y el tercer consejero que debía nombrarse antes del 1-oct no consta [44, 49]. El 36,7 % votó contra la remuneración en 2026 [45].</w:t>
      </w:r>
    </w:p>
    <w:p>
      <w:pPr>
        <w:spacing w:after="100"/>
      </w:pPr>
      <w:r>
        <w:rPr>
          <w:b/>
        </w:rPr>
        <w:t xml:space="preserve">Valoración.</w:t>
      </w:r>
      <w:r>
        <w:t xml:space="preserve"> DCF de 131,55 USD (peso 55 %), escenarios 35 % (123,94) y comparables 10 % (169,83, una mediana inflada por marcas que crecen). </w:t>
      </w:r>
      <w:r>
        <w:rPr>
          <w:b/>
        </w:rPr>
        <w:t xml:space="preserve">El DCF inverso dice que el precio descuenta una caída de ventas del 4,3 % anual hasta FY2035e o un margen EBITDA del 15,5 % para siempre</w:t>
      </w:r>
      <w:r>
        <w:t xml:space="preserve">, frente al 17,9 % que espera el consenso en su peor año (FY2027 [71]) y al 24,4 % de FY2025. Coincidimos con el consenso hasta FY2028e (menos del 2,2 % de diferencia); discrepamos después: suponemos que Américas toca suelo en 2027 y que el margen se estabiliza en el 20 %, lejos del 25-28 % de FY2018-FY2024. A 3,6x el EBITDA de 12 meses cotiza por debajo de Deckers (6,5x [74]) y de las compras de Skechers y Hanesbrands (8,5-8,9x [76, 77]).</w:t>
      </w:r>
    </w:p>
    <w:p>
      <w:pPr>
        <w:spacing w:after="100"/>
      </w:pPr>
      <w:r>
        <w:rPr>
          <w:b/>
        </w:rPr>
        <w:t xml:space="preserve">Riesgos y catalizadores.</w:t>
      </w:r>
      <w:r>
        <w:t xml:space="preserve"> El mayor riesgo es que la marca siga el camino de Under Armour: es el escenario bajista (−20,1 %, 74,76 USD), con cinco puntos menos de margen para siempre. Cada punto de margen EBITDA en todos los años mueve el valor un 6,4 % y cada punto de crecimiento anual un 4,8 %. La convicción es media, aunque los criterios den alta, porque a tres años nuestras cifras son las del consenso y la calidad sostiene el crecimiento solo en parte: la tesis depende de que el declive pare, y la prueba tiene fecha: los resultados del 3T26 (primera quincena de diciembre, guía de −10 % a −11 % [7]) y la guía de FY2027 de marzo de 2027, la primera de la nueva CEO.</w:t>
      </w:r>
    </w:p>
    <w:p>
      <w:pPr>
        <w:spacing w:after="100"/>
      </w:pPr>
      <w:r>
        <w:rPr>
          <w:b/>
        </w:rPr>
        <w:t xml:space="preserve">Qué cambiaría la decisión.</w:t>
      </w:r>
      <w:r>
        <w:t xml:space="preserve"> Seguiríamos comprando por debajo de 126,34 USD y venderíamos por encima de 162,30. Pasaríamos a Mantener si las comparables de Américas empeoran del −12 % en el 3T26 o el 4T26, o si la guía de FY2027 da un margen EBIT por debajo del 12 %.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96,56 USD</w:t>
      </w:r>
      <w:r>
        <w:t xml:space="preserve"> (rentabilidad +3,2 % (base +7,4 %)) · Valor intrínseco: 132,71 USD (+41,8 % sobre 93,61) · con la prima implícita del mercado: 146,21 (+56,2 %)</w:t>
      </w:r>
    </w:p>
    <w:p>
      <w:pPr>
        <w:spacing w:after="100"/>
      </w:pPr>
      <w:r>
        <w:t xml:space="preserve">Lululemon es la marca de ropa deportiva más rentable de su tamaño: 11.103 M USD de ventas en FY2025, margen bruto del 56,6 %, ROIC por encima del 48 % todos los años desde FY2016, sin deuda y con 7.518 M de flujo libre acumulado en diez años, de los que 5.595 M se devolvieron en recompras [1, 4]. En 2025-2026 la historia se rompió en su mercado principal: Américas cae, los aranceles restaron ≈ 250 pb de margen bruto y la guía de 2026 pasó de crecer un 2-4 % a caer un 5-7 % en seis meses [7, 9].</w:t>
      </w:r>
    </w:p>
    <w:p>
      <w:pPr>
        <w:spacing w:after="100"/>
      </w:pPr>
      <w:r>
        <w:t xml:space="preserve">El precio, 93,61 USD, descuenta que eso es el principio de un declive. A 3,6x el EBITDA de los últimos 12 meses y con una rentabilidad por FCF del 13,1 %, el DCF inverso pide ventas a la baja un 4,3 % al año durante una década con nuestro margen, o un margen EBITDA del 15,5 % para siempre con nuestro crecimiento. La caída desde el máximo es del 81,8 % [67].</w:t>
      </w:r>
    </w:p>
    <w:p>
      <w:pPr>
        <w:spacing w:after="100"/>
      </w:pPr>
      <w:r>
        <w:t xml:space="preserve">Creemos que el mercado exagera, pero no que se equivoque en el diagnóstico. La marca pierde cuota en EE. UU. frente a Alo y Vuori [28, 29] y China ya no compensa [7]. Para invertir hay que creer dos cosas: que Américas toca suelo en 2027 con producto y marketing nuevos, y que el margen EBITDA se estabiliza en torno al 18-20 %, más del doble que el de Nike (7,7 % [74]). Si las dos se cumplen, el valor es de 131,55 USD; si fallan las dos, de 74,76.</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4,84 = 46,46 · 11,3x × 8,90 = 100,57 · 14,7x × 11,00 = 161,70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 /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(32,7x) es 2,9 veces el PER de hoy (11,3x);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104,91 (nuestro base -4,1 %)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90,9 % / -20,1 %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 frente a 11,0 %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41,8 %, asimetría de 4,52, bajista del -20,1 % y el precio descuenta 7,3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83,97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83,97 y 107,29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107,29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Comparables de Américas peores que −12 % en el 3T26 o el 4T26: pasaríamos a Mantener.</w:t>
      </w:r>
    </w:p>
    <w:p>
      <w:pPr>
        <w:pStyle w:val="ListParagraph"/>
        <w:numPr>
          <w:ilvl w:val="0"/>
          <w:numId w:val="2"/>
        </w:numPr>
        <w:spacing w:after="60"/>
      </w:pPr>
      <w:r>
        <w:t xml:space="preserve">Guía de FY2027 (marzo de 2027) con margen EBIT por debajo del 12 % o ventas por debajo de −3 %: pasaríamos a Mantener.</w:t>
      </w:r>
    </w:p>
    <w:p>
      <w:pPr>
        <w:pStyle w:val="ListParagraph"/>
        <w:numPr>
          <w:ilvl w:val="0"/>
          <w:numId w:val="2"/>
        </w:numPr>
        <w:spacing w:after="60"/>
      </w:pPr>
      <w:r>
        <w:t xml:space="preserve">Precio por encima de 162,30 USD sin mejora de las cifras: pasaríamos a Vender.</w:t>
      </w:r>
    </w:p>
    <w:p>
      <w:pPr>
        <w:pStyle w:val="ListParagraph"/>
        <w:numPr>
          <w:ilvl w:val="0"/>
          <w:numId w:val="2"/>
        </w:numPr>
        <w:spacing w:after="60"/>
      </w:pPr>
      <w:r>
        <w:t xml:space="preserve">Margen bruto sin aranceles extraordinarios por debajo del 55 % durante dos trimestres: revisaríamos el caso base hacia el bajista.</w:t>
      </w:r>
    </w:p>
    <w:p>
      <w:pPr>
        <w:pStyle w:val="ListParagraph"/>
        <w:numPr>
          <w:ilvl w:val="0"/>
          <w:numId w:val="2"/>
        </w:numPr>
        <w:spacing w:after="60"/>
      </w:pPr>
      <w:r>
        <w:t xml:space="preserve">Recompras financiadas con deuda o caja por debajo de 1.000 M sin estabilización de ventas: rebajaríamos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declive estructural: ventas a la baja un 4,3 % al año hasta FY2035e o un margen EBITDA del 15,5 % para siempre, 9 puntos menos que en FY2025. El consenso de los analistas, en cambio, solo proyecta tres años (ventas planas y margen del 17,9-18,0 % en FY2027-FY2028 [71]) y recomienda mantener (29 de 35 [72]), con un precio objetivo medio de 104,91 USD.</w:t>
      </w:r>
    </w:p>
    <w:p>
      <w:pPr>
        <w:keepNext/>
        <w:spacing w:after="100"/>
      </w:pPr>
      <w:r>
        <w:rPr>
          <w:b/>
          <w:bCs/>
        </w:rPr>
        <w:t xml:space="preserve">Lo que creemos nosotros.</w:t>
      </w:r>
    </w:p>
    <w:p>
      <w:pPr>
        <w:spacing w:after="100"/>
      </w:pPr>
      <w:r>
        <w:t xml:space="preserve">La caída de Américas es un problema de producto y de marketing en una marca que conserva un margen bruto del 56,6 % y un ROIC muy por encima de su coste de capital. Coincidimos con el consenso hasta FY2028e; después suponemos estabilización (crecimiento del 3-4 % y margen EBITDA del 20 %), no recuperación al 25-28 % de FY2018-FY2024.</w:t>
      </w:r>
    </w:p>
    <w:p>
      <w:pPr>
        <w:keepNext/>
        <w:spacing w:after="100"/>
      </w:pPr>
      <w:r>
        <w:rPr>
          <w:b/>
          <w:bCs/>
        </w:rPr>
        <w:t xml:space="preserve">Por qué podemos tener razón.</w:t>
      </w:r>
    </w:p>
    <w:p>
      <w:pPr>
        <w:spacing w:after="100"/>
      </w:pPr>
      <w:r>
        <w:t xml:space="preserve">Lululemon ya superó una crisis de producto en 2013 [32], el canal propio permite corregir rápido inventario y surtido (−7 % en unidades en agosto de 2026 [7]) y la caja neta (1.271 M) aguanta varios años de margen bajo sin diluir. El precio no paga nada por ello: incluso el bajista, con cinco puntos menos de margen para siempre, pierde solo un 20,1 %.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9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declive</w:t>
      </w:r>
      <w:r>
        <w:t xml:space="preserve">: 3,6x el EBITDA y 7,7x el beneficio de los últimos 12 meses, un 83 % y un 81 % por debajo de su media de diez años.</w:t>
      </w:r>
    </w:p>
    <w:p>
      <w:pPr>
        <w:pStyle w:val="ListParagraph"/>
        <w:numPr>
          <w:ilvl w:val="0"/>
          <w:numId w:val="2"/>
        </w:numPr>
        <w:spacing w:after="60"/>
      </w:pPr>
      <w:r>
        <w:rPr>
          <w:b/>
        </w:rPr>
        <w:t xml:space="preserve">Caja y flujo</w:t>
      </w:r>
      <w:r>
        <w:t xml:space="preserve">: caja neta de 1.271 M, sin deuda, y una rentabilidad por FCF del 13,1 %.</w:t>
      </w:r>
    </w:p>
    <w:p>
      <w:pPr>
        <w:pStyle w:val="ListParagraph"/>
        <w:numPr>
          <w:ilvl w:val="0"/>
          <w:numId w:val="2"/>
        </w:numPr>
        <w:spacing w:after="60"/>
      </w:pPr>
      <w:r>
        <w:rPr>
          <w:b/>
        </w:rPr>
        <w:t xml:space="preserve">Margen bruto del 56,6 %</w:t>
      </w:r>
      <w:r>
        <w:t xml:space="preserve">, frente al 42,9 % de Nike [19]: espacio para invertir en marketing y producto sin entrar en pérdidas.</w:t>
      </w:r>
    </w:p>
    <w:p>
      <w:pPr>
        <w:pStyle w:val="ListParagraph"/>
        <w:numPr>
          <w:ilvl w:val="0"/>
          <w:numId w:val="2"/>
        </w:numPr>
        <w:spacing w:after="60"/>
      </w:pPr>
      <w:r>
        <w:rPr>
          <w:b/>
        </w:rPr>
        <w:t xml:space="preserve">ROIC del 56,8 %</w:t>
      </w:r>
      <w:r>
        <w:t xml:space="preserve"> en FY2025 (≈ 32 % con los alquileres capitalizados), muy por encima del WACC del 10,96 %.</w:t>
      </w:r>
    </w:p>
    <w:p>
      <w:pPr>
        <w:pStyle w:val="ListParagraph"/>
        <w:numPr>
          <w:ilvl w:val="0"/>
          <w:numId w:val="2"/>
        </w:numPr>
        <w:spacing w:after="60"/>
      </w:pPr>
      <w:r>
        <w:rPr>
          <w:b/>
        </w:rPr>
        <w:t xml:space="preserve">Asimetría de 4,52x</w:t>
      </w:r>
      <w:r>
        <w:t xml:space="preserve">: el alcista gana un 90,9 % y el bajista pierde un 20,1 %.</w:t>
      </w:r>
    </w:p>
    <w:p>
      <w:pPr>
        <w:pStyle w:val="Heading2"/>
      </w:pPr>
      <w:r>
        <w:t xml:space="preserve">En contra</w:t>
      </w:r>
    </w:p>
    <w:p>
      <w:pPr>
        <w:pStyle w:val="ListParagraph"/>
        <w:numPr>
          <w:ilvl w:val="0"/>
          <w:numId w:val="2"/>
        </w:numPr>
        <w:spacing w:after="60"/>
      </w:pPr>
      <w:r>
        <w:rPr>
          <w:b/>
        </w:rPr>
        <w:t xml:space="preserve">Américas se deteriora</w:t>
      </w:r>
      <w:r>
        <w:t xml:space="preserve">: comparables del −12 % en el 2T26, después del −5 % del 1T26 [7].</w:t>
      </w:r>
    </w:p>
    <w:p>
      <w:pPr>
        <w:pStyle w:val="ListParagraph"/>
        <w:numPr>
          <w:ilvl w:val="0"/>
          <w:numId w:val="2"/>
        </w:numPr>
        <w:spacing w:after="60"/>
      </w:pPr>
      <w:r>
        <w:rPr>
          <w:b/>
        </w:rPr>
        <w:t xml:space="preserve">China dejó de compensar</w:t>
      </w:r>
      <w:r>
        <w:t xml:space="preserve">: −8 % de comparables a tipo constante en el 2T26, tras +20 % en FY2025 [7].</w:t>
      </w:r>
    </w:p>
    <w:p>
      <w:pPr>
        <w:pStyle w:val="ListParagraph"/>
        <w:numPr>
          <w:ilvl w:val="0"/>
          <w:numId w:val="2"/>
        </w:numPr>
        <w:spacing w:after="60"/>
      </w:pPr>
      <w:r>
        <w:rPr>
          <w:b/>
        </w:rPr>
        <w:t xml:space="preserve">Guía rebajada dos veces en 2026</w:t>
      </w:r>
      <w:r>
        <w:t xml:space="preserve">: el BPA pasó de 12,10-12,30 USD a 9,48-9,73 (8,62-8,87 sin las devoluciones de aranceles) [7, 9].</w:t>
      </w:r>
    </w:p>
    <w:p>
      <w:pPr>
        <w:pStyle w:val="ListParagraph"/>
        <w:numPr>
          <w:ilvl w:val="0"/>
          <w:numId w:val="2"/>
        </w:numPr>
        <w:spacing w:after="60"/>
      </w:pPr>
      <w:r>
        <w:rPr>
          <w:b/>
        </w:rPr>
        <w:t xml:space="preserve">Cúpula nueva y gobierno inestable</w:t>
      </w:r>
      <w:r>
        <w:t xml:space="preserve">: tres cambios de presidente o CEO en 24 meses y un 36,7 % en contra de la remuneración [45].</w:t>
      </w:r>
    </w:p>
    <w:p>
      <w:pPr>
        <w:pStyle w:val="ListParagraph"/>
        <w:numPr>
          <w:ilvl w:val="0"/>
          <w:numId w:val="2"/>
        </w:numPr>
        <w:spacing w:after="60"/>
      </w:pPr>
      <w:r>
        <w:rPr>
          <w:b/>
        </w:rPr>
        <w:t xml:space="preserve">Aranceles</w:t>
      </w:r>
      <w:r>
        <w:t xml:space="preserve">: ≈ 250 pb de margen bruto en FY2025, con el 40 % de la producción en Vietnam [1].</w:t>
      </w:r>
    </w:p>
    <w:p>
      <w:pPr>
        <w:pStyle w:val="Heading2"/>
      </w:pPr>
      <w:r>
        <w:t xml:space="preserve">Qué tiene que pasar para que la tesis funcione</w:t>
      </w:r>
    </w:p>
    <w:p>
      <w:pPr>
        <w:spacing w:after="100"/>
      </w:pPr>
      <w:r>
        <w:t xml:space="preserve">La tesis depende de que las comparables de Américas toquen suelo entre el 3T26 y el 1T27 sin que el margen bruto se hunda con las rebajas. La señal de que no se cumple: comparables de Américas peores que −12 % en el 3T26 o el 4T26, o una guía de FY2027 con el margen EBIT por debajo del 12 % y sin objetivos a medio plazo. China a tipo constante negativo dos trimestres seguidos agravaría el bajista.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de Américas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−12 % en el 3T26 o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70,7 % de las ventas; separa el valle del declive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de China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mayor margen (40,0 %) y base del crecimiento fuera de Américas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 en el 2T26 (54,9 % sin devoluciones de aranceles)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55 % sin partidas extraordinarias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 frente a las rebajas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14,6 % (guía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12 % en la guía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margen EBITDA del 15,5 % (≈ 10,5 % EBIT).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Inventario por unidades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 interanual (2-ago-2026)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Vuelve a crecer por encima de las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exceso de inventario de FY2025 obligó a rebajar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 / 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7,7x / 10,5x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Chip Wilson fundó lululemon en Vancouver en 1998 con una tienda que era también estudio de yoga [1, 32]. Salió a bolsa en el Nasdaq en julio de 2007 (327,6 M USD captados) [32]. La retirada en 2013 de unas mallas negras transparentes, cerca del 17 % de los pantalones de mujer en tienda, se llevó a la consejera delegada Christine Day; Wilson dejó el consejo en 2015 [32]. Con Calvin McDonald (2018-2026) la empresa cumplió antes de plazo el plan Power of Three de 2019 y lanzó el Power of Three ×2 en 2022: 12.500 M USD de ventas en 2026 [33]. Ese objetivo no se cumplirá: la guía del FY2026 es de 10.350-10.500 M USD, con caídas en Américas [7]. Tras la salida de McDonald (31-ene-2026), la batalla de proxies de Wilson y una codirección interina, Heidi O'Neill es consejera delegada desde el 8-sep-2026 [1,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 Wilson abre la primera tienda en Vancouver (Canadá)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OPV en el Nasdaq en julio: 18,2 millones de acciones y 327,6 M USD captados [32]. Christine Day llega como consejera delegada en 2008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de las mallas negras transparentes (≈17 % de los pantalones de mujer en tienda); salen la directora de producto y la consejera delegada; Laurent Potdevin la sustituye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tienda propia en China continental, hoy el 16 % de las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Chip Wilson deja el consejo de administración (febrero)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Potdevin; Calvin McDonald, consejero delegado desde agosto (contrato efectivo el 20-ago-2018)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Power of Three con objetivos a 2023 de ingresos y beneficio, cumplidos en 2021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Mirror (fitness en casa) por 500 M USD en junio [32]; deterioro de 442,7 M USD después de impuestos en 2022 [32] y fin de la venta de los espejos en diciembre de 2023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calzado (marzo) [32] y plan Power of Three ×2: duplicar las ventas de 2021 (6.250 M USD) hasta 12.500 M USD en 2026, con hombre y digital ×2 e internacional ×4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las tiendas y la operación de México al licenciatario (10-sep-2024)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y fin de de minimis: el margen operativo cae 380 pb, al 19,9 % [1]. McDonald deja el cargo el 31-ene-2026 y Wilson anuncia el 29-dic-2025 una batalla de proxies por tres puestos del consejo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cooperación con Wilson el 26-may [5]. Heidi O'Neill, consejera delegada el 8-sep [34]. Guía del FY2026 rebajada a ventas de 10.350-10.500 M USD (−5 % a −7 %)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lululemon diseña y vende ropa técnica deportiva (mallas, pantalones, sudaderas, chaquetas), calzado y accesorios bajo una sola marca. En el FY2025 (feb-2025 a ene-2026) facturó 11.103 M USD: mujer 63 %, hombre 24 % y accesorios, calzado y otros 13 % [1]. No fabrica: compra a unos 51 proveedores de confección, cinco de ellos producen el 47 % y el mayor el 15 %; el 40 % se fabrica en Vietnam, el 18 % en Camboya, el 11 % en Sri Lanka, el 11 % en Indonesia y el 7 % en Bangladés [1]. Vende casi todo de forma directa: 811 tiendas propias en 30 países a 1-feb-2026 (476 en Américas, 172 en China continental, 163 en el resto del mundo), 45 locales de terceros con licencia (Oriente Medio y Europa), web, app y marketplaces [1]. Por canal, tiendas 45,5 %, comercio electrónico 44,3 % y otros (outlets, temporales, mayorista a gimnasios y empresas, «Like New») 10,2 % (cálculo sobre la nota de ingresos) [1]. Por región, Américas 71 %, China continental 16 % y resto del mundo 13 % [1].</w:t>
      </w:r>
    </w:p>
    <w:p>
      <w:pPr>
        <w:pStyle w:val="Heading2"/>
      </w:pPr>
      <w:r>
        <w:t xml:space="preserve">Cómo gana dinero</w:t>
      </w:r>
    </w:p>
    <w:p>
      <w:pPr>
        <w:spacing w:after="100"/>
      </w:pPr>
      <w:r>
        <w:t xml:space="preserve">El modelo es vertical: diseña, compra a fábricas de terceros y vende a precio completo en sus propios canales, sin margen mayorista intermedio. Eso le dio un margen bruto del 59,2 % en el FY2024, que cayó al 56,6 % en el FY2025 (−260 pb), sobre todo por aranceles, el fin de la exención de minimis y más rebajas; el margen operativo bajó de 23,7 % a 19,9 % [1]. El impacto bruto sin mitigar de aranceles y de minimis fue de unos 275 M USD en el FY2025, porque la mayoría de los pedidos web de EE. UU. se sirven desde almacenes de Canadá [1]. Nada es recurrente por contrato: los ingresos dependen de la venta de producto nuevo a precio completo, del tráfico y de la conversión. Los gastos de estructura (36,6 % de las ventas) son casi fijos, así que el apalancamiento operativo es alto en ambos sentidos. Es estacional: el cuarto trimestre (noviembre-enero) generó en torno al 37 % del beneficio operativo del FY2025 [1]. Las ventas por pie cuadrado bajaron de 1.574 a 1.426 USD [1].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partidas no asignadas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partidas no asignadas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Vende al consumidor final (la empresa los llama guests), así que no hay concentración: ningún cliente ni contrato pesa, y el canal mayorista (gimnasios, clubes, empresas, tiendas universitarias) va dentro de «otros canales», un 10,2 % de las ventas junto con outlets y temporales [1]. La fidelidad no se publica como tasa de recompra. El poder de precios se está poniendo a prueba: en el FY2025 subió precios de forma selectiva para compensar aranceles, pero no llegó a cubrirlos y además aumentó las rebajas y los programas con tarjetas de crédito [1]. En el 2T26 las ventas comparables de Américas cayeron un 12 % por menos tráfico, menor conversión y menor ticket medio, y la empresa anunció un plan para depender más de la venta a precio completo [5]. En China, que crecía al 29 % en el FY2025, las comparables pasaron a −2 % en el 2T26 [1,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totales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2026: +1 % en 1T26 y −9 % en 2T26 (−10 % a tipo constante) [1, 2,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Américas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en 1T26 y −12 % en 2T26 [1, 2,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China continental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−2 % (−8 % a tipo constante)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Resto del mundo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−4 % (−3 % a tipo constante)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825 a 2-ago-2026; la guía de 2026 es de unas 35 aperturas netas (10 en Norteamérica, 25 fuera) [7, 9,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comercio electrónico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 electrónico +8 % en FY2025 frente a tiendas propias +1 %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fin de la exención de minimis: unos 275 M USD de beneficio bruto antes de medidas de mitigación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Inventario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 (fin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 (2-ago-2026)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Ajuste del inventario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dólares, +18 % al cierre de FY2025 y −1 % a 2-ago-2026 [7,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ropa y calzado deportivo</w:t>
      </w:r>
      <w:r>
        <w:t xml:space="preserve"> (sportswear), que incluye el athleisure: prendas técnicas que se usan tanto para hacer deporte como en el día a día. lululemon juega en su tramo premium, sobre todo en ropa de mujer (63 % de sus ventas) [1]. Uso como serie principal la de Euromonitor publicada por McKinsey y la WFSGI: valor de venta al público, mundial, a tipo de cambio constante [26]. Como contraste, Grand View Research estima el athleisure en 422.000 M USD en 2025 [27], una cifra casi igual a la del sportswear entero porque su perímetro incluye ropa casual de inspiración deportiva. No hay una serie pública fiable del segmento premium aislado. El 71 % de las ventas de lululemon está en Américas, así que el mercado de Norteamérica (173.000 M USD en 2025e) es el que más pesa [1,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433.000 M USD en 2025e en el mundo (venta al público, tipo de cambio constante; Euromonitor vía McKinsey) [26]; Norteamérica ≈ 173.000 M USD [26]. Contraste: athleisure ≈ 422.000 M USD en 2025 según Grand View Research [27].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 Nike y Adidas suman en torno al 17 % del mercado mundial y el resto se reparte entre muchas marcas. Estimación propia de la cuota de los cinco mayores grupos documentados (Nike, Adidas, Anta, lululemon y Amer Sports: 104.800 M USD de ingresos sobre 433.000 M USD de mercado) [19, 21, 24, 25, 26]. Es una cota inferior: compara ingresos (mayoristas en buena parte) con valor de venta al público, y deja fuera grupos de tamaño parecido a Amer como Puma o Skechers.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mercado mundial de ropa y calzado deportivo, valor de venta al público a tipo de cambio constante (Euromonitor vía McKinsey))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Estilo de vida activo y athleisure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mundial creció del 319.000 M USD de 2019 a 407.000 M USD en 2024 (+5,0 % anual) y se espera un +6 % anual hasta 2029 [26]. Grand View prevé un +9,9 % anual para el athleisure entre 2026 y 2033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aspirantes frente a los grandes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2019 y 2024 los dos mayores grupos cedieron 3 puntos de cuota a marcas especializadas (lululemon, On, Arc'teryx, Hoka) [26]. Ahora la presión llega a lululemon desde abajo: en 2018 el 1,2 % de sus clientes compraba también en Vuori; a finales de 2024, el 7,8 % (GlobalData)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lululemon en China continental crecieron un 29 % en el FY2025 (comparables +20 %) [1], y las de Amer Sports en la Gran China un 43,4 % en 2025 [21]. Pero Nike bajó un 11 % allí en su FY2026 [19] y las comparables de lululemon en China pasaron a −2 % en el 2T26 (−8 % a tipo constante)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fin de la exención de minimis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Impacto bruto sin mitigar en el beneficio bruto de lululemon de unos 275 M USD en el FY2025 (−260 pb de margen bruto entre aranceles, de minimis y rebajas) [1]. A Gap los aranceles netos le costaron ≈1,2 puntos de coste de ventas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discrecional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Norteamérica crece menos que el mundo (+5 % anual previsto en 2024-29 frente a +6 %) [26]. Las comparables de lululemon en Américas cayeron un 3 % en el FY2025 y un 12 % en el 2T26 por menos tráfico, menor conversión y menor ticket [1, 5]. Athleta (Gap) tuvo −9 % de comparables en 2025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competidores y más rebajas: Nike y Adidas operan con márgenes EBIT del 8,3 % [19, 24], Under Armour pierde dinero (−3,3 %) [23] y lululemon reconoce más rebajas y programas de tarjetas de crédito en el FY2025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es el consumidor final, sin concentración [1], pero cambiar de marca no le cuesta nada: el solapamiento de clientes con Vuori pasó del 1,2 % al 7,8 % en seis años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lululemon trabaja con unos 51 confeccionistas (el mayor, 15 %) y 65 proveedores de tejido (el mayor, 20 %), sin contratos a largo plazo con la mayoría [1]. Los tejidos propios dependen de pocos proveedores en Taiwán (34 %) y China (29 %)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externalizada y el canal digital abaratan la entrada: McKinsey habla de «barreras de entrada decrecientes» [26]. Vuori facturaba ≈1.000 M USD en 2024 (estimación de analistas) [28] y el grupo de Alo, cerca de 2.000 M USD (estimación de Forbes, abril de 2025)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ropa casual y las marcas de distribución compiten por el mismo uso diario. La diferencia de precio con las grandes cadenas es alta y la propia lululemon admite una demanda más débil en categorías básicas (core) en Américas [1].</w:t>
            </w:r>
          </w:p>
        </w:tc>
      </w:tr>
    </w:tbl>
    <w:p>
      <w:pPr>
        <w:spacing w:after="160" w:before="0"/>
      </w:pPr>
    </w:p>
    <w:p>
      <w:pPr>
        <w:pStyle w:val="Heading2"/>
      </w:pPr>
      <w:r>
        <w:t xml:space="preserve">Ciclo</w:t>
      </w:r>
    </w:p>
    <w:p>
      <w:pPr>
        <w:spacing w:after="100"/>
      </w:pPr>
      <w:r>
        <w:t xml:space="preserve">El mercado mundial sigue creciendo (+6 % previsto en 2025), pero Norteamérica va más despacio (+5 %) [26] y el gasto en EE. UU. se resiente: comparables de lululemon en Américas del −12 % en el 2T26 [5] y de Athleta del −9 % en 2025 [20]. En 2020 el mercado cayó un 12 % (de 319.000 a 280.000 M USD) y en 2021 se recuperó un 20 % [26]; en 2022 creció un 7 % pese a la inflación [26]. No hay serie comparable de 2008-09 en las fuentes leídas.</w:t>
      </w:r>
    </w:p>
    <w:p>
      <w:pPr>
        <w:pStyle w:val="Heading2"/>
      </w:pPr>
      <w:r>
        <w:t xml:space="preserve">Regulación</w:t>
      </w:r>
    </w:p>
    <w:p>
      <w:pPr>
        <w:spacing w:after="100"/>
      </w:pPr>
      <w:r>
        <w:t xml:space="preserve">El 2-abr-2025 EE. UU. impuso un arancel base del 10 % y tipos más altos por país; Vietnam (40 % de la producción de lululemon), Camboya (18 %), Sri Lanka e Indonesia (11 % cada una) quedaron por encima del 10 % [1]. La exención de minimis terminó para todos los países el 29-ago-2025 y la ley la deroga del todo el 1-jul-2027; la mayoría de los pedidos web de EE. UU. de lululemon salían de Canadá con esa exención [1]. El 20-feb-2026 el Tribunal Supremo anuló los aranceles IEEPA; el Gobierno impuso otros con distinta base legal, y el 13-ago-2026 el Tribunal de Comercio Internacional confirmó que el fin de de minimis sigue vigente [5]. lululemon pagó 230 M USD de aranceles IEEPA y cobró 134,5 M USD de devolución (más 4,1 M de intereses) en el 2T26; no ha reconocido activo por el resto [5]. Nike reconoció 986 M USD de recuperación [19]. Dos demandas colectivas de consumidores (27-mar y 30-jun-2026) reclaman la parte arancelaria de los precios [5].</w:t>
      </w:r>
    </w:p>
    <w:p>
      <w:pPr>
        <w:pStyle w:val="Heading2"/>
      </w:pPr>
      <w:r>
        <w:t xml:space="preserve">Tendencias y disrupción</w:t>
      </w:r>
    </w:p>
    <w:p>
      <w:pPr>
        <w:spacing w:after="100"/>
      </w:pPr>
      <w:r>
        <w:t xml:space="preserve">Tres cambios juegan en contra de lululemon en su mercado principal. El primero son las marcas aspirantes nacidas en el canal digital: Alo y Vuori ganan clientes de lululemon [28, 29], el mismo camino que lululemon recorrió frente a Nike y Adidas entre 2019 y 2024 [26]. El segundo, la vuelta de los grandes al canal mayorista: Nike creció un 14 % en mayorista en Norteamérica en su FY2026 y cayó un 6 % en venta directa [19]. El tercero, el traslado del crecimiento a Asia, donde lululemon sí gana: China pasó del 13 % al 16 % de sus ventas en un año [1]. Las rebajas y los programas de tarjetas de crédito se extienden en todo el sector [1,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≈2,6 % del mercado mundial de ropa y calzado deportivo (11.103 M USD de ingresos sobre ≈433.000 M USD en 2025e) [1, 26] y ≈4,5 % del de Norteamérica (7.847 M USD de Américas sobre 173.000 M USD) [1, 26]. Es el 4.º grupo por ingresos de los comparados, tras Nike, Adidas y Anta [19, 24, 25]. En EE. UU. y Américas **pierde cuota**: comparables del −3 % en el FY2025 y del −12 % en el 2T26, mientras el mercado de Norteamérica crece ≈5 % al año y Nike creció un 5 % allí [1, 5, 19, 26]. En China y el resto del mundo **gana cuota**: +29 % y +16 % de ingresos en el FY2025 frente a un mercado de Asia-Pacífico que crece ≈6 % al año (previsión 2024-29) [1, 26], aunque en el 2T26 las comparables también se volvieron negativas (−2 % y −4 %) [5]. La comparación mezcla ingresos (directos en lululemon, mayoristas en buena parte en Nike o Adidas) con valor de venta al público, así que infravalora la cuota de los mayoristas.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 (Nike, Jordan, Converse)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 a 31-may-2026. El EBIT incluye 986 M USD de recuperación de aranceles IEEPA; sin ella, ≈6,2 % (estimación propia) [19]. Norteamérica +5 % (mayorista +14 %, directo −6 %); Gran China −11 %, con EBIT regional del 21,9 % [19]. Compite en todo el catálogo y en mayorista; nombra a lululemon como competidor directo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24.811 M EUR en 2025 convertidos a 1,175 USD/EUR (BCE, 31-dic-2025) [24, 30]. Margen bruto 51,6 % y operativo 8,3 % (5,6 % en 2024) [24]. Recupera cuota con calzado de estilo de vida; menos presente en ropa técnica premium de mujer.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Anta Sports (Anta, FILA China, Descente, Kolon)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80.220 M RMB en 2025 convertidos a 0,1428 USD/RMB (BCE, 31-dic-2025) [25, 30]. FILA China facturó 28.470 M RMB con un margen operativo del 26,1 % [25]. Es el rival premium local de lululemon en China y el mayor accionista de Amer Sports.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(Arc'teryx, Salomon, Wilson)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NIIF; resultado operativo 701,8 M USD [21]. Su segmento de ropa técnica (sobre todo Arc'teryx) facturó 2.856 M USD (+30 %) con un resultado ajustado del 21,6 % [21]. Gran China +43,4 % [21]: compite con lululemon por el cliente premium urbano en Asia.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3.014 M CHF en 2025 (+30 %) convertidos a 1,2615 USD/CHF (BCE, 31-dic-2025) [22, 30]. Margen bruto 62,8 %, el más alto de la tabla [22]. Rival en calzado de running, la categoría que lululemon intenta abrir desde 2022.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Alo Yoga (Color Image Apparel)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Ingresos: **estimación** de Forbes (abril de 2025) de cerca de 2.000 M USD para el grupo matriz, que incluía Bella+Canvas (vendida en 2026); las ventas de Alo se habrían doblado en dos años [29]. Más de 150 tiendas [29]. Competidor más directo en yoga y athleisure de mujer.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Vuori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Ingresos: **estimación** de analistas de ≈1.000 M USD (diciembre de 2024), con crecimiento del 23 % en 2024 y valoración de 5.500 M USD [28]. Fuerte en ropa de hombre, el segmento que lululemon quiere hacer crecer [1,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Athleta (Gap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a 31-ene-2026: ingresos −10 % y comparables −9 % [20]. Gap no publica el resultado de la marca (el grupo tuvo un margen operativo del 7,3 %) [20]. Ejemplo de marca de mujer de precio medio que pierde frente a Alo y Vuori.</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comunidad (embajadores, clases en tienda, eventos) [1], pero el valor del producto no aumenta con el número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marca no cuesta nada: el porcentaje de clientes de lululemon que también compra en Vuori pasó del 1,2 % en 2018 al 7,8 % en 2024 [12], y las comparables de Américas cayeron un 12 % en el 2T26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56,6 % en el FY2025 (59,2 % en el FY2024) frente al 42,9 % de Nike [3], 51,6 % de Adidas [8] y 45,5 % de Under Armour [7], a la par de Amer (57,6 %) [5] y Deckers (57,7 %) [15] y por debajo de On (62,8 %) [6]. Margen operativo del 19,9 % frente al 8,3 % de Nike y Adidas [1, 3, 8]. Tejidos propios y patentes de diseño [1]. Pero la marca ya no sostiene el precio en EE. UU.: más rebajas y menor ticket medio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vertical se queda con el margen del minorista (venta directa ≈90 % de los ingresos) [1]. No tiene escala de compra frente a Nike (46.398 M USD) [3] y su logística desde Canadá le hizo más vulnerable al fin de de minimis (≈275 M USD de impacto bruto en el FY2025)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≈433.000 M USD con barreras de entrada bajas [10]: Alo y Vuori llegaron a 1.000-2.000 M USD de ventas en pocos años [12, 13].</w:t>
            </w:r>
          </w:p>
        </w:tc>
      </w:tr>
    </w:tbl>
    <w:p>
      <w:pPr>
        <w:spacing w:after="160" w:before="0"/>
      </w:pPr>
    </w:p>
    <w:p>
      <w:pPr>
        <w:pStyle w:val="Heading2"/>
      </w:pPr>
      <w:r>
        <w:t xml:space="preserve">Amenazas</w:t>
      </w:r>
    </w:p>
    <w:p>
      <w:pPr>
        <w:spacing w:after="100"/>
      </w:pPr>
      <w:r>
        <w:t xml:space="preserve">La amenaza principal es la erosión de la marca en EE. UU., su mercado más rentable (margen bruto de Américas 58,5 % frente a 62,4 % un año antes) [1]: Alo y Vuori le quitan el cliente de mayor poder adquisitivo [28, 29] y la respuesta con rebajas debilita el precio completo, que es la base del margen [1, 5]. Probabilidad alta, porque ya se ve en las comparables (−12 % en el 2T26) [5]. La segunda es China: Anta (FILA, Descente) y Arc'teryx crecen en el mismo cliente premium [21, 25] y las comparables de lululemon allí ya son negativas [5]; probabilidad media. La tercera, los aranceles: cualquier subida que no pueda trasladar a precio va directa al margen bruto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FY2016-FY2025: ingresos </w:t>
      </w:r>
      <w:r>
        <w:rPr>
          <w:b/>
          <w:bCs/>
        </w:rPr>
        <w:t xml:space="preserve">18,9 %</w:t>
      </w:r>
      <w:r>
        <w:t xml:space="preserve">, EBITDA </w:t>
      </w:r>
      <w:r>
        <w:rPr>
          <w:b/>
          <w:bCs/>
        </w:rPr>
        <w:t xml:space="preserve">20,4 %</w:t>
      </w:r>
      <w:r>
        <w:t xml:space="preserve">, BPA </w:t>
      </w:r>
      <w:r>
        <w:rPr>
          <w:b/>
          <w:bCs/>
        </w:rPr>
        <w:t xml:space="preserve">22,0 %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de 2.344 M USD en FY2016 a 11.103 M en FY2025 [1, 4], casi todo de forma orgánica: las dos compras (MIRROR y México) suman menos del 1 % de las ventas. </w:t>
      </w:r>
      <w:r>
        <w:rPr>
          <w:b/>
        </w:rPr>
        <w:t xml:space="preserve">El punto de inflexión es FY2025</w:t>
      </w:r>
      <w:r>
        <w:t xml:space="preserve">: ventas +5 % (+7 % sin la semana 53 de FY2024), con Américas −1 % e internacional +22 % [9]. El margen bruto cayó 260 pb, hasta el 56,6 %: el margen de producto restó 240 pb por aranceles, rebajas y programas de afiliación con tarjetas, y la ocupación y la amortización otros 40 pb [1]. Los gastos generales y de venta subieron 110 pb sobre ventas, así que el margen EBIT bajó 380 pb, hasta el 19,9 % [1]. Los máximos fueron FY2023 (22,2 %) y FY2024 (23,7 %). En 2026 el deterioro se acelera. En el primer semestre, las ventas están planas (4.887 M frente a 4.896 M) y el EBIT cae un 24 %, hasta 730,6 M [7]. La guía del 3-sep-2026 prevé ventas de 10.350-10.500 M (−5 % a −7 %), un margen bruto ~80 pb menor, con +130 pb de las devoluciones, y un margen EBIT ~530 pb menor (~14,6 %), por un desapalancamiento de los gastos generales de ~450 pb [7, 16]. Los aranceles ya pesaron en 2025: la guía de septiembre de 2025 incorporaba ~240 M menos de beneficio bruto y la de diciembre ~210 M menos de EBIT, ambas netas de mitigación [10, 11]. El cierre del año cifró el efecto bruto, sin mitigar, en ~275 M de beneficio bruto (~250 pb de margen; estimación propia), por aranceles más altos desde abril de 2025 y por el fin de la exención de minimis (para todos los países desde el 29-ago-2025) [1]. En 2025 se pagaron 216 M de aranceles IEEPA [1]. Las series trimestrales salen de las notas de prensa [7, 8, 9, 10, 11, 12, 13, 14]. FY2017 y FY2020-FY2023 tienen partidas no recurrentes (ver ajustes).</w:t>
      </w:r>
    </w:p>
    <w:p>
      <w:pPr>
        <w:pStyle w:val="Heading2"/>
      </w:pPr>
      <w:r>
        <w:t xml:space="preserve">Ajustes y partidas no recurrentes</w:t>
      </w:r>
    </w:p>
    <w:p>
      <w:pPr>
        <w:spacing w:after="100"/>
      </w:pPr>
      <w:r>
        <w:t xml:space="preserve">Cifras reportadas en US GAAP. Partidas no recurrentes dentro del EBIT, que el informe devuelve al EBITDA y al EBIT: FY2017, 38,5 M de deterioro y reestructuración [4]; FY2020, 29,8 M de gastos de la compra de MIRROR; FY2021, 41,4 M (retribución a empleados de MIRROR y costes de la operación) [4, 17]; FY2022, 460,6 M (407,9 M de deterioro del fondo de comercio, intangibles y activos de lululemon Studio y 62,9 M de provisión por el inventario de máquinas, menos 10,2 M de plusvalía por la venta de un edificio) [3]; FY2023, 98,2 M (74,5 M de deterioro y reestructuración y 23,7 M de inventario de Studio) [1, 3]. FY2024 tuvo 53 semanas: la semana adicional aportó 163,2 M de ventas [1]. </w:t>
      </w:r>
      <w:r>
        <w:rPr>
          <w:b/>
        </w:rPr>
        <w:t xml:space="preserve">Devoluciones de aranceles IEEPA</w:t>
      </w:r>
      <w:r>
        <w:t xml:space="preserve">: tras la sentencia del Supremo del 20-feb-2026, la empresa cobró en el 2T26 134,5 M (menor coste de ventas) y 4,1 M de intereses (otros ingresos), 0,86 USD de BPA neto de impuestos; pagó 230 M en total y no reconoce activo por el resto [5, 7]. No se repiten: sin ellas, el EBITDA de los últimos 12 meses sería de 2.383,9 M y el BPA de 11,35 USD (estimación propia). Se dejan dentro de la cuenta y del FY2026e del DCF porque son caja cobrada.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(4-jun-2026)</w:t>
      </w:r>
      <w:r>
        <w:t xml:space="preserve">. Ventas +4 % y BPA de 1,69 USD, por encima de la guía de 1,63-1,68 [6, 8, 9]. Aun así, la empresa rebajó la guía anual de BPA de 12,10-12,30 a 10,95-11,15 USD por la debilidad reciente de la demanda [8, 9]. El margen bruto cayó 410 pb: aranceles −280 pb, desapalancamiento de costes fijos −140 pb, rebajas −40 pb, eficiencias +100 pb y divisa +60 pb [18]. Previó 700-720 M de inversión y aperturas cerca del extremo bajo de 40-45 tiendas netas [18].</w:t>
      </w:r>
    </w:p>
    <w:p>
      <w:pPr>
        <w:spacing w:after="100"/>
      </w:pPr>
      <w:r>
        <w:rPr>
          <w:b/>
        </w:rPr>
        <w:t xml:space="preserve">2T26 (3-sep-2026)</w:t>
      </w:r>
      <w:r>
        <w:t xml:space="preserve">. Ventas −4 % y comparables −9 % (Américas −12 %) [7]. Sin las devoluciones IEEPA, el BPA habría sido de unos 2,06 USD, frente a una guía de 1,76-1,81 [7, 8]. Hubo una segunda rebaja de la guía anual, a 9,48-9,73 USD de BPA con 0,86 USD de las devoluciones dentro (estimación propia sin ellas: 8,62-8,87), y a ventas de −5 % a −7 % [7]. Los aranceles restaron 160 pb brutos de margen en el trimestre. La empresa supone un 10-12,5 % de arancel hasta septiembre y un 20 % después, y no cuenta con más devoluciones. Prevé una inversión de 680-700 M, unas 35 tiendas netas y unas recompras en 2026 similares a las de 2025 [16]. </w:t>
      </w:r>
      <w:r>
        <w:rPr>
          <w:b/>
        </w:rPr>
        <w:t xml:space="preserve">Cambio de discurso</w:t>
      </w:r>
      <w:r>
        <w:t xml:space="preserve">: en junio hablaba de «señales positivas» en precio completo; en septiembre, de un problema «sobre todo de tráfico» que se corrige con marketing, y de producto que requiere tiempo [8, 16]. Los analistas (Morgan Stanley, Wells Fargo, JPMorgan, BofA, Evercore, Citi, Barclays, Telsey) insistieron en el cierre de tiendas, la flexibilidad de costes, China y si agosto marca el suelo. La dirección </w:t>
      </w:r>
      <w:r>
        <w:rPr>
          <w:b/>
        </w:rPr>
        <w:t xml:space="preserve">evitó</w:t>
      </w:r>
      <w:r>
        <w:t xml:space="preserve"> dar plazos de ajuste de costes más allá de 2026, decidir sobre la red de tiendas antes de que llegue la nueva consejera delegada (Heidi O'Neill), aclarar si frena las aperturas en China y precisar cuándo recuperará el resto de aranceles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(FY2020: Compra de MIRROR (Curiouser Products), consolidada desde el 7-jul-2020: 452,6 M USD netos de caja, 362,5 M de fondo de comercio [17].; FY2024: Compra del negocio de México a su operador franquiciado, consolidada desde el 10-sep-2024: 154,1 M USD netos de caja; antes eran ventas mayoristas registradas en Canadá [1, 2].; FY2019: el activo total crece un 57 % y los ingresos un 21 %).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sin deuda desde siempre. La caja se ha usado para recomprar acciones: 2.815 M en FY2024-FY2025 y 695 M en el primer semestre de 2026 [1, 5]. Por eso la caja bajó de 2.244 M en FY2023 a 1.390 M en ago-2026 [1, 7]. El circulante se tensó en FY2025: el inventario subió un 18 %, hasta 1.700,8 M (+6 % en unidades), por encima de las ventas (+5 %), y los impuestos a cobrar y anticipados pasaron de 182 M a 352 M (480 M en ago-2026) [1, 7]. En FY2025 se pagaron 1.015,4 M de impuestos frente a un gasto de 659,8 M [1, 4]. En 2026 el inventario se corrige: −7 % en unidades a 2-ago-2026 [7]. El aumento del pasivo por arrendamientos en el primer semestre de 2026 (+342 M) refleja nuevos contratos de arrendamiento (el activo por derecho de uso sube de 1.630 M a 1.947 M) [1,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7.518</w:t>
      </w:r>
      <w:r>
        <w:t xml:space="preserve">, conversión </w:t>
      </w:r>
      <w:r>
        <w:rPr>
          <w:b/>
          <w:bCs/>
        </w:rPr>
        <w:t xml:space="preserve">83 %</w:t>
      </w:r>
      <w:r>
        <w:t xml:space="preserve"> del beneficio neto; adquisiciones 607, dividendos 0, recompras 5.596.</w:t>
      </w:r>
    </w:p>
    <w:p>
      <w:pPr>
        <w:spacing w:after="100"/>
      </w:pPr>
      <w:r>
        <w:t xml:space="preserve">Conversión de caja alta: el FCF acumulado de FY2016-FY2025 suma 7.518 M frente a 9.054 M de beneficio neto (estimación propia), con los alquileres operativos ya restados en el flujo de explotación (US GAAP). Años anómalos: FY2022, cuando el flujo operativo cayó a 966,5 M por la acumulación de inventario (+481 M), y FY2025, cuando bajó a 1.602,5 M (desde 2.272,7 M) por menos beneficio, +189 M de inventario y unos impuestos pagados de 1.015 M (+436 M interanual), una parte de ellos anticipados [1, 4]. El FCF de FY2025 fue de 921,7 M, frente a 1.583,5 M de FY2024 (estimación propia). En el primer semestre de 2026 el flujo operativo se recupera (589,3 M frente a 209,7 M) por la corrección del inventario [7]. Inversión: 680,8 M en FY2025 (6,1 % de las ventas), y una guía de 680-700 M para 2026 [1, 16]. La empresa no separa la inversión de mantenimiento de la de crecimiento. Estimación propia: la amortización de FY2025 (496 M) aproxima la de mantenimiento, y los ~185 M restantes van a tiendas nuevas (44 netas en FY2025) y a centros de distribución.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FY2025); asunto clave de auditoría: provisión de inventario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y conservadoras. No capitaliza I+D ni intereses; la remuneración en acciones es baja y decreciente (62,2 M en FY2025, el 3,9 % del beneficio neto, frente al 6,0 % de FY2023) [1]. El auditor es PwC desde 2006, con opinión favorable; la provisión de inventario es la cuestión clave de auditoría [1]. </w:t>
      </w:r>
      <w:r>
        <w:rPr>
          <w:b/>
        </w:rPr>
        <w:t xml:space="preserve">Indicadores</w:t>
      </w:r>
      <w:r>
        <w:t xml:space="preserve">: Altman Z de 5,04 (zona segura, sin deuda) y Piotroski F de 6 sobre 9, que pierde puntos por el retroceso del ROA, del margen bruto y de la rotación, no por el balance. El Beneish M de −1,92 queda por encima del umbral de alerta habitual (−2,22) por el índice de días de cobro (1,51): los clientes suben de 120 a 191 M en un negocio de venta directa; la cifra es pequeña (1,7 % de las ventas) y no apunta a ventas forzadas al canal; el inventario (+18 % en dólares con ventas +5 %) se corrigió a −7 % en unidades en agosto de 2026, a costa de rebajas [1, 5]. Dos partidas piden vigilancia: los impuestos pagados por encima del gasto (1.015 M frente a 660 M en FY2025; los impuestos a cobrar pasan de 182 a 480 M) y las devoluciones de aranceles, que inflan 560 pb el margen bruto del 2T26 y no se repiten [1, 5, 7]. La compra de MIRROR (≈ 536 M con la retribución a sus empleados) se dio casi entera por perdida en FY2022-FY2023 [3, 17].</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MIRROR / lululemon Studio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2020 por 464,7 M brutos (452,6 M netos de caja) más 71,2 M de retribución a empleados de MIRROR. Se deterioraron 362,5 M de fondo de comercio y 407,9 M en total en FY2022, y 74,5 M más en FY2023 [1, 3, 17]. Es historia, pero mide la disciplina en adquisiciones.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en el coste de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134,5 M en 2T26: +560 pb de margen bruto en el trimestre y +130 pb en el año. No se repiten y la empresa no reconoce activo por el resto (pagó 230 M en total) [5, 7,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pagados muy por encima del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1.015 M pagados frente a 660 M de gasto en FY2025. Los impuestos a cobrar y anticipados pasan de 182 M a 480 M (ago-2026) [1, 4,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por encima de las ventas en 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en dólares y +6 % en unidades, frente a ventas +5 %. Corregido a −7 % en unidades en ago-2026, a costa de rebajas (+40 pb en 2026). La provisión de inventario es el asunto clave de auditoría [1, 7,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del beneficio neto en FY2025, a la baja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de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45,1 M dentro de proveedores al cierre de FY2025; poco relevante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Demandas colectivas por precios ligados a aranceles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Neuman (Michigan, mar-2026) y Alsaady (Washington, jun-2026), de cuantía sin determinar [5].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59,2 % · </w:t>
      </w:r>
      <w:r>
        <w:rPr>
          <w:b/>
          <w:bCs/>
        </w:rPr>
        <w:t xml:space="preserve">WACC</w:t>
      </w:r>
      <w:r>
        <w:t xml:space="preserve">: 11,0 %.</w:t>
      </w:r>
    </w:p>
    <w:p>
      <w:pPr>
        <w:spacing w:after="100"/>
      </w:pPr>
      <w:r>
        <w:t xml:space="preserve">Lululemon crea mucho valor aunque el retorno baja. Con el criterio del informe (capital invertido sin caja ni arrendamientos operativos, porque su gasto ya está en el EBIT), el ROIC fue del 56,8 % en FY2025, frente al 81,6 % de FY2024 y por encima del 48 % todos los años desde FY2016; capitalizando los alquileres (1.798 M de pasivo) baja a ≈ 32 % (estimación de la nota de cuentas [1]), aún tres veces el WACC del 10,96 %. Lo que lo mueve es el margen, no la rotación: la rotación del activo se mantiene en 1,4-1,5 veces y el margen EBIT cae del 23,7 % de FY2024 al 19,9 % de FY2025 y a ≈ 14,6 % en la guía de 2026 [1, 7]. El ROIC incremental de los últimos años (59,2 % según el informe) es engañoso para FY2025: el EBIT bajó 295 M mientras el capital invertido subía ≈ 580 M por tiendas, centros de distribución e inventario [1]. Frente a los competidores sigue arriba: el ROIC de Nike es del 18,9 %, el de adidas del 14,8 % y el de On del 32,3 % [75]. La pregunta del informe no es si la marca crea valor hoy, sino cuánto margen perderá antes de estabilizarse.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1.389,7 M USD a 2-ago-2026 (1.807,2 M a 1-feb-2026), sin deuda financiera, más 593,7 M disponibles del revolving comprometido de 600 M (vence el 15-oct-2030; ampliable a 1.000 M) y una línea no comprometida en China equivalente a 43,1 M [1, 7,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 emitida)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rPr>
          <w:b/>
        </w:rPr>
        <w:t xml:space="preserve">Arrendamientos operativos (US GAAP)</w:t>
      </w:r>
      <w:r>
        <w:t xml:space="preserve">: pasivo de 1.798,4 M a 1-feb-2026 y 2.141,1 M a 2-ago-2026, con plazo medio de 6,6 años y tipo medio del 4,4 % [1, 7]. Pagos mínimos futuros: 2.103,8 M, 370,7 M de ellos en 2026; además hay 278,5 M comprometidos por centros de distribución aún no iniciados [1]. El gasto por arrendamiento operativo de FY2025 fue de 406,0 M y el gasto neto total, con variables y de corto plazo, de 606,2 M [1]. Esto equivale a un </w:t>
      </w:r>
      <w:r>
        <w:rPr>
          <w:b/>
        </w:rPr>
        <w:t xml:space="preserve">15,0 %</w:t>
      </w:r>
      <w:r>
        <w:t xml:space="preserve"> y un </w:t>
      </w:r>
      <w:r>
        <w:rPr>
          <w:b/>
        </w:rPr>
        <w:t xml:space="preserve">22,4 %</w:t>
      </w:r>
      <w:r>
        <w:t xml:space="preserve"> del EBITDA de FY2025 (2.706,8 M), respectivamente (estimación propia). No hay arrendamientos financieros, así que los operativos no entran en la deuda del puente: su gasto ya está en el EBITDA. El revolving tiene covenants de apalancamiento y de cobertura de cargas fijas, que se cumplían [1, 15]. Hay confirming voluntario de proveedores por 45,1 M dentro de proveedores [1]. Pasivo por tarjetas regalo: 316,6 M [1]. Hay demandas colectivas de consumidores por los precios ligados a aranceles, de cuantía sin determinar [5].</w:t>
      </w:r>
    </w:p>
    <w:p>
      <w:pPr>
        <w:pStyle w:val="Heading1"/>
      </w:pPr>
      <w:r>
        <w:t xml:space="preserve">12. Asignación de capital</w:t>
      </w:r>
    </w:p>
    <w:p>
      <w:pPr>
        <w:pStyle w:val="Confianza"/>
        <w:spacing w:after="100"/>
      </w:pPr>
      <w:r>
        <w:t xml:space="preserve">Confianza: Alta</w:t>
      </w:r>
    </w:p>
    <w:p>
      <w:pPr>
        <w:spacing w:after="100"/>
      </w:pPr>
      <w:r>
        <w:t xml:space="preserve">Lululemon no ha pagado nunca dividendo. Devuelve la caja con recompras: un programa de 4.000 M USD, sin fecha de caducidad, aprobado por tramos de 1.000 M (nov-2023, may-2024, dic-2024 y dic-2025), con 712,5 M disponibles a 2-ago-2026 [1, 5]. Recompró 1.636,9 M en FY2024, 1.178,3 M en FY2025 y 695,1 M en el primer semestre de 2026, a un precio medio de unos 120 USD en 2T26, y otros 118,8 M hasta el 28-ago-2026 [1, 5, 16]. Prevé recomprar en 2026 un importe similar al de 2025 [16]. Sus prioridades declaradas para la caja son tiendas nuevas y reformas, centros de distribución, tecnología y recompras [1]. No tiene deuda y mantiene un revolving de 600 M sin disponer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MIRROR (Curiouser Products), gimnasio en casa con espejo interactivo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los 362,5 M de fondo de comercio y de los intangibles en FY2022 y reestructuración en FY2023 (pasó a ser lululemon Studio y se abandonó el hardware). Además pagó 71,2 M en retribución ligada a la compra [1, 3,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de México (tiendas operadas por un tercero con licencia)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Integrado. México facturó 95,5 M en FY2025, con 147,0 M de fondo de comercio asignado a Américas; la empresa planea 7 aperturas en México en 2026 [1, 16].</w:t>
            </w:r>
          </w:p>
        </w:tc>
      </w:tr>
    </w:tbl>
    <w:p>
      <w:pPr>
        <w:spacing w:after="160" w:before="0"/>
      </w:pPr>
    </w:p>
    <w:p>
      <w:pPr>
        <w:spacing w:after="100"/>
      </w:pPr>
      <w:r>
        <w:t xml:space="preserve">En FY2016-FY2025 Lululemon generó unos 7.518 M de FCF y destinó 5.595 M a recompras, 607 M a adquisiciones y 0 a dividendos (estimación propia sobre el estado de flujos) [1, 4]. Las acciones diluidas medias bajaron de 137,3 M a 119,1 M, un −13 % [4]. A 28-ago-2026 había 105,6 M de acciones ordinarias más 5,1 M de acciones canjeables de Lulu Canadian Holding, 110,7 M en total. Las canjeables cuentan en el BPA y deben sumarse a las acciones del puente [5]. Veredicto: buena asignadora mientras el negocio crecía, con capex disciplinado y sin deuda, pero con un error caro (MIRROR, unos 536 M entre precio y retribución, casi todo perdido). Además, la cadencia de recompras se mantuvo en 2025-2026 a precios que el mercado ha revisado mucho a la baja: el precio medio cayó de 168-199 USD en 4T25 a 117-126 USD en 2T26 [1,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Heidi O'Neill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8-sep-2026 tras 27 años en Nike: President, Consumer, Product &amp; Brand (2023-2025), President, Consumer &amp; Marketplace (2020-2023), President, Nike Direct y responsable de la ropa de Nike en Norteamérica [34, 42]. Sin acciones propias; el 9-sep-2026 recibió 28.079 RSU y 145.518 opciones a 99,72 USD [66]. Sin historial medible aún en lululemon.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Meghan Frank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 codirectora general interina del 31-ene al 8-sep-2026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noviembre de 2020 (cocfo interina desde abril de 2020); entró en 2016 como SVP de planificación financiera; antes, casi diez años en Ross Stores y J. Crew [51]. Codirigió la empresa siete meses en interinidad [34,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Maestrini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comercial (President &amp; CCO); codirector general interino del 31-ene al 8-sep-2026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Internacional desde enero de 2021 (APAC, EMEA y China continental); 14 años antes en adidas. President &amp; CCO desde el 21-nov-2025, cuando sustituyó a Celeste Burgoyne al frente de Américas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 Morfitt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del consejo (ejecutiva del 11-dic-2025 al 8-sep-2026)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2008 y presidenta desde marzo de 2022; presidenta ejecutiva desde el 11-dic-2025 hasta la llegada de la nueva CEO; la web corporativa la presenta ya como «Non-Executive Chair». Dirigió la negociación con el fundador [39, 42, 50, 63].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Nicole (Nikki) Neuburger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Brand &amp; Product Activation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enero de 2020 desde Uber Eats; 14 años antes en Nike (VP global de Nike Running). Desde 2024 lleva también producto, innovación y calzado [51].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5.550-5.650 M USD; BPA diluido de 6,10-6,25 USD (ajustado 6,30-6,45) [59]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6.300 M USD (+42 %); BPA diluido de 7,49 USD (ajustado 7,79) [60]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7.490-7.615 M USD; BPA diluido de 9,15-9,35 USD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8.100 M USD (+30 %); BPA diluido de 6,68 USD por el deterioro de Mirror, ajustado de 10,07 USD [61]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9.300-9.410 M USD; BPA diluido de 11,50-11,72 USD [61]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9.600 M USD (+19 %); BPA diluido de 12,20 USD (ajustado 12,77) [62]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10.700-10.800 M USD (con semana 53); BPA diluido de 14,00-14,20 USD [62]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10.588 M USD (+10 %); BPA diluido de 14,64 USD [9,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11.150-11.300 M USD; BPA diluido de 14,95-15,15 USD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11.103 M USD (+5 %); BPA diluido de 13,26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11.350-11.500 M USD (+2 a +4 %); BPA diluido de 12,10-12,30 USD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rebajada el 3-sep-2026 a 10.350-10.500 M USD (−5 a −7 %) y BPA de 9,48-9,73 USD, que incluye 0,86 USD de reembolsos de aranceles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Power of Three ×2 (2022-2026)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las ventas de 6.250 M USD de 2021 a 12.500 M USD en 2026; duplicar hombre y comercio electrónico y cuadruplicar internacional [61, 62]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vigente de 2026 (10.350-10.500 M USD) queda un 16-17 % por debajo del objetivo; el plan dejó de citarse en la nota de resultados de marzo de 2026 [7,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de la dirección se rompió en 2025: tras batir su guía en 2021-2023, falló el BPA de 2025 en un 12 % y rebajó la de 2026 de crecer un 2-4 % a caer un 5-7 % [7, 9, 13]. El Power of Three ×2 acabará un 16-17 % por debajo de los 12.500 M USD. La cúpula cambió casi entera en diez meses: salieron el CEO Calvin McDonald (31-ene-2026), la presidenta de Américas y el responsable de IA y tecnología [38, 39, 46]. Tras siete meses de codirección interina (Frank y Maestrini), Heidi O'Neill llegó de Nike el 8-sep-2026 con 1,4 M USD de fijo, 10 M USD anuales en acciones y 9 M USD de incorporación [34, 42]. La continuidad está en la CFO, en el cargo desde 2020. La nueva CEO no tiene aún historial propio y el fundador vigila desde el consejo.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Martha (Marti) Morfitt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(ejecutiva del 11-dic-2025 al 8-sep-2026)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Heidi O'Neill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(Chip) Bergh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(clase I); ex-CEO de Levi Strauss [41]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 (CRSG, presidente); Personas, cultura y retribución (PCCC)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Esi Eggleston Bracey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 ex-directora de crecimiento y marketing de Unilever [43]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Teri List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experta financiera); 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Gentile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 propuesta por el fundador; cofundadora y codirectora de Storied Sports [45, 63]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Isabel Mahe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Emily White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PCCC (presidenta); 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Kathryn Henry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Loehnis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 McNeill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(clase III)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 Maurer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(clase III), propuesto por el fundador; ex-codirector general de On [45, 63]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CRSG</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Martha (Marti) Morfitt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FY2025); asunto clave de auditoría: provisión de inventario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1,99 / ventas 3,42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J. «Chip» Wilson (fundador) y sociedades vinculadas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grupo 13D (activista en 2025-2026)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9,97 M de acciones (8,4 %) en octubre de 2025 y 9,57 M (8,6 %) a 1-sep-2026: vendió 2 × 164.146 acciones en julio de 2026 al liquidar un derivado con Citibank y 5.713 el 4-ago-2026; el 1-sep-2026 firmó un derivado a plazo prepagado con Goldman Sachs sobre 1,27 M de acciones pignoradas (1,2 % del capital). El porcentaje sube por las recompras [49, 52, 53,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su 13G/A de enero de 2024 recogido en el proxy de 2026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28-abr-2026 (7,99 M de acciones a 31-mar-2026) tras la reorganización de Vanguard; The Vanguard Group declaró 0 % en su 13G/A de 27-mar-2026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G1 Execution Services (Susquehanna)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Intermediario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6,49 M de acciones según 13G de 13-nov-2025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a 30-sep-2025 (13G/A de 7-oct-2025)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254.943 acciones con opciones ejercitables a 30-abr-2026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balance no muestra autocartera; las acciones recompradas salen de la circulación: 5,0 M en FY2025 (1.200 M USD) y 4,9 M en el 1S26 (695 M USD), más 1,0 M hasta el 28-ago-2026. Acciones con voto: 114,4 M a 30-abr-2026 y 110,7 M a 28-ago-2026 [5, 49, 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 Bergh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Nicole Neuburger (Chief Brand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André Maestrini (President, CCO y codirector general interino)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 Bergh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Meghan Frank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Celeste Burgoyne (President Americas,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 2025 se midió al 50 % por beneficio operativo «modificado» y al 50 % por ventas, y pagó el 35,7 % del objetivo. Los PSU a tres años dependen solo del crecimiento anual del beneficio operativo (umbral 5 %, objetivo 10 %, máximo 15 %), sin ROIC, TSR ni caja [50]. El comité excluyó 287,4 M USD de aranceles, transición y batalla de proxies: los PSU 2023-2025 pagaron el 134,4 % frente al 72,5 % con el beneficio contable [50]. Eso explica el 36,7 % de votos en contra de 2026, frente al 16,3 % de 2025 y el 6,8 % de 2024 [45, 47, 48]. McDonald cobró 24,0 M USD en FY2025 (918 veces el empleado mediano) y salió con indemnización, bonus, 3,05 M USD en efectivo y su capital variable intacto [39, 50]. Hay clawback por reformulación [50].</w:t>
      </w:r>
    </w:p>
    <w:p>
      <w:pPr>
        <w:pStyle w:val="Heading2"/>
      </w:pPr>
      <w:r>
        <w:t xml:space="preserve">Operaciones vinculadas, estructura de control y defensas</w:t>
      </w:r>
    </w:p>
    <w:p>
      <w:pPr>
        <w:spacing w:after="100"/>
      </w:pPr>
      <w:r>
        <w:t xml:space="preserve">No hay accionista de control. El mayor es el fundador Chip Wilson (8,6 %) [49], seguido de BlackRock (8,0 %) y Vanguard (7,2 %) [50, 55]. Hay una sola clase económica: las acciones de voto especial solo dan voto, una a una, a las intercambiables canadienses [1, 49]. La principal defensa era el consejo escalonado, vigente desde 2007: la junta de 2026 aprobó con el 99,3 % la propuesta de Wilson para eliminarlo, y la reforma estatutaria se votará en 2027 para regir desde 2028 [44, 45]. El pacto con Wilson del 26-may-2026 le da dos consejeros, el visto bueno sobre un tercero y la salida de otro consejero en 2027, a cambio de voto comprometido y tregua hasta 2028: influencia, no control [44]. No se declaran operaciones vinculadas [50].</w:t>
      </w:r>
    </w:p>
    <w:p>
      <w:pPr>
        <w:pStyle w:val="Heading2"/>
      </w:pPr>
      <w:r>
        <w:t xml:space="preserve">Señales de alerta</w:t>
      </w:r>
    </w:p>
    <w:p>
      <w:pPr>
        <w:pStyle w:val="ListParagraph"/>
        <w:numPr>
          <w:ilvl w:val="0"/>
          <w:numId w:val="2"/>
        </w:numPr>
        <w:spacing w:after="60"/>
      </w:pPr>
      <w:r>
        <w:t xml:space="preserve">Batalla de proxies con el fundador (dic-2025 a may-2026): Wilson presentó tres candidatos (Gentile, Hirshberg y Maurer) y la propuesta de desclasificar el consejo; se cerró con un pacto el 26-may-2026 [40, 44, 50].</w:t>
      </w:r>
    </w:p>
    <w:p>
      <w:pPr>
        <w:pStyle w:val="ListParagraph"/>
        <w:numPr>
          <w:ilvl w:val="0"/>
          <w:numId w:val="2"/>
        </w:numPr>
        <w:spacing w:after="60"/>
      </w:pPr>
      <w:r>
        <w:t xml:space="preserve">El pacto obligaba a nombrar antes del 1-oct-2026 un tercer consejero independiente con experiencia en producto y marca, aprobado por Wilson; a 7-oct-2026 no consta ningún 8-K con ese nombramiento [34, 44].</w:t>
      </w:r>
    </w:p>
    <w:p>
      <w:pPr>
        <w:pStyle w:val="ListParagraph"/>
        <w:numPr>
          <w:ilvl w:val="0"/>
          <w:numId w:val="2"/>
        </w:numPr>
        <w:spacing w:after="60"/>
      </w:pPr>
      <w:r>
        <w:t xml:space="preserve">Sin consejero coordinador desde que David Mussafer dejó el consejo en la junta de junio de 2026; la presidenta Morfitt dejó de ser independiente al pasar a ejecutiva en dic-2025 y la web no nombra ningún consejero coordinador [50, 63, 64].</w:t>
      </w:r>
    </w:p>
    <w:p>
      <w:pPr>
        <w:pStyle w:val="ListParagraph"/>
        <w:numPr>
          <w:ilvl w:val="0"/>
          <w:numId w:val="2"/>
        </w:numPr>
        <w:spacing w:after="60"/>
      </w:pPr>
      <w:r>
        <w:t xml:space="preserve">El voto consultivo de remuneración cayó al 63,1 % a favor (36,7 % en contra) en 2026, tras ajustar los incentivos con exclusiones de 287,4 M USD [45, 50].</w:t>
      </w:r>
    </w:p>
    <w:p>
      <w:pPr>
        <w:pStyle w:val="ListParagraph"/>
        <w:numPr>
          <w:ilvl w:val="0"/>
          <w:numId w:val="2"/>
        </w:numPr>
        <w:spacing w:after="60"/>
      </w:pPr>
      <w:r>
        <w:t xml:space="preserve">Demanda colectiva de accionistas (Patel, SDNY, por declaraciones de dic-2023 a jul-2024): el juez rechazó en parte la moción de desestimación el 31-mar-2026; las demandas derivadas consolidadas están suspendidas hasta que se resuelva [5].</w:t>
      </w:r>
    </w:p>
    <w:p>
      <w:pPr>
        <w:pStyle w:val="ListParagraph"/>
        <w:numPr>
          <w:ilvl w:val="0"/>
          <w:numId w:val="2"/>
        </w:numPr>
        <w:spacing w:after="60"/>
      </w:pPr>
      <w:r>
        <w:t xml:space="preserve">Dos demandas colectivas de consumidores (mar-2026 y jun-2026) por precios ligados a aranceles y sus reembolsos [5].</w:t>
      </w:r>
    </w:p>
    <w:p>
      <w:pPr>
        <w:pStyle w:val="ListParagraph"/>
        <w:numPr>
          <w:ilvl w:val="0"/>
          <w:numId w:val="2"/>
        </w:numPr>
        <w:spacing w:after="60"/>
      </w:pPr>
      <w:r>
        <w:t xml:space="preserve">Rotación de la alta dirección: salen la presidenta de Américas (dic-2025), el CEO (ene-2026) y el responsable de IA y tecnología (ago-2026) [38, 39, 46].</w:t>
      </w:r>
    </w:p>
    <w:p>
      <w:pPr>
        <w:pStyle w:val="ListParagraph"/>
        <w:numPr>
          <w:ilvl w:val="0"/>
          <w:numId w:val="2"/>
        </w:numPr>
        <w:spacing w:after="60"/>
      </w:pPr>
      <w:r>
        <w:t xml:space="preserve">El fundador asesora a competidores (Alo y Vuori, según el proxy) y en abril de 2026 creó una estructura para invertir en marcas de ropa técnica; tiene el 13,3 % de sus acciones pignorado en un derivado con Goldman Sachs [49, 50].</w:t>
      </w:r>
    </w:p>
    <w:p>
      <w:pPr>
        <w:pStyle w:val="ListParagraph"/>
        <w:numPr>
          <w:ilvl w:val="0"/>
          <w:numId w:val="2"/>
        </w:numPr>
        <w:spacing w:after="60"/>
      </w:pPr>
      <w:r>
        <w:t xml:space="preserve">Elliott Management acumuló más de 1.000 M USD en acciones en diciembre de 2025 y apoyaba a Jane Nielsen (ex-Ralph Lauren) como CEO, según Reuters; no ha presentado 13D ni 13G y no consta su posición actual [65].</w:t>
      </w:r>
    </w:p>
    <w:p>
      <w:pPr>
        <w:pStyle w:val="ListParagraph"/>
        <w:numPr>
          <w:ilvl w:val="0"/>
          <w:numId w:val="2"/>
        </w:numPr>
        <w:spacing w:after="60"/>
      </w:pPr>
      <w:r>
        <w:t xml:space="preserve">Sin rotación del auditor (PwC desde 2006) ni de la CFO (desde 2020) [1, 51].</w:t>
      </w:r>
    </w:p>
    <w:p>
      <w:pPr>
        <w:pStyle w:val="ListParagraph"/>
        <w:numPr>
          <w:ilvl w:val="0"/>
          <w:numId w:val="2"/>
        </w:numPr>
        <w:spacing w:after="60"/>
      </w:pPr>
      <w:r>
        <w:t xml:space="preserve">Operaciones de directivos en 12 meses: compras en mercado de 1,99 M USD (Bergh 1,50 M y Maestrini 0,49 M, en marzo-junio de 2026) y ventas de 3,42 M USD (sobre todo la presidenta saliente de Américas, 2,76 M USD); ninguna con plan 10b5-1 [58].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ha rebajado dos veces en seis meses. El 17-mar-2026 la empresa esperaba ventas de 11.350-11.500 M USD (+2 % a +4 %) y un BPA de 12,10-12,30 USD [9]. El 4-jun la bajó a 11.000-11.150 M (−1 % a 0 %) y 10,95-11,15 USD, sin contar devoluciones de aranceles IEEPA ni recompras [8]. El 3-sep la recortó otra vez a 10.350-10.500 M (−5 % a −7 %) y 9,48-9,73 USD, cifra que incluye 0,86 USD por acción de devoluciones de aranceles e intereses cobrados en el 2T26; sin ellos, 8,62-8,87 USD [7]. Para el 3T26 espera ventas de 2.290-2.320 M (−10 % a −11 %) y un BPA de 0,93-0,98 USD, con un tipo impositivo del 30 % [7]. La empresa no publica objetivos a medio plazo vigentes.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(columna «2027», ejercicio que cierra en enero de 2027) [71]; Stock Analysis: ventas 10.500 M, BPA medio 9,40 USD (8,64-10,46) [72]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(columna «2028»)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(columna «2029») [71]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 29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 – 255,00</w:t>
            </w:r>
          </w:p>
        </w:tc>
      </w:tr>
    </w:tbl>
    <w:p>
      <w:pPr>
        <w:spacing w:after="160" w:before="0"/>
      </w:pPr>
    </w:p>
    <w:p>
      <w:pPr>
        <w:pStyle w:val="Heading2"/>
      </w:pPr>
      <w:r>
        <w:t xml:space="preserve">Revisiones de estimaciones</w:t>
      </w:r>
    </w:p>
    <w:p>
      <w:pPr>
        <w:spacing w:after="100"/>
      </w:pPr>
      <w:r>
        <w:t xml:space="preserve">No hay un histórico gratuito y legible de las revisiones del consenso (MarketScreener lo da solo en gráfico). La mejor aproximación es la guía, a la que el consenso se ha pegado: el BPA de 2026 ha pasado de 12,20 USD (punto medio, marzo) a 11,05 (junio, −9 %) y a 9,61 (septiembre, −21 % frente a marzo; −28 % sin las devoluciones de aranceles) [7, 8, 9]; las ventas, de 11.425 a 10.425 M (−9 %). El consenso actual de 2026 (9,63 USD [71]) queda dentro de la guía y la incluye. El de 2027 (8,64 USD) cae un 10 % más porque pierde esa partida y sigue sin crecimiento de ventas. Tras el 3-sep, JPMorgan bajó su precio objetivo de 154 a 95 USD, Morgan Stanley de 93 a 83, Piper Sandler de 110 a 80 y BNP Paribas de 88 a 44 [71]. Solo MarketScreener da estimaciones completas a tres años; Stock Analysis contrasta 2026 y las recomendaciones [72].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w:t>
            </w:r>
          </w:p>
        </w:tc>
      </w:tr>
    </w:tbl>
    <w:p>
      <w:pPr>
        <w:spacing w:after="160" w:before="0"/>
      </w:pPr>
    </w:p>
    <w:p>
      <w:pPr>
        <w:spacing w:after="100"/>
      </w:pPr>
      <w:r>
        <w:t xml:space="preserve">Lululemon cerró el 6-oct-2026 en 93,61 USD, un 55 % por debajo del inicio del año, mientras el S&amp;P 500 sube un 15,1 % y el consumo discrecional (XLY) cae un 5,9 % [67]. La caída desde el máximo de diciembre de 2023 llega al 81,8 %. Tres días explican buena parte del año: el 4-sep (−17,4 %), tras el segundo recorte de la guía en los resultados del 2T26 [7]; el 23-abr (−13,3 %), cuando el nombramiento de Heidi O'Neill, sin experiencia previa como primera ejecutiva, decepcionó al mercado [73]; y el 5-jun (−8,6 %), con el primer recorte de la guía en el 1T26 [8]. La posición corta es alta, el 12,45 % de las acciones (13,8 M de títulos) [68], y la volatilidad diaria anualizada del 46 % casi triplica la del índice.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Lululemon cotiza a 3,6x el EBITDA y 7,7x el beneficio de los últimos 12 meses, un 83 % y un 81 % por debajo de su media de diez años (20,9x y 41,1x) y por debajo del mínimo de la serie (7,7x y 13,2x al cierre de cada ejercicio). El beneficio no se ha hundido: el BPA de FY2025 (13,26 USD) supera al de FY2023 (12,20) [4]. Lo que ha cambiado es el crecimiento: de un 18,9 % anual en diez años a una caída del 5-7 % en 2026 [7], y con él el múltiplo que el mercado paga, de marca de crecimiento a negocio en declive. Parte del descuento es justa (los múltiplos de 2019-2021, de 30-40x, eran de crecimiento al 20-40 %), pero el actual está por debajo de cualquier marca deportiva con beneficio, Deckers incluida (6,5x [74]). Ningún año se excluye.</w:t>
      </w:r>
    </w:p>
    <w:p>
      <w:pPr>
        <w:pStyle w:val="Heading1"/>
      </w:pPr>
      <w:r>
        <w:t xml:space="preserve">18. Comparables cotizados</w:t>
      </w:r>
    </w:p>
    <w:p>
      <w:pPr>
        <w:pStyle w:val="Confianza"/>
        <w:spacing w:after="100"/>
      </w:pPr>
      <w:r>
        <w:t xml:space="preserve">Confianza: Media</w:t>
      </w:r>
    </w:p>
    <w:p>
      <w:pPr>
        <w:spacing w:after="100"/>
      </w:pPr>
      <w:r>
        <w:t xml:space="preserve">Marcas de ropa y calzado deportivo con canal propio relevante y cotización líquida: las dos grandes globales (Nike, adidas), las dos marcas premium de crecimiento (Amer Sports con Arc'teryx y Salomon, On), Deckers (Hoka y UGG, también con ejercicio no natural) y dos marcas norteamericanas maduras (Under Armour, Columbia). Fuera Puma: su EBIT de 2025 y 2026 es negativo según el consenso y su EV/EBITDA de los últimos 12 meses no significa nada. Sin Anta ni Birkenstock por falta de un consenso gratuito comparable del mismo proveedor.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Under Armour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Columbia Sportswear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 / 9,5x / 10,6x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 / 11,6x / 12,4x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18,3x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 1,2x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10,4 + -0,14 × crecimiento; R² = 0,13. El crecimiento explica poco los múltiplos de estos comparables (R² &lt; 0,3): la regresión no se usa en la valoración.</w:t>
      </w:r>
    </w:p>
    <w:p>
      <w:pPr>
        <w:spacing w:after="100"/>
      </w:pPr>
      <w:r>
        <w:t xml:space="preserve">Con el cierre del 6-oct-2026, Lululemon cotiza a unas 4,7 veces el EBITDA de los próximos 12 meses del consenso y a unas 10 veces su BPA (estimación propia con el puente de este informe y el consenso de MarketScreener [5, 71]), frente a medianas de 9,5x y 18,3x de los siete comparables [71, 74, 75]. Es el descuento de una empresa cuyas ventas caen (−5 % a −7 % en 2026 según la guía [7]) y cuyo BPA se ha recortado un 21 % en seis meses, no el de una marca barata que crece: los dos comparables con caída de ventas (Nike, Under Armour) cotizan caros solo porque su EBITDA está hundido (márgenes del 7,7 % y 4,4 %). El grupo que más se parece a Lululemon por margen y caja neta es Deckers (24,5 % de margen, 6,5x NTM, PER 10,3x) y Columbia (5,8x): ahí está hoy el suelo del sector. On y Amer Sports (9,5-10x, crecimientos del 17-18 %) marcan lo que el mercado paga por una marca premium que todavía crece. adidas, On y Amer Sports publican en NIIF: su EBITDA excluye los alquileres y su deuda neta en MarketScreener puede incluir arrendamientos, lo que no es exactamente comparable con el EBITDA en US GAAP de Lululemon, Nike, Deckers, Under Armour y Columbia.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Hanesbrands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Gildan Activewear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acciones ≈ 2.200 M USD y valor empresa ≈ 4.400 M USD (6,00 USD por acción en acciones y caja); 8,9 veces el EBITDA ajustado de los últimos 12 meses, 6,3 veces con 200 M de sinergias; prima del 24 % sobre el cierre del 11-ago-2025 [76]. Ropa interior y básicos: negocio maduro y apalancado.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Skechers USA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3G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63,00 USD por acción en efectivo, prima del 30 % sobre la media ponderada de 15 sesiones [77]. El valor empresa y los múltiplos son estimación propia: 63 USD × 151,5 M acciones diluidas del 1T25 + deuda de 584 M − caja e inversiones a corto de 1.101 M + minoritarios de 475 M, a 31-mar-2025, sobre ventas (8.969 M) y EBIT + amortizaciones (1.116 M) de 2024 [78]. Calzado con marca propia y venta mayorista y directa: el comparable de control más próximo.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Foot Locker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DICK'S Sporting Goods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acciones ≈ 2.400 M USD y valor empresa ≈ 2.500 M USD; 24,00 USD en efectivo o 0,1168 acciones de DICK'S por acción [79]. Distribuidor multimarca, no marca: la nota no publica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VF Corporation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base de 2.100 M USD más hasta 300 M ligados a objetivos, sujeto a ajustes de caja y deuda [80]. El múltiplo de ventas (4,2x) es estimación propia sobre los «al menos 500 M USD» de ventas que VF esperaba en su ejercicio 2022, no sobre ventas pasadas; excluida por ser una marca de nicho en pleno auge y porque VF la vendió con pérdida cuatro años después.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Supreme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1.500 M USD en efectivo [81], un 29 % menos que el precio base que pagó VF en 2020: la referencia de lo que cuesta una marca de moda deportiva cuando deja de crecer. Sin múltiplo publicado.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dos compras de control de marcas comparables con múltiplo publicado o calculable se pagaron a 8,5-8,9 veces el EBITDA (Skechers por 3G Capital, Hanesbrands por Gildan [76, 77, 78]), casi el doble de las ~4,7 veces del EBITDA de los próximos 12 meses al que cotiza hoy Lululemon. Con caja neta, sin deuda [5] y un flotante del 92 % [68], la empresa es comprable por tamaño (unos 10.400 M USD de capitalización) para un fondo o un grupo de marcas, y el caso de Supreme (vendida en 2024 un 29 % por debajo de lo que pagó VF en 2020 [80, 81]) recuerda que el comprador paga por el crecimiento que queda, no por el pasado. Ninguna de estas operaciones incluye una marca con un margen EBITDA cercano al 20 %: el múltiplo de control sirve de suelo orientativo, no de precio.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se fija en el −6,0 % (punto medio de la guía del 3-sep-2026: 10.350-10.500 M [7]) y no se mueve con los escenarios: ya hay dos trimestres publicados y la guía del 3T26 (−10 % a −11 %) deja el año casi cerrado. FY2027e cae otro −1,0 %, en línea con el consenso (10.341 M, −1,2 % [71]): Américas, el 70,7 % de las ventas, va a comparables del −12 % y no hay señal de suelo [7]. Después, recuperación lenta al 2,5-4 % anual hasta FY2032e y convergencia al 3 % terminal en FY2035e. Es menos de la mitad del ritmo del mercado de ropa deportiva (5,0 % anual en 2019-2024 y 6,1 % previsto en 2024-2029 [26]) y muy por debajo del 18,9 % anual de FY2016-FY2025: suponemos que la marca deja de perder cuota en EE. UU., no que la recupere, y que China y el resto del mundo (29 % de las ventas, con comparables ya negativos en el 2T26 [7]) crecen en un dígito medio.</w:t>
      </w:r>
    </w:p>
    <w:p>
      <w:pPr>
        <w:keepNext/>
        <w:spacing w:after="100"/>
      </w:pPr>
      <w:r>
        <w:rPr>
          <w:b/>
          <w:bCs/>
        </w:rPr>
        <w:t xml:space="preserve">Márgenes.</w:t>
      </w:r>
    </w:p>
    <w:p>
      <w:pPr>
        <w:spacing w:after="100"/>
      </w:pPr>
      <w:r>
        <w:t xml:space="preserve">El margen EBITDA pasa del 24,4 % de FY2025 al 19,5 % en FY2026e (consenso 19,5 % [71]; incluye 1,3 puntos de devoluciones de aranceles), toca suelo en el 18,0 % en FY2027e (consenso 17,9 %) y se recupera hasta el 20 % en FY2031e. La guía de 2026 descuenta ≈ 450 pb de desapalancamiento de los gastos generales y unos 160-280 pb de aranceles en el margen bruto [7, 16, 18]. El 20 % de llegada está 4,4 puntos por debajo de FY2025 y 6-8 puntos por debajo de FY2018-FY2024 (25,2-27,9 %): no suponemos que se recupere el margen perdido, solo que deje de caer cuando las ventas se estabilicen. Sigue por encima de Nike (7,7 %) y adidas (12,9 %) y por debajo de Deckers (24,5 %) [74], con un margen bruto del 56,6 % que la competencia no tiene (Nike 42,9 % [19]).</w:t>
      </w:r>
    </w:p>
    <w:p>
      <w:pPr>
        <w:keepNext/>
        <w:spacing w:after="100"/>
      </w:pPr>
      <w:r>
        <w:rPr>
          <w:b/>
          <w:bCs/>
        </w:rPr>
        <w:t xml:space="preserve">Inversión y circulante.</w:t>
      </w:r>
    </w:p>
    <w:p>
      <w:pPr>
        <w:spacing w:after="100"/>
      </w:pPr>
      <w:r>
        <w:t xml:space="preserve">Capex del 6,6 % de las ventas en FY2026e (guía de 680-700 M [16]) que baja al 5,0 % en FY2035e con menos aperturas (≈ 35 netas en 2026 frente a 44 en FY2025 [7]); la media de FY2016-FY2025 es del 6,5 %. La amortización va del 5,2 % al 4,8 %, por debajo del capex en todos los años. El circulante comercial pasa del 14,0 % de las ventas al 12,5 %, la mediana de FY2016-FY2025 (≈ 12,2 %), tras la corrección del inventario (−7 % en unidades en agosto de 2026 [7]). Tipo impositivo del 30 %, el de la guía y el efectivo de FY2025 (29,5 % [1]). US GAAP: los alquileres están dentro del EBITDA, así que el capex no lleva altas de derechos de uso ni la deuda los pasivos por arrendamiento.</w:t>
      </w:r>
    </w:p>
    <w:p>
      <w:pPr>
        <w:keepNext/>
        <w:spacing w:after="100"/>
      </w:pPr>
      <w:r>
        <w:rPr>
          <w:b/>
          <w:bCs/>
        </w:rPr>
        <w:t xml:space="preserve">Coste del capital.</w:t>
      </w:r>
    </w:p>
    <w:p>
      <w:pPr>
        <w:spacing w:after="100"/>
      </w:pPr>
      <w:r>
        <w:t xml:space="preserve">Coste de capital del 10,96 %, sin deuda. Tasa libre del 5,31 % (bono del Tesoro a 10 años, 5-oct-2026 [69]). Prima de mercado del 5,0 %. Beta de 1,13: la ajustada (Blume) semanal de 5 años frente al S&amp;P 500 [67]. Comparamos tres índices: frente al S&amp;P 500, 0,85 mensual, 1,19 semanal y 1,10 semanal de 2 años; frente al consumo discrecional (XLY), 0,84, 0,99 y 1,14; frente al Nasdaq 100, 0,55-0,83, que no sirve porque es un índice tecnológico [67]. Elegimos el S&amp;P 500 porque es el índice de referencia del inversor y la semanal porque la mensual se apoya en 60 observaciones de un periodo en que la caída fue sobre todo propia de la empresa (volatilidad del 46 %); la del XLY a 2 años (1,14) confirma el orden de magnitud. Sin prima adicional: no hay riesgo país ni de tamaño (10.365 M de capitalización).</w:t>
      </w:r>
    </w:p>
    <w:p>
      <w:pPr>
        <w:keepNext/>
        <w:spacing w:after="100"/>
      </w:pPr>
      <w:r>
        <w:rPr>
          <w:b/>
          <w:bCs/>
        </w:rPr>
        <w:t xml:space="preserve">Valor terminal.</w:t>
      </w:r>
    </w:p>
    <w:p>
      <w:pPr>
        <w:spacing w:after="100"/>
      </w:pPr>
      <w:r>
        <w:t xml:space="preserve">Gordon con un crecimiento del 3,0 %, por debajo del crecimiento nominal de la economía de EE. UU. y de la tasa libre menos medio punto (4,81 %), y la mitad del crecimiento previsto del mercado (6,1 % [26]): coherente con una marca que deja de perder cuota pero no lidera. El valor terminal pesa el 51 % del valor. El múltiplo implícito del terminal es de 6,5 veces el EBITDA, por debajo de la mediana de los comparables de los próximos 12 meses (9,5x [74]) y de las compras de Skechers y Hanesbrands (8,5-8,9x [76, 77]).</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(hoy: 2,6 %)</w:t>
            </w:r>
          </w:p>
        </w:tc>
      </w:tr>
    </w:tbl>
    <w:p>
      <w:pPr>
        <w:spacing w:after="160" w:before="0"/>
      </w:pPr>
    </w:p>
    <w:p>
      <w:pPr>
        <w:spacing w:after="100"/>
      </w:pPr>
      <w:r>
        <w:t xml:space="preserve">La proyección apenas necesita inversión neta de la amortización (reinversión acumulada de 610 M, el 5 % del NOPAT, con un capex bruto medio del 5,4 % de las ventas). En un negocio de activos ligeros, el crecimiento medio del 2,1 % tiene que salir de subir precios y de ganar volumen sin capital nuevo, y la prueba es el poder de precios y la cuota (1,9 % del mercado en FY2035e, frente al 2,6 %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−5 % a −7 % [7]. Américas cae por menos tráfico, menor conversión y menor ticket (comparables del −12 % en el 2T26) y la empresa prevé 40 pb más de rebajas [7, 16]; las ≈ 35 aperturas netas compensan en parte. La divisa suma ≈ 1 punto (comparables del 2T26: −9 %, −10 % a tipo constante) [7].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−1,2 % [71]. Américas sigue en negativo en volumen y las aperturas fuera de Norteamérica (25 de las 35 de 2026 [16]) no lo compensan del todo; el precio se recupera algo con menos rebajas y el plan de vender más a precio completo [7].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Suelo en Américas y crecimiento internacional con tiendas nuevas; precio en línea con la inflación, sin recuperar el poder de precios de FY2018-FY2024 [1]. Estimación propia, por debajo del 6,1 % previsto para el mercado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Mismas palancas: aperturas fuera de Norteamérica y comercio electrónico (44,3 % de las ventas, +8 % en FY2025 [1]); precio algo por debajo de la inflación de EE. UU. Estimación propia.</w:t>
            </w:r>
          </w:p>
        </w:tc>
      </w:tr>
    </w:tbl>
    <w:p>
      <w:pPr>
        <w:spacing w:after="160" w:before="0"/>
      </w:pPr>
    </w:p>
    <w:p>
      <w:pPr>
        <w:spacing w:after="100"/>
      </w:pPr>
      <w:r>
        <w:t xml:space="preserve">En parte. La calidad financiera sobra: ROIC del 56,8 %, margen bruto del 56,6 % frente al 42,9 % de Nike y poca inversión neta [1, 19]. Lo que no está demostrado es el poder de precios: en FY2025 subió precios y no cubrió los aranceles, y en 2026 vende con más rebajas y menos tráfico en Américas (−12 % en el 2T26) [1, 7]. Por eso el caso base no le pide recuperar cuota: crece un 2,5-4 % desde FY2028e, por debajo del mercado (5-6 % [26]), su cuota mundial baja del 2,6 % al ≈ 1,9 % y el precio solo sigue a la inflación. La duda es cuándo para la caída, no si puede financiar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 (WACC: 11,0 %)</w:t>
            </w:r>
          </w:p>
        </w:tc>
      </w:tr>
    </w:tbl>
    <w:p>
      <w:pPr>
        <w:spacing w:after="160" w:before="0"/>
      </w:pPr>
    </w:p>
    <w:p>
      <w:pPr>
        <w:spacing w:after="100"/>
      </w:pPr>
      <w:r>
        <w:t xml:space="preserve">El DCF da </w:t>
      </w:r>
      <w:r>
        <w:rPr>
          <w:b/>
        </w:rPr>
        <w:t xml:space="preserve">131,55 USD por acción</w:t>
      </w:r>
      <w:r>
        <w:t xml:space="preserve">, un 40,5 % por encima del precio (93,61), con un valor terminal del 51 % y 1.271 M de caja neta ajustada (11,48 USD por acción). La sensibilidad a WACC y crecimiento terminal (±0,5 puntos) va de 121,18 a 144,78 USD: el precio queda fuera por abajo. </w:t>
      </w:r>
      <w:r>
        <w:rPr>
          <w:b/>
        </w:rPr>
        <w:t xml:space="preserve">El DCF inverso dice que el precio descuenta que las ventas caigan un 4,3 % al año de FY2027e a FY2035e con nuestro margen, o que el margen EBITDA se quede en el 15,5 % para siempre con nuestro crecimiento, o una rentabilidad del 14,7 %</w:t>
      </w:r>
      <w:r>
        <w:t xml:space="preserve"> frente a nuestro WACC del 10,96 %. Es una hipótesis de declive: un margen EBITDA del 15,5 % es 9 puntos menos que en FY2025 y 3,5 menos que el suelo que espera el consenso en FY2027 (17,9 % [71]), y diez años de ventas a la baja serían el camino de Under Armour, no el de una marca que aún gana dinero con un margen bruto del 56,6 %. Nuestro caso base coincide con el consenso hasta FY2028e (diferencias de menos del 2,2 % en ventas y EBITDA); la discrepancia con el mercado está en lo que viene después: nosotros suponemos que la caída de Américas toca suelo en 2027 y el mercado, que no.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sigue el camino de Under Armour: Alo, Vuori y las marcas de Nike se quedan con el cliente de precio completo en EE. UU., las rebajas se vuelven permanentes y China se suma a la caída. Ventas −7 % en FY2027e y +0,5-2 % después; margen EBITDA cinco puntos más bajo para siempre (13 % en FY2027e y 15 % al final, el de adidas o algo más) y WACC medio punto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suelo en FY2027e (−1 %) con la nueva consejera delegada corrigiendo producto y marketing; recuperación al 2,5-4 % con China y el resto del mundo y Américas estabilizada. El margen EBITDA toca fondo en el 18 % en FY2027e (el consenso) y vuelve al 20 % en FY2031e, lejos aún del 24-28 % de FY2018-FY2025.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Heidi O'Neill reactiva el producto como hizo Lululemon tras la crisis de 2013, Américas vuelve a comparables positivos en 2027 y el crecimiento internacional se reanuda. Crecimiento dos puntos mayor cada año (4,5-6 %), margen 2,5 puntos más alto (22,5 %, aún por debajo de FY2018-FY2025) y WACC 0,3 puntos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9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123,94 USD (+32,4 %).</w:t>
      </w:r>
    </w:p>
    <w:p>
      <w:pPr>
        <w:spacing w:after="100"/>
      </w:pPr>
      <w:r>
        <w:t xml:space="preserve">La asimetría es muy favorable: el alcista da 178,66 USD (+90,9 %) y el bajista 74,76 (−20,1 %), 4,52 veces más ganancia que pérdida con nuestro WACC, y 9,01 veces con la prima implícita del mercado (alcista 202,54, bajista 81,52). El bajista no es cosmético: cinco puntos menos de margen EBITDA para siempre y un año más de caída de ventas (−7 % en FY2027e) dejan el margen final en el 15 %, el que hoy descuenta el precio según el DCF inverso; aun así se pierde solo una quinta parte, porque la empresa tiene caja neta (1.271 M) y sigue generando flujo libre (1.354 M en los últimos 12 meses [5]). Le damos un 30 % de probabilidad, más que al alcista (20 %), porque Américas y China empeoraron en el 2T26 y la nueva dirección no ha presentado aún su plan. El valor ponderado es de 123,94 USD (+32,4 %).</w:t>
      </w:r>
    </w:p>
    <w:p>
      <w:pPr>
        <w:pStyle w:val="Heading1"/>
      </w:pPr>
      <w:r>
        <w:t xml:space="preserve">22. Suma de partes</w:t>
      </w:r>
    </w:p>
    <w:p>
      <w:pPr>
        <w:pStyle w:val="Confianza"/>
        <w:spacing w:after="100"/>
      </w:pPr>
      <w:r>
        <w:t xml:space="preserve">Confianza: Media</w:t>
      </w:r>
    </w:p>
    <w:p>
      <w:pPr>
        <w:spacing w:after="100"/>
      </w:pPr>
      <w:r>
        <w:t xml:space="preserve">No aplica: Américas, China continental y Resto del mundo venden la misma marca y el mismo producto por los mismos canales; solo cambian el crecimiento y el margen de segmento (Américas 32,6 %, China 40,0 %) [1]. El informe de segmentos no asigna capital ni costes corporativos (1.397 M en FY2025), así que una suma de partes repartiría arbitrariamente la mitad del gasto. La diferencia regional se trata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9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132,71 USD (+41,8 % sobre 93,61).</w:t>
      </w:r>
    </w:p>
    <w:p>
      <w:pPr>
        <w:spacing w:after="100"/>
      </w:pPr>
      <w:r>
        <w:t xml:space="preserve">Pesamos el DCF al 55 % porque Lululemon tiene diez años de flujos, caja neta y una guía detallada para 2026: la tesis se resume en dos supuestos (cuándo toca suelo Américas y dónde se estabiliza el margen) que el DCF hace explícitos. Los escenarios llevan un 35 % porque el riesgo de declive estructural se recoge mejor ahí (valor ponderado de 123,94 USD). Los comparables, solo un 10 %: su mediana (9,5x EBITDA de los próximos 12 meses y 18,3x PER [74]) da 169,83 USD, pero la fijan marcas que crecen (On y Amer Sports, +17-18 %) o con el EBITDA hundido (Nike, Under Armour); la referencia útil es Deckers (6,5x, margen del 24,5 %, también caja neta), que daría ≈ 124 USD (estimación propia con el EBITDA de los próximos 12 meses, 1.915 M). Las transacciones no pesan: solo dos tienen múltiplo (Skechers 8,5x y Hanesbrands 8,9x [76, 77]) y llevan prima de control, aunque indican que un comprador pagaría casi el doble del múltiplo actual (4,7x). Todos los métodos quedan por encima del precio salvo el escenario bajista. Con la prima implícita del mercado (4,2 % [70], WACC del 10,06 %), el DCF sube a 146,88 USD y el valor objetivo a 146,21 USD (+56,2 %). El puente usa la caja del 2-ago-2026 (1.389,7 M) menos 118,8 M de recompras hechas hasta el 28-ago, la fecha de las acciones [5]; sin deuda financiera ni arrendamientos financieros.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+72,7 %</w:t>
            </w:r>
          </w:p>
        </w:tc>
      </w:tr>
    </w:tbl>
    <w:p>
      <w:pPr>
        <w:spacing w:after="160" w:before="0"/>
      </w:pPr>
    </w:p>
    <w:p>
      <w:pPr>
        <w:spacing w:after="100"/>
      </w:pPr>
      <w:r>
        <w:rPr>
          <w:b/>
          <w:bCs/>
        </w:rPr>
        <w:t xml:space="preserve">Objetivo a 12 meses (ponderado):</w:t>
      </w:r>
      <w:r>
        <w:t xml:space="preserve"> 96,56 USD · rentabilidad +3,2 % (base +7,4 %) · señal Mantener.</w:t>
      </w:r>
    </w:p>
    <w:p>
      <w:pPr>
        <w:spacing w:after="100"/>
      </w:pPr>
      <w:r>
        <w:t xml:space="preserve">Para comparar, con la regla v2 (historia al cierre, mismo precio): 9,6x / 11,3x / 14,7x, 3,2 % Mantener; con el tope anterior del base (×1,3, 14-oct mediodía): 34,7 % Comprar; con la v3 sin el selector (tope ×1,1): 13,8 % Mantener. Decide la v2, elegida por el selector de método (desrateada: la mediana adelantada (32,7x) es 2,9 veces el PER de hoy (11,3x); la historia es de otro régimen y decide la v2; METODO-VIGENTE.md).</w:t>
      </w:r>
    </w:p>
    <w:p>
      <w:pPr>
        <w:keepNext/>
        <w:spacing w:after="100"/>
      </w:pPr>
      <w:r>
        <w:rPr>
          <w:b/>
          <w:bCs/>
        </w:rPr>
        <w:t xml:space="preserve">Frente al consenso (solo contraste).</w:t>
      </w:r>
    </w:p>
    <w:p>
      <w:pPr>
        <w:spacing w:after="100"/>
      </w:pPr>
      <w:r>
        <w:t xml:space="preserve">Nuestro BPA base de FY2028e (8,90) se separa un -6,5 % del consenso (9,52) y nuestro precio base (100,57) un -4,1 % del objetivo medio de los analistas (104,91).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132,71 (+41,8 %) frente al objetivo a 12 meses ponderado 96,56 (+3,2 % con dividendo; base +7,4 %).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Primera quincena de diciembre de 2026 (estimada; el 3T25 se publicó el 11-dic-2025)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(agosto-octubre de 2026) [7]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del −10 % al −11 % y BPA de 0,93-0,98 USD [7]: si Américas no empeora del −12 % de comparables, sería la primera señal de suelo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2026 -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Navidad (el 4T pesa ≈ 33 % de las ventas del año: 3.640,8 M de 11.102,6 M en FY2025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rebajas para vaciar inventario y el tráfico en tiendas de EE. UU. deciden el margen del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primera guía anual con Heidi O'Neill como CEO (desde el 8-sep-2026 [34])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frente al consenso (ventas −1,2 %, EBITDA 1.855 M [71]) es la prueba del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Devolución del resto de los aranceles IEEPA pagados (≈ 95 M USD de 230 M; no hay activo reconocido)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+0,86 USD por acción por cada 134,5 M cobrados (referencia del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tercer consejero pactado con Chip Wilson (debía estar antes del 1-oct-2026) [44]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retraso o un desacuerdo reabriría el conflicto con el fundador (8,6 % del capital [49])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2027: reforma estatutaria para eliminar el consejo escalonado (aprobada en 2026 con el 99,3 %) y voto de remuneración tras el 36,7 % en contra de 2026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poder del accionista desde 2028; facilita cambios si la nueva dirección no cumple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Derogación legal definitiva de la exención de minimis (ya suspendida desde el 29-ago-2025)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coste adicional: ya está en las cuentas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estructural de la marca en EE. UU. frente a Alo, Vuori y las grandes marcas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−20,1 % (escenario bajista: 74,76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56,6 % y canal propio (44 % digital): margen para invertir en producto y marketing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Comparables de Américas peores que −12 %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toca suelo en FY2027e: rebajas permanentes y desapalancamiento de costes de tiendas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por cada punto de margen EBITDA perdido en todos los años (123,18 USD); −12,7 % con dos puntos (114,82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ya recorta inventario (−7 % en unidades) y gastos discrecionales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FY2027 por debajo del 12 % en la guía de marzo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e internacional dejan de compensar a Américas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por cada punto menos de crecimiento anual (125,30 USD); −9,2 % con dos puntos (119,41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tiene el mayor margen de segmento (40,0 %) y crece en tiendas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Comparables de China negativos a tipo constante dos trimestres seguidos (−8 %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más altos sobre Vietnam, Camboya y Sri Lanka tras la sentencia IEEPA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por cada punto de margen (≈ 275 M USD de beneficio bruto en FY2025 antes de mitigar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selectivas y diversificación de fábricas; posibles devoluciones del resto (≈ 95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por país por encima del 20 % que la empresa supone desde septiembre de 2026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una consejera delegada sin experiencia previa en el cargo y cúpula renovada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un año más de caída equivale al perfil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años en Nike; la CFO sigue desde 2020 [34,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la CFO o nuevas salidas de directivos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con el fundador o un activista que fuerce decisiones de corto plazo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puede ser positivo (venta o recompras)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Pacto de tregua con Wilson hasta 2028 [44]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tercer consejero pactado o un 13D de Elliott [65]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a precios que luego se revelan caros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USD por acción (5.595 M recomprados desde FY2016; 168-199 USD en el 4T25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precio actual la recompra rinde ≈ 13 % (rentabilidad por FCF)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financiadas con deuda o caja por debajo de 1.000 M</w:t>
            </w:r>
          </w:p>
        </w:tc>
      </w:tr>
    </w:tbl>
    <w:p>
      <w:pPr>
        <w:spacing w:after="160" w:before="0"/>
      </w:pPr>
    </w:p>
    <w:p>
      <w:pPr>
        <w:pStyle w:val="Heading2"/>
      </w:pPr>
      <w:r>
        <w:t xml:space="preserve">Pre-mortem</w:t>
      </w:r>
    </w:p>
    <w:p>
      <w:pPr>
        <w:spacing w:after="100"/>
      </w:pPr>
      <w:r>
        <w:t xml:space="preserve">Octubre de 2029: la acción vale 56 USD. Todo empezó en la Navidad de 2026: para vaciar inventario, Lululemon rebajó más de lo previsto y el margen EBIT de FY2026 acabó por debajo del 14 %. En marzo de 2027, el plan de Heidi O'Neill pidió dos años y más inversión en marketing: la guía de FY2027 dio ventas otra vez a la baja y un margen EBITDA del 15 %, por debajo del 17,9 % que esperaba el consenso. Alo salió a bolsa en 2027 y su crecimiento confirmó que el cliente de precio completo se había ido; en China, Anta y Arc'teryx ganaron la batalla del cliente premium y las comparables siguieron negativas. Los nuevos aranceles sobre Vietnam (40 % de la producción) se quedaron en el 20 % o más. La empresa siguió recomprando a 90-100 USD con la caja, y en 2028 cerró tiendas en EE. UU. con deterioros. El mercado pasó de verla como marca castigada a verla como Under Armour, y el múltiplo no se movió de 4-5 veces el EBITDA sobre un EBITDA un 25 % menor. Las señales estaban ahí: comparables de Américas peores que el −12 % del 2T26 en el 3T26 y el 4T26, el margen bruto sin aranceles por debajo del 55 % y la ausencia de objetivos a medio plazo en marzo de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primer asunto es el </w:t>
      </w:r>
      <w:r>
        <w:rPr>
          <w:b/>
        </w:rPr>
        <w:t xml:space="preserve">clima en la cadena de suministro</w:t>
      </w:r>
      <w:r>
        <w:t xml:space="preserve">: las emisiones de alcance 3 (sin el uso del producto) subieron de 831.018 t CO₂e en 2020 a 1.608.150 t en 2024 (+94 %; +15 % en el último año), mientras que las de sus propias operaciones son menos del 1 % del total y ya usan electricidad 100 % renovable [35]. Su objetivo, validado por SBTi, es reducir un 60 % la intensidad del alcance 3 respecto a 2018, no las emisiones absolutas [35]. El segundo son las </w:t>
      </w:r>
      <w:r>
        <w:rPr>
          <w:b/>
        </w:rPr>
        <w:t xml:space="preserve">condiciones laborales en las fábricas</w:t>
      </w:r>
      <w:r>
        <w:t xml:space="preserve">: no tiene fábricas propias, el 87 % de la producción sale de Vietnam, Camboya, Sri Lanka, Indonesia y Bangladés y el 29 % del tejido de China [1], y la ley estadounidense sobre trabajo forzoso uigur (UFLPA) puede retener importaciones [1]. El tercero, las </w:t>
      </w:r>
      <w:r>
        <w:rPr>
          <w:b/>
        </w:rPr>
        <w:t xml:space="preserve">alegaciones medioambientales</w:t>
      </w:r>
      <w:r>
        <w:t xml:space="preserve"> de su marketing, que ya le han traído una investigación y demandas (ver controversias) [36, 37].</w:t>
      </w:r>
    </w:p>
    <w:p>
      <w:pPr>
        <w:pStyle w:val="Heading2"/>
      </w:pPr>
      <w:r>
        <w:t xml:space="preserve">Controversias</w:t>
      </w:r>
    </w:p>
    <w:p>
      <w:pPr>
        <w:spacing w:after="100"/>
      </w:pPr>
      <w:r>
        <w:t xml:space="preserve">En abril de 2024 la Competition Bureau de Canadá abrió una investigación por presunto greenwashing tras una denuncia de Stand.earth de febrero de 2024; lululemon dijo confiar en la exactitud de sus afirmaciones [36, 37]. En julio de 2024 se presentó en Florida (distrito sur) una demanda colectiva contra la campaña «Be Planet» y Stand.earth denunció lo mismo ante la DGCCRF francesa [37]; en las fuentes leídas no consta resolución. En 2024 llegaron una demanda colectiva de accionistas (Patel, agosto de 2024) y seis demandas derivadas por la información sobre producto e inventario [1], y en 2026 dos demandas colectivas de consumidores por los precios ligados a los aranceles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del −12 % de comparables en Américas es tráfico y qué parte es precio medio y rebajas? ¿Cómo ha ido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problema de marketing que defiende la dirección de una pérdida de marca; es la diferencia entre el caso base y el bajista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Suelo del 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 considera la nueva dirección sostenible en un año sin aranceles extraordinarios ni devoluciones, y qué parte de los ≈ 450 pb de desapalancamiento de gastos es reversible?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es un 6,4 % del valor; el precio descuenta un 15,5 % para siempre.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 de tiendas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tiendas de EE. UU. tienen rentabilidad negativa a cuatro paredes y cuánto costaría cerrarlas?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lo preguntaron en el 2T26 y la dirección lo aplazó hasta la llegada de O'Neill [16]; el gasto total en alquileres es el 22,4 % del EBITDA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pasaron las comparables de China de +20 % en FY2025 a −8 % a tipo constante en el 2T26, y se mantiene el plan de aperturas allí?</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segmento de mayor margen (40,0 %) y la base del crecimiento que suponemos fuera de Américas [1,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230 M de aranceles IEEPA pagados falta por cobrar, y cómo afecta el nuevo régimen arancelario por país al margen bruto de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95 M pendientes valen ≈ 0,6 USD por acción, y los aranceles restaron ≈ 250 pb de margen bruto en FY2025 [1,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la nueva CEO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objetivos a medio plazo y un día del inversor? ¿Mantendrá la cadencia de recompras (330 M en el 2T26)?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tiene objetivos vigentes desde el Power of Three ×2, que se quedará un 16-17 % corto [9].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se ha nombrado aún el tercer consejero pactado con Wilson y qué papel tiene Elliott?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pacto fijaba el 1-oct-2026 [44]; un conflicto reabierto distraería a la nueva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excluyeron 287,4 M de aranceles y otros costes del cálculo del incentivo a largo plazo, y se repetirá?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beneficio contable habría pagado el 72,5 % y no el 134,4 %; el 36,7 % votó en contra en 2026 [45, 50].</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2 explicados. Fuentes: 81 (61 primarias); citas distintas en el texto: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57 % y los ingresos un 21 %: si hubo una compra cerca del cierre, decláralo en financieros.cambios_perimetro y explícalo. Explicación: No hubo compra. El activo sube un 57 % porque en FY2019 (feb-2019 a ene-2020) entró en vigor la norma de arrendamientos ASC 842 y se reconocieron los derechos de uso de las tiendas (≈ 740 M de pasivo por arrendamiento al cierre).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1,9 % en FY2035e frente al 2,6 %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14,1 % real: genera una variación de circulante de -99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0,13: el crecimiento no explica los múltiplos de estos comparables; no uses el valor de la regresión. Explicación: Con siete comparables de márgenes muy distintos (4,4-24,5 %) el crecimiento no explica el múltiplo (R² 0,13): Nike y Under Armour cotizan caros con ventas a la baja porque su EBITDA está hundido.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41,8 %, asimetría de 4,52, bajista del -20,1 % y el precio descuenta 7,3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81 fuentes (61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10-Q: la empresa solo publica su propia guía, no el consenso; 2) transcripciones del 1T26 y del 2T26 (MarketBeat, Singju Post): no citan el consenso previo; 3) no se buscó en proveedores de consenso para no gastar el cupo compartido de búsquedas (lo cubre D). En su lugar, los resultados se comparan con la guía de la empresa en el comentario de la última presentación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solo dan el crecimiento a tipo constante, no el orgánico; 2) 10-K y 10-Q: la compra de México (sep-2024) no se aísla por trimestres; 3) derivarlo exigiría las ventas trimestrales de México, que no se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gastos_financieros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 de resultados del 10-K: solo «otros ingresos (gastos), netos», sin desglose; 2) XBRL: no hay etiqueta de gasto por intereses; 3) sin deuda dispuesta, el gasto por intereses es irrelevante (solo comisiones del revolving)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y 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13 del 10-K FY2025: sin disposiciones; 2) 8-K del 21-oct-2025: solo margen sobre SOFR, sin disposiciones; 3) no aplica sin deuda financiera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Alo Yoga, Vuori y Athleta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las propias empresas: Alo y Vuori son privadas y no publican; Gap no da el resultado por marca en su 10-K [20]; 2) prensa sobre Alo (TheIndustry.fashion) y Vuori (NBC News): solo ingresos estimados [28, 29]; 3) búsqueda web de estimaciones de rentabilidad: solo blogs sin método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segmento premium de ropa deportiva y cuotas de mercado publicadas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lululemon y Nike: no dan tamaño de mercado [1, 19]; 2) informe anual de Adidas (desarrollo del sector) sin cifras de mercado; 3) búsqueda de Circana para ropa deportiva de EE. UU.: solo calzado. Se usa Euromonitor vía McKinsey [26] y Grand View [27] y la cuota se estima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 CDP) con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 pública de MSCI (msci.com, ESG Ratings &amp; Climate Search): la página no devuelve la letra sin JavaScript; 2) ficha pública de Sustainalytics y página de sostenibilidad de Yahoo Finance: sin puntuación en el texto servido; 3) suplemento de datos de impacto 2024 de lululemon: remite a su informe a CDP pero no da la puntuación. Los resúmenes de buscador daban 14,1 de riesgo en Sustainalytics y B en CDP 2024, sin página original que lo confirme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arancelarios vigentes en EE. UU. por país de origen (Vietnam, Camboya, Sri Lanka, Indonesia, China) tras la sentencia IEEPA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y 10-Q 2T26 de lululemon: solo dicen que los tipos negociados superan el 10 % base y que hay nuevos aranceles con otra base legal [1, 5]; 2) 10-K FY2026 de Nike: solo la recuperación de IEEPA [19]; 3) no se buscó en la Casa Blanca ni en la USITC por el límite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consejero_coordinador (quién sustituyó a David Mussafer)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26-jun-2026 y del 14-sep-2026 y proxy de 2026: no nombran sucesor; 2) web corporativa (consejo y composición de comisiones): ningún consejero coordinador; 3) búsqueda web: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a false y explicado en alertas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 consejero pactado con Wilson antes del 1-oct-2026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presentaciones de EDGAR actualizada a 7-oct-2026: ningún 8-K después del 14-sep; 2) web corporativa: 12 consejeros, ninguno nuevo; 3) no se buscó en prensa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señalado en alertas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actual de Elliott Management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ningún 13D ni 13G de Elliott sobre LULU; 2) proxy de 2026: no lo cita entre los accionistas de más del 5 %; 3) prensa: solo la noticia de Reuters de 18-dic-2025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la noticia en alertas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accionista de control; 2) no aplica;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lista de presentaciones de LULU hasta el 7-oct-2026: ningún 8-K anuncia la fecha del 3T26; 2) búsqueda de la nota de convocatoria en BusinessWire y BNN Bloomberg: solo aparece la del 2T26 (20-ago-2026); 3) Stock Analysis (muestra la última, 3-sep-2026) y calendario de MarketScreener (error 502)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Referencia: el 3T25 se publicó el 11-dic-2025 y se convocó el 26-nov-2025.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consenso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los datos solo están en gráficos SVG, sin cifras legibles; 2) Stock Analysis forecast: sin histórico de estimaciones; 3) evolución de la guía de la empresa (17-mar, 4-jun y 3-sep-2026) y cambios de precio objetivo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(la guía como aproximación, dicho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de analistas por ejercicio de las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lo da por año; 2) MarketScreener consensus: 35 analistas en total; 3) Stock Analysis forecast: 35 analistas, detalle solo para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total de 35.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Sports/consorcio Anta (2019), Reebok/Authentic Brands (2021-22), Lululemon/MIRROR (2020), rondas de Vuori (2021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MIRROR: el 10-K de FY2023 solo da gastos de adquisición, no el precio; 2) Amer Sports y Reebok: los vendedores (Amer Sports Oyj, adidas) no presentan en EDGAR y no se buscaron sus notas en Helsinki o Fráncfort; 3) Vuori: rondas privadas sin documento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(un solo intento real en cada una, por presupuesto de tiempo).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(ejercicio cerrado el 1-feb-2026)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https://www.sec.gov/Archives/edgar/data/1397187/000139718726000020/lulu-20260201.htm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FY2024 (ejercicio cerrado el 2-feb-2025)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https://www.sec.gov/Archives/edgar/data/1397187/000139718725000013/lulu-20250202.htm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FY2023 (ejercicio cerrado el 28-ene-2024)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https://www.sec.gov/Archives/edgar/data/1397187/000139718724000010/lulu-20240128.htm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CIK 0001397187 (series anuales de los 10-K FY2016-FY2025)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https://data.sec.gov/api/xbrl/companyfacts/CIK0001397187.json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(trimestre cerrado el 2-ago-2026)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https://www.sec.gov/Archives/edgar/data/1397187/000139718726000127/lulu-20260802.htm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1T26 (trimestre cerrado el 3-may-2026)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https://www.sec.gov/Archives/edgar/data/1397187/000139718726000078/lulu-20260503.htm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https://www.sec.gov/Archives/edgar/data/1397187/000139718726000126/lulu-20260802xex991.htm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https://www.sec.gov/Archives/edgar/data/1397187/000139718726000077/lulu-20260503xex991.htm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FY2025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https://www.sec.gov/Archives/edgar/data/1397187/000139718726000019/lulu-20260201xex991.htm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https://www.sec.gov/Archives/edgar/data/1397187/000139718725000054/lulu-20251102xex991.htm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https://www.sec.gov/Archives/edgar/data/1397187/000139718725000038/lulu-20250803xex991.htm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https://www.sec.gov/Archives/edgar/data/1397187/000139718725000026/lulu-20250504xex991.htm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 y FY2024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https://www.sec.gov/Archives/edgar/data/1397187/000139718725000012/lulu-20250202xex991.htm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https://www.sec.gov/Archives/edgar/data/1397187/000139718724000040/lulu-20241027xex991.htm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(puntos 1.01 y 2.03): Second Amended and Restated Credit Agreement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https://www.sec.gov/Archives/edgar/data/1397187/000139718725000045/lulu-20251015.htm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Singju 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https://singjupost.com/transcript-lululemon-athletica-lulu-inc-q2-fy26-earnings-call/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FY2020 (ejercicio cerrado el 31-ene-2021), nota de la adquisición de MIRROR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https://www.sec.gov/Archives/edgar/data/1397187/000139718721000009/lulu-20210131.htm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Q1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https://www.marketbeat.com/instant-alerts/lululemon-athletica-q1-earnings-call-highlights-2026-06-04/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Form 10-K, ejercicio fiscal 2026 (cerrado el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https://www.sec.gov/Archives/edgar/data/320187/000032018726000088/nke-20260531.htm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Gap, Inc. Form 10-K, ejercicio fiscal 2025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Gap,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https://www.sec.gov/Archives/edgar/data/39911/000162828026018573/gap-20260131.htm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 Inc. Form 20-F,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https://www.sec.gov/Archives/edgar/data/1988894/000198889426000004/as-20251231.htm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Form 20-F, ejercicio 2025 (datos XBRL de ingresos, margen bruto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Under Armour, Inc. Form 10-K, ejercicio fiscal 2026 (cerrado el 31-mar-2026)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Under Armour,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https://www.sec.gov/Archives/edgar/data/1336917/000133691726000073/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Annual Report 2025: Consolidated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https://report.adidas-group.com/2025/en/consolidated-financial-statements/consolidated-income-statement.html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ANTA Sports Products: resultados anuales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ANTA Sports Products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https://ir.anta.com/en/news_detail.php?id=160710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2025: The new balancing act (con datos de Euromonitor International, Apparel &amp; Footwear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McKinsey &amp; Company y WFSGI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https://patrickbayeux.com/wp-content/uploads/2025/04/2504-mc-kinsey-sporting-goods-2025.pdf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Athleisure Market Size, Share &amp; Trends Analysis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https://www.grandviewresearch.com/industry-analysis/athleisure-market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Vuori reached a $5.5 billion valuation by taking share from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NBC News (CNBC)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https://www.nbcnews.com/business/business-news/vuori-reached-5point5-billion-valuation-taking-share-lululemon-rcna184931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Alo Yoga owners eye IPO or sale after offloading wholesale T-shirt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TheIndustry.fashion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https://www.theindustry.fashion/alo-yoga-owners-eye-ipo-or-sale-after-offloading-wholesale-t-shirt-business/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CHF, CNY) al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https://data-api.ecb.europa.eu/service/data/EXR/D.USD+CHF+CNY.EUR.SP00.A?startPeriod=2025-12-29&amp;endPeriod=2025-12-31&amp;format=csvdata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ejercicio fiscal 2026 (cerrado el 31-mar-2026)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https://www.sec.gov/Archives/edgar/data/910521/000162828026037664/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(artículo de enciclopedia: fundación, OPV, consejeros delegados, retirada de 2013, Mirror)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https://en.wikipedia.org/wiki/Lululemon_Athletica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Reveals Power of Three ×2 Five-Year Growth Strategy (nota de prensa del día del analista)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https://corporate.lululemon.com/media/press-releases/2022/04-20-2022-113017957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Form 8-K: incorporación de Heidi O'Neill como consejera delegada y consejera (8-sep-2026)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https://www.sec.gov/Archives/edgar/data/1397187/000139718726000129/lulu-20260908.htm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Impact Data and Indices Supplement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https://corporate.lululemon.com/~/media/Files/L/Lululemon/our-impact/reporting-and-disclosure/2024-impact-data-and-indices-supplement.pdf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Canada's Competition Bureau investigating Lululemon over greenwashing allegations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https://fashionunited.uk/news/fashion/canadas-competition-bureau-investigating-lululemon-over-greenwashing-allegations/2024050775456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Canadian Competition Bureau investigates Lululemon over alleged greenwashing claims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Peters &amp; Peters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https://www.petersandpeters.com/case/canadian-competition-bureau-investigates-lululemon-over-alleged-greenwashing-claims/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salida de Celeste Burgoyne y nombramiento de André Maestrini como President &amp; CCO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https://www.sec.gov/Archives/edgar/data/1397187/000139718725000047/lulu-20251117.htm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2.02, 5.02, 8.01): resultados 3T25, salida de Calvin McDonald, codirección interina y ampliación de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https://www.sec.gov/Archives/edgar/data/1397187/000139718725000054/lulu-20251203.htm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8.01): respuesta a la carta de Dennis J. Wilson (nominación de consejeros y propuesta de desclasificar 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https://www.sec.gov/Archives/edgar/data/1397187/000121390025126119/ea0271178-8k_lulu.htm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Chip Bergh y retirada de David Mussafer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https://www.sec.gov/Archives/edgar/data/1397187/000139718726000017/lulu-20260313.htm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contrato de Heidi O'Neill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https://www.sec.gov/Archives/edgar/data/1397187/000139718726000070/lulu-20260421.htm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Esi Eggleston Bracey y retirada de Shane Grant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https://www.sec.gov/Archives/edgar/data/1397187/000121390026048264/ea0287949-8k_lululemon.htm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1.01): Cooperation Agreement con Dennis J. «Chip» Wilson y sus sociedades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https://www.sec.gov/Archives/edgar/data/1397187/000121390026061531/ea0292191-8k_lululemon.htm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5.07): resultados de la junta de 25-jun-2026 y nombramiento de Laura Gentile y Marc Maurer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https://www.sec.gov/Archives/edgar/data/1397187/000139718726000088/lulu-20260624.htm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8.01): salida de Ranju Das, Chief AI &amp; Technology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https://www.sec.gov/Archives/edgar/data/1397187/000139718726000120/lulu-20260813.htm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11-jun-2025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https://www.sec.gov/Archives/edgar/data/1397187/000139718725000029/lulu-20250611.htm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6-jun-2024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https://www.sec.gov/Archives/edgar/data/1397187/000139718724000027/lulu-20240606.htm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25) de Dennis J. Wilson y sociedades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https://www.sec.gov/Archives/edgar/data/1397187/000119312526382473/xslSCHEDULE_13D_X02/primary_doc.xml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definitivo de la junta de 2026 (DEFC14A)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https://www.sec.gov/Archives/edgar/data/1397187/000121390026058095/ea0281698-04.htm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 la junta de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https://www.sec.gov/Archives/edgar/data/1397187/000139718725000017/lulu-20250429.htm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10) de Dennis J. Wilson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https://www.sec.gov/Archives/edgar/data/1397187/000119312525234754/xslSCHEDULE_13D_X01/primary_doc.xml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23) de Dennis J. Wilson: venta de 164.146 acciones (derivado con Citibank)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https://www.sec.gov/Archives/edgar/data/1397187/000119312526309029/xslSCHEDULE_13D_X02/primary_doc.xml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24) de Dennis J. Wilson: venta de 164.146 acciones (derivado con Citibank)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https://www.sec.gov/Archives/edgar/data/1397187/000119312526330833/xslSCHEDULE_13D_X02/primary_doc.xml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(7,22 %)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Capital Management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https://www.sec.gov/Archives/edgar/data/1397187/000210011926000036/xslSCHEDULE_13G_X02/primary_doc.xml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https://www.sec.gov/Archives/edgar/data/1397187/000010290926001812/xslSCHEDULE_13G_X02/primary_doc.xml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(3,6 %)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FMR LLC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https://www.sec.gov/Archives/edgar/data/1397187/000031506625002299/xslSCHEDULE_13G_X01/primary_doc.xml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operaciones de consejeros y directivos de lululemon, 7-oct-2025 a 7-oct-2026 (agregado con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https://www.sec.gov/cgi-bin/browse-edgar?action=getcompany&amp;CIK=0001397187&amp;type=4&amp;dateb=&amp;owner=include&amp;count=40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2020, con la guía de fiscal 2021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https://www.sec.gov/Archives/edgar/data/1397187/000139718721000008/lulu-20210131xex991.htm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2021, con la guía de fiscal 2022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https://www.sec.gov/Archives/edgar/data/1397187/000139718722000013/lulu-20220130xex991.htm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2022, con la guía de fiscal 2023 y el plan Power of Three ×2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https://www.sec.gov/Archives/edgar/data/1397187/000139718723000011/lulu-20230129xex991.htm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2023, con la guía de fiscal 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https://www.sec.gov/Archives/edgar/data/1397187/000139718724000009/lulu-20240128xex991.htm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consejo de administración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https://corporate.lululemon.com/investors/corporate-governance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Committee composition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https://corporate.lululemon.com/investors/corporate-governance/committee-composition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investor Elliott Management acquires $1bn Lululemon stake (Reuters, vía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https://finance.yahoo.com/news/activist-investor-elliott-management-acquires-153016554.html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Heidi O'Neill: concesión de 28.079 RSU y 145.518 opciones a 99,72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Heidi O'Neill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https://www.sec.gov/Archives/edgar/data/1397187/000158532226000010/xslF345X06/form4.xml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LULU, SPY, XLY, QQQ y ^GSPC (cierre y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https://finance.yahoo.com/quote/LULU/history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(LULU) statistics: market cap, float, short interest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https://stockanalysis.com/stocks/lulu/statistics/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estimaciones y consenso (finances,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https://www.marketscreener.com/quote/stock/LULULEMON-ATHLETICA-INC-40449575/finances/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(LULU) stock forecast: price target and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https://stockanalysis.com/stocks/lulu/forecast/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Falls Sharply as CEO Selection Underwhelms Wall 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https://news.bgov.com/esg/lululemon-names-former-nike-executive-oneill-its-next-ceo-3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y datos financieros de Nike, adidas, Amer Sports, On Holding, Deckers, Under Armour, Columbia Sportswear y Puma (páginas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https://www.marketscreener.com/quote/stock/NIKE-INC-13739/finances/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Nike, adidas, Amer Sports, On, Deckers, Under Armour y Columbia (ROIC,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https://stockanalysis.com/stocks/nke/statistics/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Gildan to Combine with HanesBrands (nota de prensa, anexo 99.1 al 8-K de Hanesbrands)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Hanesbrands Inc. / Gildan Activewear,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https://www.sec.gov/Archives/edgar/data/1359841/000119312525179411/d893770dex991.htm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to be acquired by 3G Capital (nota de prensa,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https://www.sec.gov/Archives/edgar/data/1065837/000119312525112159/d943603dex991.htm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datos XBRL del 10-K 2024 y del 10-Q del 1T25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https://data.sec.gov/api/xbrl/companyfacts/CIK0001065837.json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to acquire Foot Locker (nota de prensa,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https://www.sec.gov/Archives/edgar/data/1089063/000119312525120243/d830209dex991.htm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8-K del acuerdo de compra de Supreme (Item 1.01) 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https://www.sec.gov/Archives/edgar/data/103379/000095010320021761/dp140391_8k.htm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Supreme from VF (nota de prensa, anexo 99.1 al 8-K de VF)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https://www.sec.gov/Archives/edgar/data/103379/000119312524179856/d871255dex991.htm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86,2 %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única (Nasdaq: LULU), cuentas y cotización en USD. El ejercicio es de 52/53 semanas y cierra el domingo más próximo al 31 de enero; la empresa lo nombra por el año en que </w:t>
      </w:r>
      <w:r>
        <w:rPr>
          <w:b/>
        </w:rPr>
        <w:t xml:space="preserve">empieza</w:t>
      </w:r>
      <w:r>
        <w:t xml:space="preserve"> (FY2025 = 3-feb-2025 a 1-feb-2026) y los trimestres son fiscales (2T26 = mayo-julio de 2026). FY2024 tuvo 53 semanas (163,2 M USD de ventas en la semana adicional). El precio es el cierre del 6-oct-2026: la sesión del 7 seguía abierta a la fecha de corte. Las acciones (110,73 M) suman las ordinarias y las canjeables de Lulu Canadian Holding, que son su equivalente económico. El EBITDA es GAAP (EBIT más amortizaciones) y ya descuenta el alquiler operativo (US GAAP, ASC 842): los pasivos por arrendamiento operativo (2.141,1 M a 2-ago-2026) no van a la deuda, al puente ni al capital invertido; el ROIC que capitaliza los alquileres se da aparte como estimación. El EBITDA de los últimos 12 meses y de FY2026e incluye 134,5 M USD de devoluciones de aranceles IEEPA del 2T26, que no se repiten. Sin servicios de pago: faltan las revisiones del consenso con cifras, las calificaciones ESG (sus webs no se abren sin JavaScript), los múltiplos históricos de los próximos 12 meses y los ingresos y márgenes auditados de Alo, Vuori y Athleta (privadas o sin desglose).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lululemon athletica inc. (LULU)</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93,61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Hoja1!$B$2:$B$9</c:f>
              <c:numCache>
                <c:formatCode>#,##0</c:formatCode>
                <c:ptCount val="8"/>
                <c:pt idx="0">
                  <c:v>91.28</c:v>
                </c:pt>
                <c:pt idx="1">
                  <c:v>44</c:v>
                </c:pt>
                <c:pt idx="2">
                  <c:v>131.67</c:v>
                </c:pt>
                <c:pt idx="3">
                  <c:v>118.65</c:v>
                </c:pt>
                <c:pt idx="4">
                  <c:v>121.18</c:v>
                </c:pt>
                <c:pt idx="5">
                  <c:v>74.76</c:v>
                </c:pt>
                <c:pt idx="6">
                  <c:v>137.94</c:v>
                </c:pt>
                <c:pt idx="7">
                  <c:v>93.14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Hoja1!$C$2:$C$9</c:f>
              <c:numCache>
                <c:formatCode>#,##0</c:formatCode>
                <c:ptCount val="8"/>
                <c:pt idx="0">
                  <c:v>134.7</c:v>
                </c:pt>
                <c:pt idx="1">
                  <c:v>211</c:v>
                </c:pt>
                <c:pt idx="2">
                  <c:v>63.130000000000024</c:v>
                </c:pt>
                <c:pt idx="3">
                  <c:v>77.44999999999999</c:v>
                </c:pt>
                <c:pt idx="4">
                  <c:v>23.599999999999994</c:v>
                </c:pt>
                <c:pt idx="5">
                  <c:v>103.89999999999999</c:v>
                </c:pt>
                <c:pt idx="6">
                  <c:v>19.25999999999999</c:v>
                </c:pt>
                <c:pt idx="7">
                  <c:v>0.9399999999999977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Américas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5299.9</c:v>
                </c:pt>
                <c:pt idx="1">
                  <c:v>6817.5</c:v>
                </c:pt>
                <c:pt idx="2">
                  <c:v>7631.6</c:v>
                </c:pt>
                <c:pt idx="3">
                  <c:v>7928.2</c:v>
                </c:pt>
                <c:pt idx="4">
                  <c:v>7847</c:v>
                </c:pt>
              </c:numCache>
            </c:numRef>
          </c:val>
        </c:ser>
        <c:ser>
          <c:idx val="1"/>
          <c:order val="1"/>
          <c:tx>
            <c:strRef>
              <c:f>Hoja1!$C$1</c:f>
              <c:strCache>
                <c:ptCount val="1"/>
                <c:pt idx="0">
                  <c:v>China continental</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434.3</c:v>
                </c:pt>
                <c:pt idx="1">
                  <c:v>576.5</c:v>
                </c:pt>
                <c:pt idx="2">
                  <c:v>963.8</c:v>
                </c:pt>
                <c:pt idx="3">
                  <c:v>1361.3</c:v>
                </c:pt>
                <c:pt idx="4">
                  <c:v>1754.8</c:v>
                </c:pt>
              </c:numCache>
            </c:numRef>
          </c:val>
        </c:ser>
        <c:ser>
          <c:idx val="2"/>
          <c:order val="2"/>
          <c:tx>
            <c:strRef>
              <c:f>Hoja1!$D$1</c:f>
              <c:strCache>
                <c:ptCount val="1"/>
                <c:pt idx="0">
                  <c:v>Resto del mundo</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522.5</c:v>
                </c:pt>
                <c:pt idx="1">
                  <c:v>716.6</c:v>
                </c:pt>
                <c:pt idx="2">
                  <c:v>1023.9</c:v>
                </c:pt>
                <c:pt idx="3">
                  <c:v>1298.6</c:v>
                </c:pt>
                <c:pt idx="4">
                  <c:v>1500.8</c:v>
                </c:pt>
              </c:numCache>
            </c:numRef>
          </c:val>
        </c:ser>
        <c:ser>
          <c:idx val="3"/>
          <c:order val="3"/>
          <c:tx>
            <c:strRef>
              <c:f>Hoja1!$E$1</c:f>
              <c:strCache>
                <c:ptCount val="1"/>
                <c:pt idx="0">
                  <c:v>Corporativo y partidas no asignadas</c:v>
                </c:pt>
              </c:strCache>
            </c:strRef>
          </c:tx>
          <c:spPr>
            <a:solidFill>
              <a:srgbClr val="EDA100"/>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Américas</c:v>
                </c:pt>
                <c:pt idx="1">
                  <c:v>China continental</c:v>
                </c:pt>
                <c:pt idx="2">
                  <c:v>Resto del mundo</c:v>
                </c:pt>
                <c:pt idx="3">
                  <c:v>Corporativo y partidas no asignadas</c:v>
                </c:pt>
              </c:strCache>
            </c:strRef>
          </c:cat>
          <c:val>
            <c:numRef>
              <c:f>Hoja1!$B$2:$B$5</c:f>
              <c:numCache>
                <c:formatCode>General</c:formatCode>
                <c:ptCount val="4"/>
                <c:pt idx="0">
                  <c:v>70.7</c:v>
                </c:pt>
                <c:pt idx="1">
                  <c:v>15.8</c:v>
                </c:pt>
                <c:pt idx="2">
                  <c:v>13.5</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Estados Unidos</c:v>
                </c:pt>
                <c:pt idx="1">
                  <c:v>Canadá</c:v>
                </c:pt>
                <c:pt idx="2">
                  <c:v>México</c:v>
                </c:pt>
                <c:pt idx="3">
                  <c:v>China continental</c:v>
                </c:pt>
                <c:pt idx="4">
                  <c:v>Hong Kong, Taiwán y Macao</c:v>
                </c:pt>
                <c:pt idx="5">
                  <c:v>Otros países</c:v>
                </c:pt>
              </c:strCache>
            </c:strRef>
          </c:cat>
          <c:val>
            <c:numRef>
              <c:f>Hoja1!$B$2:$B$7</c:f>
              <c:numCache>
                <c:formatCode>0"%"</c:formatCode>
                <c:ptCount val="6"/>
                <c:pt idx="0">
                  <c:v>57</c:v>
                </c:pt>
                <c:pt idx="1">
                  <c:v>12.8</c:v>
                </c:pt>
                <c:pt idx="2">
                  <c:v>0.9</c:v>
                </c:pt>
                <c:pt idx="3">
                  <c:v>15.8</c:v>
                </c:pt>
                <c:pt idx="4">
                  <c:v>1.8</c:v>
                </c:pt>
                <c:pt idx="5">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mercado mundial de ropa y calzado deportivo, valor de venta al público a tipo de cambio constante (Euromonitor vía McKinsey))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2019</c:v>
                </c:pt>
                <c:pt idx="1">
                  <c:v>2020</c:v>
                </c:pt>
                <c:pt idx="2">
                  <c:v>2021</c:v>
                </c:pt>
                <c:pt idx="3">
                  <c:v>2022</c:v>
                </c:pt>
                <c:pt idx="4">
                  <c:v>2023</c:v>
                </c:pt>
                <c:pt idx="5">
                  <c:v>2024</c:v>
                </c:pt>
                <c:pt idx="6">
                  <c:v>2025e</c:v>
                </c:pt>
                <c:pt idx="7">
                  <c:v>2026e</c:v>
                </c:pt>
                <c:pt idx="8">
                  <c:v>2027e</c:v>
                </c:pt>
              </c:strCache>
            </c:strRef>
          </c:cat>
          <c:val>
            <c:numRef>
              <c:f>Hoja1!$B$2:$B$10</c:f>
              <c:numCache>
                <c:formatCode>#,##0</c:formatCode>
                <c:ptCount val="9"/>
                <c:pt idx="0">
                  <c:v>319</c:v>
                </c:pt>
                <c:pt idx="1">
                  <c:v>280</c:v>
                </c:pt>
                <c:pt idx="2">
                  <c:v>335</c:v>
                </c:pt>
                <c:pt idx="3">
                  <c:v>357</c:v>
                </c:pt>
                <c:pt idx="4">
                  <c:v>384</c:v>
                </c:pt>
                <c:pt idx="5">
                  <c:v>407</c:v>
                </c:pt>
                <c:pt idx="6">
                  <c:v>433</c:v>
                </c:pt>
                <c:pt idx="7">
                  <c:v>460</c:v>
                </c:pt>
                <c:pt idx="8">
                  <c:v>489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Lululemon</c:v>
                </c:pt>
                <c:pt idx="1">
                  <c:v>Nike (Nike, Jordan, Converse)</c:v>
                </c:pt>
                <c:pt idx="2">
                  <c:v>Adidas</c:v>
                </c:pt>
                <c:pt idx="3">
                  <c:v>Anta Sports (Anta, FILA China, Descente, Kolon)</c:v>
                </c:pt>
                <c:pt idx="4">
                  <c:v>Amer Sports (Arc'teryx, Salomon, Wilson)</c:v>
                </c:pt>
                <c:pt idx="5">
                  <c:v>On Holding</c:v>
                </c:pt>
                <c:pt idx="6">
                  <c:v>Alo Yoga (Color Image Apparel)</c:v>
                </c:pt>
                <c:pt idx="7">
                  <c:v>Vuori</c:v>
                </c:pt>
                <c:pt idx="8">
                  <c:v>Athleta (Gap Inc.)</c:v>
                </c:pt>
              </c:strCache>
            </c:strRef>
          </c:cat>
          <c:val>
            <c:numRef>
              <c:f>Hoja1!$B$2:$B$10</c:f>
              <c:numCache>
                <c:formatCode>0.0"%"</c:formatCode>
                <c:ptCount val="9"/>
                <c:pt idx="0">
                  <c:v>19.9</c:v>
                </c:pt>
                <c:pt idx="1">
                  <c:v>8.3</c:v>
                </c:pt>
                <c:pt idx="2">
                  <c:v>8.3</c:v>
                </c:pt>
                <c:pt idx="3">
                  <c:v>23.8</c:v>
                </c:pt>
                <c:pt idx="4">
                  <c:v>10.7</c:v>
                </c:pt>
                <c:pt idx="5">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3</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2344.4</c:v>
                </c:pt>
                <c:pt idx="1">
                  <c:v>2649.2</c:v>
                </c:pt>
                <c:pt idx="2">
                  <c:v>3288.3</c:v>
                </c:pt>
                <c:pt idx="3">
                  <c:v>3979.3</c:v>
                </c:pt>
                <c:pt idx="4">
                  <c:v>4401.9</c:v>
                </c:pt>
                <c:pt idx="5">
                  <c:v>6256.6</c:v>
                </c:pt>
                <c:pt idx="6">
                  <c:v>8110.5</c:v>
                </c:pt>
                <c:pt idx="7">
                  <c:v>9619.3</c:v>
                </c:pt>
                <c:pt idx="8">
                  <c:v>10588.1</c:v>
                </c:pt>
                <c:pt idx="9">
                  <c:v>11102.6</c:v>
                </c:pt>
                <c:pt idx="10">
                  <c:v>10436</c:v>
                </c:pt>
                <c:pt idx="11">
                  <c:v>10332</c:v>
                </c:pt>
                <c:pt idx="12">
                  <c:v>10590</c:v>
                </c:pt>
                <c:pt idx="13">
                  <c:v>10961</c:v>
                </c:pt>
                <c:pt idx="14">
                  <c:v>11399</c:v>
                </c:pt>
                <c:pt idx="15">
                  <c:v>11855</c:v>
                </c:pt>
                <c:pt idx="16">
                  <c:v>12330</c:v>
                </c:pt>
                <c:pt idx="17">
                  <c:v>12761</c:v>
                </c:pt>
                <c:pt idx="18">
                  <c:v>13208</c:v>
                </c:pt>
                <c:pt idx="19">
                  <c:v>13604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508.9</c:v>
                </c:pt>
                <c:pt idx="1">
                  <c:v>602.7</c:v>
                </c:pt>
                <c:pt idx="2">
                  <c:v>828.3</c:v>
                </c:pt>
                <c:pt idx="3">
                  <c:v>1051</c:v>
                </c:pt>
                <c:pt idx="4">
                  <c:v>1035.3</c:v>
                </c:pt>
                <c:pt idx="5">
                  <c:v>1599</c:v>
                </c:pt>
                <c:pt idx="6">
                  <c:v>2080.8</c:v>
                </c:pt>
                <c:pt idx="7">
                  <c:v>2610.2999999999997</c:v>
                </c:pt>
                <c:pt idx="8">
                  <c:v>2952.2</c:v>
                </c:pt>
                <c:pt idx="9">
                  <c:v>2706.8</c:v>
                </c:pt>
                <c:pt idx="10">
                  <c:v>2035</c:v>
                </c:pt>
                <c:pt idx="11">
                  <c:v>1860</c:v>
                </c:pt>
                <c:pt idx="12">
                  <c:v>1959</c:v>
                </c:pt>
                <c:pt idx="13">
                  <c:v>2083</c:v>
                </c:pt>
                <c:pt idx="14">
                  <c:v>2223</c:v>
                </c:pt>
                <c:pt idx="15">
                  <c:v>2371</c:v>
                </c:pt>
                <c:pt idx="16">
                  <c:v>2466</c:v>
                </c:pt>
                <c:pt idx="17">
                  <c:v>2552</c:v>
                </c:pt>
                <c:pt idx="18">
                  <c:v>2642</c:v>
                </c:pt>
                <c:pt idx="19">
                  <c:v>2721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51.2</c:v>
                </c:pt>
                <c:pt idx="1">
                  <c:v>52.8</c:v>
                </c:pt>
                <c:pt idx="2">
                  <c:v>55.2</c:v>
                </c:pt>
                <c:pt idx="3">
                  <c:v>55.9</c:v>
                </c:pt>
                <c:pt idx="4">
                  <c:v>56</c:v>
                </c:pt>
                <c:pt idx="5">
                  <c:v>57.7</c:v>
                </c:pt>
                <c:pt idx="6">
                  <c:v>55.4</c:v>
                </c:pt>
                <c:pt idx="7">
                  <c:v>58.3</c:v>
                </c:pt>
                <c:pt idx="8">
                  <c:v>59.2</c:v>
                </c:pt>
                <c:pt idx="9">
                  <c:v>56.6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21.7</c:v>
                </c:pt>
                <c:pt idx="1">
                  <c:v>22.8</c:v>
                </c:pt>
                <c:pt idx="2">
                  <c:v>25.2</c:v>
                </c:pt>
                <c:pt idx="3">
                  <c:v>26.4</c:v>
                </c:pt>
                <c:pt idx="4">
                  <c:v>23.5</c:v>
                </c:pt>
                <c:pt idx="5">
                  <c:v>25.6</c:v>
                </c:pt>
                <c:pt idx="6">
                  <c:v>25.7</c:v>
                </c:pt>
                <c:pt idx="7">
                  <c:v>27.1</c:v>
                </c:pt>
                <c:pt idx="8">
                  <c:v>27.9</c:v>
                </c:pt>
                <c:pt idx="9">
                  <c:v>24.4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18</c:v>
                </c:pt>
                <c:pt idx="1">
                  <c:v>18.7</c:v>
                </c:pt>
                <c:pt idx="2">
                  <c:v>21.5</c:v>
                </c:pt>
                <c:pt idx="3">
                  <c:v>22.3</c:v>
                </c:pt>
                <c:pt idx="4">
                  <c:v>19.3</c:v>
                </c:pt>
                <c:pt idx="5">
                  <c:v>22</c:v>
                </c:pt>
                <c:pt idx="6">
                  <c:v>22.1</c:v>
                </c:pt>
                <c:pt idx="7">
                  <c:v>23.2</c:v>
                </c:pt>
                <c:pt idx="8">
                  <c:v>23.7</c:v>
                </c:pt>
                <c:pt idx="9">
                  <c:v>19.9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12.9</c:v>
                </c:pt>
                <c:pt idx="1">
                  <c:v>9.8</c:v>
                </c:pt>
                <c:pt idx="2">
                  <c:v>14.7</c:v>
                </c:pt>
                <c:pt idx="3">
                  <c:v>16.2</c:v>
                </c:pt>
                <c:pt idx="4">
                  <c:v>13.4</c:v>
                </c:pt>
                <c:pt idx="5">
                  <c:v>15.6</c:v>
                </c:pt>
                <c:pt idx="6">
                  <c:v>10.5</c:v>
                </c:pt>
                <c:pt idx="7">
                  <c:v>16.1</c:v>
                </c:pt>
                <c:pt idx="8">
                  <c:v>17.1</c:v>
                </c:pt>
                <c:pt idx="9">
                  <c:v>14.2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c:v>
                </c:pt>
                <c:pt idx="1">
                  <c:v>12.7</c:v>
                </c:pt>
                <c:pt idx="2">
                  <c:v>7.3</c:v>
                </c:pt>
                <c:pt idx="3">
                  <c:v>6.5</c:v>
                </c:pt>
                <c:pt idx="4">
                  <c:v>7.1</c:v>
                </c:pt>
                <c:pt idx="5">
                  <c:v>0.8</c:v>
                </c:pt>
                <c:pt idx="6">
                  <c:v>4.3</c:v>
                </c:pt>
                <c:pt idx="7">
                  <c:v>-4.3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c:v>
                </c:pt>
                <c:pt idx="1">
                  <c:v>3</c:v>
                </c:pt>
                <c:pt idx="2">
                  <c:v>4</c:v>
                </c:pt>
                <c:pt idx="3">
                  <c:v>4</c:v>
                </c:pt>
                <c:pt idx="4">
                  <c:v>5</c:v>
                </c:pt>
                <c:pt idx="5">
                  <c:v>4</c:v>
                </c:pt>
                <c:pt idx="6">
                  <c:v>6</c:v>
                </c:pt>
                <c:pt idx="7">
                  <c:v>5</c:v>
                </c:pt>
                <c:pt idx="8">
                  <c:v>4</c:v>
                </c:pt>
                <c:pt idx="9">
                  <c:v>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95</c:v>
                </c:pt>
                <c:pt idx="1">
                  <c:v>96</c:v>
                </c:pt>
                <c:pt idx="2">
                  <c:v>100</c:v>
                </c:pt>
                <c:pt idx="3">
                  <c:v>108</c:v>
                </c:pt>
                <c:pt idx="4">
                  <c:v>122</c:v>
                </c:pt>
                <c:pt idx="5">
                  <c:v>133</c:v>
                </c:pt>
                <c:pt idx="6">
                  <c:v>146</c:v>
                </c:pt>
                <c:pt idx="7">
                  <c:v>120</c:v>
                </c:pt>
                <c:pt idx="8">
                  <c:v>122</c:v>
                </c:pt>
                <c:pt idx="9">
                  <c:v>129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8</c:v>
                </c:pt>
                <c:pt idx="1">
                  <c:v>7</c:v>
                </c:pt>
                <c:pt idx="2">
                  <c:v>24</c:v>
                </c:pt>
                <c:pt idx="3">
                  <c:v>17</c:v>
                </c:pt>
                <c:pt idx="4">
                  <c:v>32</c:v>
                </c:pt>
                <c:pt idx="5">
                  <c:v>40</c:v>
                </c:pt>
                <c:pt idx="6">
                  <c:v>17</c:v>
                </c:pt>
                <c:pt idx="7">
                  <c:v>32</c:v>
                </c:pt>
                <c:pt idx="8">
                  <c:v>23</c:v>
                </c:pt>
                <c:pt idx="9">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236.89999999999998</c:v>
                </c:pt>
                <c:pt idx="1">
                  <c:v>331.4</c:v>
                </c:pt>
                <c:pt idx="2">
                  <c:v>517</c:v>
                </c:pt>
                <c:pt idx="3">
                  <c:v>386.29999999999995</c:v>
                </c:pt>
                <c:pt idx="4">
                  <c:v>574.0999999999999</c:v>
                </c:pt>
                <c:pt idx="5">
                  <c:v>994.5999999999999</c:v>
                </c:pt>
                <c:pt idx="6">
                  <c:v>327.79999999999995</c:v>
                </c:pt>
                <c:pt idx="7">
                  <c:v>1644.2999999999997</c:v>
                </c:pt>
                <c:pt idx="8">
                  <c:v>1583.4999999999998</c:v>
                </c:pt>
                <c:pt idx="9">
                  <c:v>921.7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303.4</c:v>
                </c:pt>
                <c:pt idx="1">
                  <c:v>258.7</c:v>
                </c:pt>
                <c:pt idx="2">
                  <c:v>483.8</c:v>
                </c:pt>
                <c:pt idx="3">
                  <c:v>645.6</c:v>
                </c:pt>
                <c:pt idx="4">
                  <c:v>588.9</c:v>
                </c:pt>
                <c:pt idx="5">
                  <c:v>975.3</c:v>
                </c:pt>
                <c:pt idx="6">
                  <c:v>854.8</c:v>
                </c:pt>
                <c:pt idx="7">
                  <c:v>1550.2</c:v>
                </c:pt>
                <c:pt idx="8">
                  <c:v>1814.6</c:v>
                </c:pt>
                <c:pt idx="9">
                  <c:v>1579.2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48.4</c:v>
                </c:pt>
                <c:pt idx="1">
                  <c:v>48.2</c:v>
                </c:pt>
                <c:pt idx="2">
                  <c:v>81.5</c:v>
                </c:pt>
                <c:pt idx="3">
                  <c:v>89.9</c:v>
                </c:pt>
                <c:pt idx="4">
                  <c:v>53.9</c:v>
                </c:pt>
                <c:pt idx="5">
                  <c:v>69.6</c:v>
                </c:pt>
                <c:pt idx="6">
                  <c:v>66.1</c:v>
                </c:pt>
                <c:pt idx="7">
                  <c:v>79.8</c:v>
                </c:pt>
                <c:pt idx="8">
                  <c:v>81.6</c:v>
                </c:pt>
                <c:pt idx="9">
                  <c:v>56.8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c:v>
                </c:pt>
                <c:pt idx="1">
                  <c:v>11</c:v>
                </c:pt>
                <c:pt idx="2">
                  <c:v>11</c:v>
                </c:pt>
                <c:pt idx="3">
                  <c:v>11</c:v>
                </c:pt>
                <c:pt idx="4">
                  <c:v>11</c:v>
                </c:pt>
                <c:pt idx="5">
                  <c:v>11</c:v>
                </c:pt>
                <c:pt idx="6">
                  <c:v>11</c:v>
                </c:pt>
                <c:pt idx="7">
                  <c:v>11</c:v>
                </c:pt>
                <c:pt idx="8">
                  <c:v>11</c:v>
                </c:pt>
                <c:pt idx="9">
                  <c:v>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22.3</c:v>
                </c:pt>
                <c:pt idx="1">
                  <c:v>17.5</c:v>
                </c:pt>
                <c:pt idx="2">
                  <c:v>31.8</c:v>
                </c:pt>
                <c:pt idx="3">
                  <c:v>38</c:v>
                </c:pt>
                <c:pt idx="4">
                  <c:v>26.1</c:v>
                </c:pt>
                <c:pt idx="5">
                  <c:v>36.8</c:v>
                </c:pt>
                <c:pt idx="6">
                  <c:v>29</c:v>
                </c:pt>
                <c:pt idx="7">
                  <c:v>42</c:v>
                </c:pt>
                <c:pt idx="8">
                  <c:v>42.4</c:v>
                </c:pt>
                <c:pt idx="9">
                  <c:v>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-1.44</c:v>
                </c:pt>
                <c:pt idx="1">
                  <c:v>-1.64</c:v>
                </c:pt>
                <c:pt idx="2">
                  <c:v>-1.06</c:v>
                </c:pt>
                <c:pt idx="3">
                  <c:v>-1.04</c:v>
                </c:pt>
                <c:pt idx="4">
                  <c:v>-1.11</c:v>
                </c:pt>
                <c:pt idx="5">
                  <c:v>-0.79</c:v>
                </c:pt>
                <c:pt idx="6">
                  <c:v>-0.56</c:v>
                </c:pt>
                <c:pt idx="7">
                  <c:v>-0.86</c:v>
                </c:pt>
                <c:pt idx="8">
                  <c:v>-0.67</c:v>
                </c:pt>
                <c:pt idx="9">
                  <c:v>-0.67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452.6</c:v>
                </c:pt>
                <c:pt idx="5">
                  <c:v>0</c:v>
                </c:pt>
                <c:pt idx="6">
                  <c:v>0</c:v>
                </c:pt>
                <c:pt idx="7">
                  <c:v>0</c:v>
                </c:pt>
                <c:pt idx="8">
                  <c:v>154.1</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29.3</c:v>
                </c:pt>
                <c:pt idx="1">
                  <c:v>100.3</c:v>
                </c:pt>
                <c:pt idx="2">
                  <c:v>598.3</c:v>
                </c:pt>
                <c:pt idx="3">
                  <c:v>173.4</c:v>
                </c:pt>
                <c:pt idx="4">
                  <c:v>63.7</c:v>
                </c:pt>
                <c:pt idx="5">
                  <c:v>812.6</c:v>
                </c:pt>
                <c:pt idx="6">
                  <c:v>444</c:v>
                </c:pt>
                <c:pt idx="7">
                  <c:v>558.7</c:v>
                </c:pt>
                <c:pt idx="8">
                  <c:v>1636.9</c:v>
                </c:pt>
                <c:pt idx="9">
                  <c:v>1178.3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1</c:v>
                </c:pt>
                <c:pt idx="1">
                  <c:v>1</c:v>
                </c:pt>
                <c:pt idx="2">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Dennis J. «Chip» Wilson (fundador) y sociedades vinculadas</c:v>
                </c:pt>
                <c:pt idx="1">
                  <c:v>BlackRock, Inc.</c:v>
                </c:pt>
                <c:pt idx="2">
                  <c:v>Vanguard Capital Management</c:v>
                </c:pt>
                <c:pt idx="3">
                  <c:v>G1 Execution Services (Susquehanna)</c:v>
                </c:pt>
                <c:pt idx="4">
                  <c:v>FMR LLC (Fidelity)</c:v>
                </c:pt>
                <c:pt idx="5">
                  <c:v>Consejeros y directivos (16 personas)</c:v>
                </c:pt>
                <c:pt idx="6">
                  <c:v>Autocartera</c:v>
                </c:pt>
              </c:strCache>
            </c:strRef>
          </c:cat>
          <c:val>
            <c:numRef>
              <c:f>Hoja1!$B$2:$B$8</c:f>
              <c:numCache>
                <c:formatCode>0.0"%"</c:formatCode>
                <c:ptCount val="7"/>
                <c:pt idx="0">
                  <c:v>8.6</c:v>
                </c:pt>
                <c:pt idx="1">
                  <c:v>8</c:v>
                </c:pt>
                <c:pt idx="2">
                  <c:v>7.22</c:v>
                </c:pt>
                <c:pt idx="3">
                  <c:v>5.7</c:v>
                </c:pt>
                <c:pt idx="4">
                  <c:v>3.6</c:v>
                </c:pt>
                <c:pt idx="5">
                  <c:v>0.22</c:v>
                </c:pt>
                <c:pt idx="6">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23.9</c:v>
                </c:pt>
                <c:pt idx="1">
                  <c:v>20.9</c:v>
                </c:pt>
                <c:pt idx="2">
                  <c:v>54.7</c:v>
                </c:pt>
                <c:pt idx="3">
                  <c:v>90.5</c:v>
                </c:pt>
                <c:pt idx="4">
                  <c:v>50.2</c:v>
                </c:pt>
                <c:pt idx="5">
                  <c:v>12.5</c:v>
                </c:pt>
                <c:pt idx="6">
                  <c:v>-18.2</c:v>
                </c:pt>
                <c:pt idx="7">
                  <c:v>59.6</c:v>
                </c:pt>
                <c:pt idx="8">
                  <c:v>-25.2</c:v>
                </c:pt>
                <c:pt idx="9">
                  <c:v>-45.7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16.6</c:v>
                </c:pt>
                <c:pt idx="1">
                  <c:v>16.2</c:v>
                </c:pt>
                <c:pt idx="2">
                  <c:v>22.6</c:v>
                </c:pt>
                <c:pt idx="3">
                  <c:v>28.8</c:v>
                </c:pt>
                <c:pt idx="4">
                  <c:v>40.4</c:v>
                </c:pt>
                <c:pt idx="5">
                  <c:v>25</c:v>
                </c:pt>
                <c:pt idx="6">
                  <c:v>18.6</c:v>
                </c:pt>
                <c:pt idx="7">
                  <c:v>22.4</c:v>
                </c:pt>
                <c:pt idx="8">
                  <c:v>16.7</c:v>
                </c:pt>
                <c:pt idx="9">
                  <c:v>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20.5</c:v>
                </c:pt>
                <c:pt idx="1">
                  <c:v>20.5</c:v>
                </c:pt>
                <c:pt idx="2">
                  <c:v>20.5</c:v>
                </c:pt>
                <c:pt idx="3">
                  <c:v>20.5</c:v>
                </c:pt>
                <c:pt idx="4">
                  <c:v>20.5</c:v>
                </c:pt>
                <c:pt idx="5">
                  <c:v>20.5</c:v>
                </c:pt>
                <c:pt idx="6">
                  <c:v>20.5</c:v>
                </c:pt>
                <c:pt idx="7">
                  <c:v>20.5</c:v>
                </c:pt>
                <c:pt idx="8">
                  <c:v>20.5</c:v>
                </c:pt>
                <c:pt idx="9">
                  <c:v>20.5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Lululemon</c:v>
                </c:pt>
                <c:pt idx="1">
                  <c:v>Nike</c:v>
                </c:pt>
                <c:pt idx="2">
                  <c:v>adidas</c:v>
                </c:pt>
                <c:pt idx="3">
                  <c:v>Amer Sports</c:v>
                </c:pt>
                <c:pt idx="4">
                  <c:v>On Holding</c:v>
                </c:pt>
                <c:pt idx="5">
                  <c:v>Deckers</c:v>
                </c:pt>
                <c:pt idx="6">
                  <c:v>Under Armour</c:v>
                </c:pt>
                <c:pt idx="7">
                  <c:v>Columbia Sportswear</c:v>
                </c:pt>
              </c:strCache>
            </c:strRef>
          </c:cat>
          <c:val>
            <c:numRef>
              <c:f>Hoja1!$B$2:$B$9</c:f>
              <c:numCache>
                <c:formatCode>0.0"x"</c:formatCode>
                <c:ptCount val="8"/>
                <c:pt idx="0">
                  <c:v>4.7</c:v>
                </c:pt>
                <c:pt idx="1">
                  <c:v>15.5</c:v>
                </c:pt>
                <c:pt idx="2">
                  <c:v>7.4</c:v>
                </c:pt>
                <c:pt idx="3">
                  <c:v>9.5</c:v>
                </c:pt>
                <c:pt idx="4">
                  <c:v>10</c:v>
                </c:pt>
                <c:pt idx="5">
                  <c:v>6.5</c:v>
                </c:pt>
                <c:pt idx="6">
                  <c:v>11.2</c:v>
                </c:pt>
                <c:pt idx="7">
                  <c:v>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Lululemon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-5.5</c:v>
                </c:pt>
              </c:numCache>
            </c:numRef>
          </c:xVal>
          <c:yVal>
            <c:numRef>
              <c:f>Hoja1!$C$2</c:f>
              <c:numCache>
                <c:formatCode>0.0"x"</c:formatCode>
                <c:ptCount val="1"/>
                <c:pt idx="0">
                  <c:v>4.7</c:v>
                </c:pt>
              </c:numCache>
            </c:numRef>
          </c:yVal>
          <c:smooth val="0"/>
        </c:ser>
        <c:ser>
          <c:idx val="1"/>
          <c:order val="1"/>
          <c:tx>
            <c:strRef>
              <c:f>Hoja1!$A$3</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-4.3</c:v>
                </c:pt>
              </c:numCache>
            </c:numRef>
          </c:xVal>
          <c:yVal>
            <c:numRef>
              <c:f>Hoja1!$C$3</c:f>
              <c:numCache>
                <c:formatCode>0.0"x"</c:formatCode>
                <c:ptCount val="1"/>
                <c:pt idx="0">
                  <c:v>15.5</c:v>
                </c:pt>
              </c:numCache>
            </c:numRef>
          </c:yVal>
          <c:smooth val="0"/>
        </c:ser>
        <c:ser>
          <c:idx val="2"/>
          <c:order val="2"/>
          <c:tx>
            <c:strRef>
              <c:f>Hoja1!$A$4</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7.5</c:v>
                </c:pt>
              </c:numCache>
            </c:numRef>
          </c:xVal>
          <c:yVal>
            <c:numRef>
              <c:f>Hoja1!$C$4</c:f>
              <c:numCache>
                <c:formatCode>0.0"x"</c:formatCode>
                <c:ptCount val="1"/>
                <c:pt idx="0">
                  <c:v>7.4</c:v>
                </c:pt>
              </c:numCache>
            </c:numRef>
          </c:yVal>
          <c:smooth val="0"/>
        </c:ser>
        <c:ser>
          <c:idx val="3"/>
          <c:order val="3"/>
          <c:tx>
            <c:strRef>
              <c:f>Hoja1!$A$5</c:f>
              <c:strCache>
                <c:ptCount val="1"/>
                <c:pt idx="0">
                  <c:v>Amer Sports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17.2</c:v>
                </c:pt>
              </c:numCache>
            </c:numRef>
          </c:xVal>
          <c:yVal>
            <c:numRef>
              <c:f>Hoja1!$C$5</c:f>
              <c:numCache>
                <c:formatCode>0.0"x"</c:formatCode>
                <c:ptCount val="1"/>
                <c:pt idx="0">
                  <c:v>9.5</c:v>
                </c:pt>
              </c:numCache>
            </c:numRef>
          </c:yVal>
          <c:smooth val="0"/>
        </c:ser>
        <c:ser>
          <c:idx val="4"/>
          <c:order val="4"/>
          <c:tx>
            <c:strRef>
              <c:f>Hoja1!$A$6</c:f>
              <c:strCache>
                <c:ptCount val="1"/>
                <c:pt idx="0">
                  <c:v>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18.4</c:v>
                </c:pt>
              </c:numCache>
            </c:numRef>
          </c:xVal>
          <c:yVal>
            <c:numRef>
              <c:f>Hoja1!$C$6</c:f>
              <c:numCache>
                <c:formatCode>0.0"x"</c:formatCode>
                <c:ptCount val="1"/>
                <c:pt idx="0">
                  <c:v>10</c:v>
                </c:pt>
              </c:numCache>
            </c:numRef>
          </c:yVal>
          <c:smooth val="0"/>
        </c:ser>
        <c:ser>
          <c:idx val="5"/>
          <c:order val="5"/>
          <c:tx>
            <c:strRef>
              <c:f>Hoja1!$A$7</c:f>
              <c:strCache>
                <c:ptCount val="1"/>
                <c:pt idx="0">
                  <c:v>Deckers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7.3</c:v>
                </c:pt>
              </c:numCache>
            </c:numRef>
          </c:xVal>
          <c:yVal>
            <c:numRef>
              <c:f>Hoja1!$C$7</c:f>
              <c:numCache>
                <c:formatCode>0.0"x"</c:formatCode>
                <c:ptCount val="1"/>
                <c:pt idx="0">
                  <c:v>6.5</c:v>
                </c:pt>
              </c:numCache>
            </c:numRef>
          </c:yVal>
          <c:smooth val="0"/>
        </c:ser>
        <c:ser>
          <c:idx val="6"/>
          <c:order val="6"/>
          <c:tx>
            <c:strRef>
              <c:f>Hoja1!$A$8</c:f>
              <c:strCache>
                <c:ptCount val="1"/>
                <c:pt idx="0">
                  <c:v>Under Armour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c:v>
                </c:pt>
              </c:numCache>
            </c:numRef>
          </c:xVal>
          <c:yVal>
            <c:numRef>
              <c:f>Hoja1!$C$8</c:f>
              <c:numCache>
                <c:formatCode>0.0"x"</c:formatCode>
                <c:ptCount val="1"/>
                <c:pt idx="0">
                  <c:v>11.2</c:v>
                </c:pt>
              </c:numCache>
            </c:numRef>
          </c:yVal>
          <c:smooth val="0"/>
        </c:ser>
        <c:ser>
          <c:idx val="7"/>
          <c:order val="7"/>
          <c:tx>
            <c:strRef>
              <c:f>Hoja1!$A$9</c:f>
              <c:strCache>
                <c:ptCount val="1"/>
                <c:pt idx="0">
                  <c:v>Columbia Sportswear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2.8</c:v>
                </c:pt>
              </c:numCache>
            </c:numRef>
          </c:xVal>
          <c:yVal>
            <c:numRef>
              <c:f>Hoja1!$C$9</c:f>
              <c:numCache>
                <c:formatCode>0.0"x"</c:formatCode>
                <c:ptCount val="1"/>
                <c:pt idx="0">
                  <c:v>5.8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Hanesbrands</c:v>
                </c:pt>
                <c:pt idx="1">
                  <c:v>Skechers USA</c:v>
                </c:pt>
                <c:pt idx="2">
                  <c:v>Foot Locker</c:v>
                </c:pt>
                <c:pt idx="3">
                  <c:v>Supreme</c:v>
                </c:pt>
                <c:pt idx="4">
                  <c:v>Supreme</c:v>
                </c:pt>
              </c:strCache>
            </c:strRef>
          </c:cat>
          <c:val>
            <c:numRef>
              <c:f>Hoja1!$B$2:$B$6</c:f>
              <c:numCache>
                <c:formatCode>0.0"x"</c:formatCode>
                <c:ptCount val="5"/>
                <c:pt idx="0">
                  <c:v>8.9</c:v>
                </c:pt>
                <c:pt idx="1">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998</c:v>
                </c:pt>
                <c:pt idx="1">
                  <c:v>933</c:v>
                </c:pt>
                <c:pt idx="2">
                  <c:v>972</c:v>
                </c:pt>
                <c:pt idx="3">
                  <c:v>1029</c:v>
                </c:pt>
                <c:pt idx="4">
                  <c:v>1057</c:v>
                </c:pt>
                <c:pt idx="5">
                  <c:v>1152</c:v>
                </c:pt>
                <c:pt idx="6">
                  <c:v>1207</c:v>
                </c:pt>
                <c:pt idx="7">
                  <c:v>1269</c:v>
                </c:pt>
                <c:pt idx="8">
                  <c:v>1323</c:v>
                </c:pt>
                <c:pt idx="9">
                  <c:v>1371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6565</c:v>
                </c:pt>
                <c:pt idx="1">
                  <c:v>6731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93,61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74.76</c:v>
                </c:pt>
                <c:pt idx="1">
                  <c:v>131.55</c:v>
                </c:pt>
                <c:pt idx="2">
                  <c:v>178.66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93,61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Hoja1!$B$2:$B$9</c:f>
              <c:numCache>
                <c:formatCode>#,##0</c:formatCode>
                <c:ptCount val="8"/>
                <c:pt idx="0">
                  <c:v>91.28</c:v>
                </c:pt>
                <c:pt idx="1">
                  <c:v>44</c:v>
                </c:pt>
                <c:pt idx="2">
                  <c:v>131.67</c:v>
                </c:pt>
                <c:pt idx="3">
                  <c:v>118.65</c:v>
                </c:pt>
                <c:pt idx="4">
                  <c:v>121.18</c:v>
                </c:pt>
                <c:pt idx="5">
                  <c:v>74.76</c:v>
                </c:pt>
                <c:pt idx="6">
                  <c:v>137.94</c:v>
                </c:pt>
                <c:pt idx="7">
                  <c:v>93.14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Hoja1!$C$2:$C$9</c:f>
              <c:numCache>
                <c:formatCode>#,##0</c:formatCode>
                <c:ptCount val="8"/>
                <c:pt idx="0">
                  <c:v>134.7</c:v>
                </c:pt>
                <c:pt idx="1">
                  <c:v>211</c:v>
                </c:pt>
                <c:pt idx="2">
                  <c:v>63.130000000000024</c:v>
                </c:pt>
                <c:pt idx="3">
                  <c:v>77.44999999999999</c:v>
                </c:pt>
                <c:pt idx="4">
                  <c:v>23.599999999999994</c:v>
                </c:pt>
                <c:pt idx="5">
                  <c:v>103.89999999999999</c:v>
                </c:pt>
                <c:pt idx="6">
                  <c:v>19.25999999999999</c:v>
                </c:pt>
                <c:pt idx="7">
                  <c:v>0.9399999999999977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