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Teleperformance SE (TP)</w:t>
      </w:r>
    </w:p>
    <w:p>
      <w:pPr>
        <w:spacing w:after="60"/>
        <w:rPr>
          <w:color w:val="52514E"/>
          <w:sz w:val="22"/>
          <w:szCs w:val="22"/>
        </w:rPr>
      </w:pPr>
      <w:r>
        <w:rPr>
          <w:color w:val="52514E"/>
          <w:sz w:val="22"/>
          <w:szCs w:val="22"/>
        </w:rPr>
        <w:t xml:space="preserve">TEP · Euronext París · ISIN FR0000051807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74,62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79,20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+12,2 % (base +17,2 %)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128,42 EUR · mercado 151,54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4.358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Teleperformance SE (TP)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TEP / FR0000051807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Mid 60 / SBF 120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74,62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43,65 – 78,14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4.358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8.378 M EUR</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79,20 EUR</w:t>
      </w:r>
      <w:r>
        <w:t xml:space="preserve"> frente a 74,62 · Rentabilidad a 12 meses </w:t>
      </w:r>
      <w:r>
        <w:rPr>
          <w:b/>
          <w:bCs/>
        </w:rPr>
        <w:t xml:space="preserve">+12,2 % (base +17,2 %)</w:t>
      </w:r>
      <w:r>
        <w:t xml:space="preserve"> · Valor intrínseco 128,42 EUR · con la prima implícita del mercado: 151,54 (+103,1 %) · Alcista / bajista +145,2 % / -39,3 %</w:t>
      </w:r>
    </w:p>
    <w:p>
      <w:pPr>
        <w:spacing w:after="100"/>
      </w:pPr>
      <w:r>
        <w:rPr>
          <w:b/>
        </w:rPr>
        <w:t xml:space="preserve">La recomendación y por qué.</w:t>
      </w:r>
      <w:r>
        <w:t xml:space="preserve"> Mantener con convicción media. El objetivo a 12 meses es de 79,20 EUR (nuestro BPA de 2028e por el PER de la regla común, ponderado 30/50/20), una rentabilidad del +12,2 % con el dividendo del 6,0 %, y la del caso base es del +17,2 %; el objetivo medio de los analistas (75,33 EUR) queda dentro de nuestro rango. El valor intrínseco es de 128,42 EUR (+72,1 %), pero el mercado no cerrará esa distancia en un año: descuenta un declive estructural por la IA y solo varios trimestres de volúmenes estables lo cambiarán. La ponderada no llega al 15 % porque el bajista (47,06 EUR, −30,9 %) pesa un 30 %. La convicción es media porque las dos reglas coinciden y la cifra está lejos de los umbrales; subiría si el crecimiento comparable del 3T26 vuelve a terreno positivo y bajaría si cae por debajo del −3 %.</w:t>
      </w:r>
    </w:p>
    <w:p>
      <w:pPr>
        <w:spacing w:after="100"/>
      </w:pPr>
      <w:r>
        <w:rPr>
          <w:b/>
        </w:rPr>
        <w:t xml:space="preserve">El negocio.</w:t>
      </w:r>
      <w:r>
        <w:t xml:space="preserve"> TP es uno de los dos mayores grupos mundiales de externalización de la atención al cliente (10.209 M EUR de ventas en 2025) y una máquina de caja: 901 M de cash flow neto disponible en 2025 y una guía de 800-850 M para 2026 [1, 9], frente a una capitalización de 4.358 M. Pero el foso es estrecho y se estrecha: los ingresos comparables pasaron de +1,5 % a −1,7 % en un año y el ROIC (8,9 % con nuestro cálculo, 1,5 puntos sobre el WACC del 7,37 %) se diluyó con Majorel. La sostenibilidad del crecimiento es «En parte»: el 0,8 % anual que proyectamos casi no necesita capital, pero el volumen depende de cuánto sustituya la IA, y ese riesgo va al bajista.</w:t>
      </w:r>
    </w:p>
    <w:p>
      <w:pPr>
        <w:spacing w:after="100"/>
      </w:pPr>
      <w:r>
        <w:rPr>
          <w:b/>
        </w:rPr>
        <w:t xml:space="preserve">Finanzas.</w:t>
      </w:r>
      <w:r>
        <w:t xml:space="preserve"> El EBIT publicado está estancado en ≈1.000-1.080 M desde 2022 pese a sumar Majorel, y el BPA publicado bajó de 10,77 EUR en 2022 a 8,40 en 2025 [4]. La deuda neta con arrendamientos ronda los 4.000 M (2,5 veces el EBITDA), estable, y la reestructuración se repite cada año (120-140 M en 2026) [1].</w:t>
      </w:r>
    </w:p>
    <w:p>
      <w:pPr>
        <w:spacing w:after="100"/>
      </w:pPr>
      <w:r>
        <w:rPr>
          <w:b/>
        </w:rPr>
        <w:t xml:space="preserve">Equipo y gobierno.</w:t>
      </w:r>
      <w:r>
        <w:t xml:space="preserve"> Cúpula nueva en 2026 (Jorge Amar como consejero delegado y nuevo presidente) [9, 27] y un historial de guía flojo: dos recortes en 2025. Resta convicción hasta que el nuevo equipo cumpla.</w:t>
      </w:r>
    </w:p>
    <w:p>
      <w:pPr>
        <w:spacing w:after="100"/>
      </w:pPr>
      <w:r>
        <w:rPr>
          <w:b/>
        </w:rPr>
        <w:t xml:space="preserve">Valoración.</w:t>
      </w:r>
      <w:r>
        <w:t xml:space="preserve"> El DCF da 149,01 EUR con un WACC del 7,37 %; el DCF inverso dice que a 74,62 EUR el mercado descuenta una caída de ingresos del 4,9 % anual hasta 2035, o un margen EBITDA del 13 % frente a nuestro 17 %. Los comparables (mediana de 7,9 veces beneficios; Concentrix a 2 veces) dicen que todo el sector cotiza como si fuera a encogerse. A 12 meses, la regla común da un PER de 8,2x para el base (el actual) y nuestro BPA de 2028e es de 10,12 EUR, un 6 % por debajo del consenso por un gasto financiero mayor.</w:t>
      </w:r>
    </w:p>
    <w:p>
      <w:pPr>
        <w:spacing w:after="100"/>
      </w:pPr>
      <w:r>
        <w:rPr>
          <w:b/>
        </w:rPr>
        <w:t xml:space="preserve">Riesgos y catalizadores.</w:t>
      </w:r>
      <w:r>
        <w:t xml:space="preserve"> El riesgo dominante es la sustitución por agentes de IA (−39 % en el bajista del DCF); después, la pérdida de grandes clientes en las renovaciones y la divisa. El catalizador más cercano es la cifra de ventas del tercer trimestre (finales de octubre o principios de noviembre) y después los resultados anuales de febrero de 2027. Los foros están divididos entre la «máquina de caja» y el «coche de caballos», con posiciones cortas elevadas que amplifican cada dato.</w:t>
      </w:r>
    </w:p>
    <w:p>
      <w:pPr>
        <w:spacing w:after="100"/>
      </w:pPr>
      <w:r>
        <w:rPr>
          <w:b/>
        </w:rPr>
        <w:t xml:space="preserve">Qué cambiaría la decisión.</w:t>
      </w:r>
      <w:r>
        <w:t xml:space="preserve"> Compraríamos por debajo de 72,79 EUR (ponderada ≥ 15 %) y venderíamos o reduciríamos por encima de 93,00 EUR. Un comparable del 3T26 positivo o un cash flow de 2026 en la parte alta de la guía nos acercaría al alcista; un recorte del dividendo o un comparable por debajo del −3 % dos trimestres seguidos, al bajista.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intrínseco es a más de un año) · Objetivo a 12 meses: </w:t>
      </w:r>
      <w:r>
        <w:rPr>
          <w:b/>
          <w:bCs/>
        </w:rPr>
        <w:t xml:space="preserve">79,20 EUR</w:t>
      </w:r>
      <w:r>
        <w:t xml:space="preserve"> (rentabilidad +12,2 % (base +17,2 %)) · Valor intrínseco: 128,42 EUR (+72,1 % sobre 74,62) · con la prima implícita del mercado: 151,54 (+103,1 %)</w:t>
      </w:r>
    </w:p>
    <w:p>
      <w:pPr>
        <w:spacing w:after="100"/>
      </w:pPr>
      <w:r>
        <w:t xml:space="preserve">TP es uno de los dos mayores grupos mundiales de externalización de la atención al cliente, con 10.209 M EUR de ventas en 2025, un margen EBITA recurrente del 14,6 % y 901 M de cash flow neto disponible [9]. Su valor está en la escala, en la entrega desde países de bajo coste y en dos negocios especializados muy rentables (LanguageLine y TLScontact, margen del 33 % en el 1S26) [1].</w:t>
      </w:r>
    </w:p>
    <w:p>
      <w:pPr>
        <w:spacing w:after="100"/>
      </w:pPr>
      <w:r>
        <w:t xml:space="preserve">El precio, 74,62 EUR, descuenta un declive: el DCF inverso pide una caída de ingresos del 4,9 % al año hasta 2035 con nuestro margen, y el PER de los próximos 12 meses es de 7,7 veces, en línea con un sector que cotiza a múltiplos de liquidación (Concentrix a 2 veces) [21]. El dividendo de 4,50 EUR rinde un 6,0 %.</w:t>
      </w:r>
    </w:p>
    <w:p>
      <w:pPr>
        <w:spacing w:after="100"/>
      </w:pPr>
      <w:r>
        <w:t xml:space="preserve">El mercado acierta en la dirección (los ingresos comparables llevan un año en negativo) pero probablemente exagera la velocidad: el margen se mantiene, el cash flow sube y los ahorros de 150-170 M están en marcha [1, 2]. Para invertir hay que creer que la caída de volúmenes será lenta (menos de un 2-3 % al año) y que el dividendo se mantiene. A 12 meses eso da un +12,2 % ponderado: suficiente para mantener, no para comprar.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 × 6,36 = 47,06 · 8,2x × 10,12 = 82,98 · 10,6x × 11,13 = 117,98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 / 17,2 %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(18,7x) es 2,3 veces el PER de hoy (8,2x);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75,33 (nuestro base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145,2 % / -39,3 %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 frente a 7,4 % y 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72,79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72,79 y 93,00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93,00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72,79 EUR: la ponderada a 12 meses pasaría del 15 % (Comprar).</w:t>
      </w:r>
    </w:p>
    <w:p>
      <w:pPr>
        <w:pStyle w:val="ListParagraph"/>
        <w:numPr>
          <w:ilvl w:val="0"/>
          <w:numId w:val="2"/>
        </w:numPr>
        <w:spacing w:after="60"/>
      </w:pPr>
      <w:r>
        <w:t xml:space="preserve">Precio por encima de 93,00 EUR: Vender o reducir.</w:t>
      </w:r>
    </w:p>
    <w:p>
      <w:pPr>
        <w:pStyle w:val="ListParagraph"/>
        <w:numPr>
          <w:ilvl w:val="0"/>
          <w:numId w:val="2"/>
        </w:numPr>
        <w:spacing w:after="60"/>
      </w:pPr>
      <w:r>
        <w:t xml:space="preserve">Crecimiento comparable del 3T26 por encima de 0 %: subiríamos el peso del alcista.</w:t>
      </w:r>
    </w:p>
    <w:p>
      <w:pPr>
        <w:pStyle w:val="ListParagraph"/>
        <w:numPr>
          <w:ilvl w:val="0"/>
          <w:numId w:val="2"/>
        </w:numPr>
        <w:spacing w:after="60"/>
      </w:pPr>
      <w:r>
        <w:t xml:space="preserve">Crecimiento comparable por debajo del −3 % dos trimestres seguidos o recorte del dividendo: pasaríamos el bajista al 40 % y la recomendación podría bajar.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caída de los ingresos del 4,9 % al año durante nueve años, o un margen EBITDA que baja del 17 % al 13 %: que la IA vacía el negocio de Core Services y que TP es un activo en liquidación ordenada.</w:t>
      </w:r>
    </w:p>
    <w:p>
      <w:pPr>
        <w:keepNext/>
        <w:spacing w:after="100"/>
      </w:pPr>
      <w:r>
        <w:rPr>
          <w:b/>
          <w:bCs/>
        </w:rPr>
        <w:t xml:space="preserve">Lo que creemos nosotros.</w:t>
      </w:r>
    </w:p>
    <w:p>
      <w:pPr>
        <w:spacing w:after="100"/>
      </w:pPr>
      <w:r>
        <w:t xml:space="preserve">Volúmenes planos en 2026-27 y un crecimiento del 1-2 % con precio y servicios especializados; el margen vuelve al 17,5 % con el programa de eficiencia. Pero damos un 30 % a que el mercado tenga razón (bajista con −4 puntos de crecimiento al año).</w:t>
      </w:r>
    </w:p>
    <w:p>
      <w:pPr>
        <w:keepNext/>
        <w:spacing w:after="100"/>
      </w:pPr>
      <w:r>
        <w:rPr>
          <w:b/>
          <w:bCs/>
        </w:rPr>
        <w:t xml:space="preserve">Por qué podemos tener razón.</w:t>
      </w:r>
    </w:p>
    <w:p>
      <w:pPr>
        <w:spacing w:after="100"/>
      </w:pPr>
      <w:r>
        <w:t xml:space="preserve">Los datos del semestre no muestran un desplome: la caída comparable se moderó del −2,2 % al −1,2 % entre el primer y el segundo trimestre, el margen EBITA se mantuvo en el 13,6 % y el cash flow neto subió un 7 % [1, 2]. Si la sustitución fuera tan rápida como descuenta el precio, ya se vería en los volúmenes.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Máquina de caja</w:t>
      </w:r>
      <w:r>
        <w:t xml:space="preserve">: 901 M de cash flow neto disponible en 2025 y guía de 800-850 M en 2026, un 18-19 % de la capitalización [1, 9].</w:t>
      </w:r>
    </w:p>
    <w:p>
      <w:pPr>
        <w:pStyle w:val="ListParagraph"/>
        <w:numPr>
          <w:ilvl w:val="0"/>
          <w:numId w:val="2"/>
        </w:numPr>
        <w:spacing w:after="60"/>
      </w:pPr>
      <w:r>
        <w:rPr>
          <w:b/>
        </w:rPr>
        <w:t xml:space="preserve">Dividendo del 6,0 %</w:t>
      </w:r>
      <w:r>
        <w:t xml:space="preserve"> (4,50 EUR, aprobado en mayo de 2026) cubierto con holgura por la caja [7].</w:t>
      </w:r>
    </w:p>
    <w:p>
      <w:pPr>
        <w:pStyle w:val="ListParagraph"/>
        <w:numPr>
          <w:ilvl w:val="0"/>
          <w:numId w:val="2"/>
        </w:numPr>
        <w:spacing w:after="60"/>
      </w:pPr>
      <w:r>
        <w:rPr>
          <w:b/>
        </w:rPr>
        <w:t xml:space="preserve">El precio descuenta un declive del 4,9 % anual</w:t>
      </w:r>
      <w:r>
        <w:t xml:space="preserve">: basta con que la caída sea más lenta para ganar.</w:t>
      </w:r>
    </w:p>
    <w:p>
      <w:pPr>
        <w:pStyle w:val="ListParagraph"/>
        <w:numPr>
          <w:ilvl w:val="0"/>
          <w:numId w:val="2"/>
        </w:numPr>
        <w:spacing w:after="60"/>
      </w:pPr>
      <w:r>
        <w:rPr>
          <w:b/>
        </w:rPr>
        <w:t xml:space="preserve">Programa de eficiencia de 150-170 M</w:t>
      </w:r>
      <w:r>
        <w:t xml:space="preserve"> de ahorro anual, la mitad en 2026 [1].</w:t>
      </w:r>
    </w:p>
    <w:p>
      <w:pPr>
        <w:pStyle w:val="ListParagraph"/>
        <w:numPr>
          <w:ilvl w:val="0"/>
          <w:numId w:val="2"/>
        </w:numPr>
        <w:spacing w:after="60"/>
      </w:pPr>
      <w:r>
        <w:rPr>
          <w:b/>
        </w:rPr>
        <w:t xml:space="preserve">Specialized Services</w:t>
      </w:r>
      <w:r>
        <w:t xml:space="preserve"> con margen EBITA del 33,0 % y TLScontact creciendo a doble dígito [1].</w:t>
      </w:r>
    </w:p>
    <w:p>
      <w:pPr>
        <w:pStyle w:val="Heading2"/>
      </w:pPr>
      <w:r>
        <w:t xml:space="preserve">En contra</w:t>
      </w:r>
    </w:p>
    <w:p>
      <w:pPr>
        <w:pStyle w:val="ListParagraph"/>
        <w:numPr>
          <w:ilvl w:val="0"/>
          <w:numId w:val="2"/>
        </w:numPr>
        <w:spacing w:after="60"/>
      </w:pPr>
      <w:r>
        <w:rPr>
          <w:b/>
        </w:rPr>
        <w:t xml:space="preserve">Ingresos comparables en negativo</w:t>
      </w:r>
      <w:r>
        <w:t xml:space="preserve">: −1,7 % en el 1S26 frente a +1,5 % un año antes [1].</w:t>
      </w:r>
    </w:p>
    <w:p>
      <w:pPr>
        <w:pStyle w:val="ListParagraph"/>
        <w:numPr>
          <w:ilvl w:val="0"/>
          <w:numId w:val="2"/>
        </w:numPr>
        <w:spacing w:after="60"/>
      </w:pPr>
      <w:r>
        <w:rPr>
          <w:b/>
        </w:rPr>
        <w:t xml:space="preserve">Riesgo de sustitución por la IA</w:t>
      </w:r>
      <w:r>
        <w:t xml:space="preserve"> sin precedente que permita medirlo; el bajista pierde un 39 %.</w:t>
      </w:r>
    </w:p>
    <w:p>
      <w:pPr>
        <w:pStyle w:val="ListParagraph"/>
        <w:numPr>
          <w:ilvl w:val="0"/>
          <w:numId w:val="2"/>
        </w:numPr>
        <w:spacing w:after="60"/>
      </w:pPr>
      <w:r>
        <w:rPr>
          <w:b/>
        </w:rPr>
        <w:t xml:space="preserve">ROIC del 8,9 %</w:t>
      </w:r>
      <w:r>
        <w:t xml:space="preserve">, apenas 1,5 puntos sobre el WACC tras la compra de Majorel.</w:t>
      </w:r>
    </w:p>
    <w:p>
      <w:pPr>
        <w:pStyle w:val="ListParagraph"/>
        <w:numPr>
          <w:ilvl w:val="0"/>
          <w:numId w:val="2"/>
        </w:numPr>
        <w:spacing w:after="60"/>
      </w:pPr>
      <w:r>
        <w:rPr>
          <w:b/>
        </w:rPr>
        <w:t xml:space="preserve">BPA publicado en descenso</w:t>
      </w:r>
      <w:r>
        <w:t xml:space="preserve">: de 10,77 EUR en 2022 a 8,40 en 2025 [4].</w:t>
      </w:r>
    </w:p>
    <w:p>
      <w:pPr>
        <w:pStyle w:val="ListParagraph"/>
        <w:numPr>
          <w:ilvl w:val="0"/>
          <w:numId w:val="2"/>
        </w:numPr>
        <w:spacing w:after="60"/>
      </w:pPr>
      <w:r>
        <w:rPr>
          <w:b/>
        </w:rPr>
        <w:t xml:space="preserve">Equipo nuevo y guía recortada dos veces en 2025</w:t>
      </w:r>
      <w:r>
        <w:t xml:space="preserve"> [9, 16].</w:t>
      </w:r>
    </w:p>
    <w:p>
      <w:pPr>
        <w:pStyle w:val="Heading2"/>
      </w:pPr>
      <w:r>
        <w:t xml:space="preserve">Qué tiene que pasar para que la tesis funcione</w:t>
      </w:r>
    </w:p>
    <w:p>
      <w:pPr>
        <w:spacing w:after="100"/>
      </w:pPr>
      <w:r>
        <w:t xml:space="preserve">La tesis depende de que la caída de volúmenes de Core Services sea lenta. La señal de que no se cumple sería un crecimiento comparable del grupo por debajo del −3 % en dos trimestres seguidos o un cash flow neto disponible de 2026 por debajo de 800 M, que pondría en riesgo el dividendo.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sustitución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(1S26); guía ≈14,6 %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14 %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los ahorros llegan al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neto disponible sin no recurrentes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 M (2025); guía 800-850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dividendo y la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con arrendamientos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Límite para mantener dividendo y grado de inversión.</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Teleperformance nació en París en 1978 como centro de telemarketing y creció durante cuatro décadas comprando operadores locales hasta convertirse en el primer grupo mundial de externalización de la relación con el cliente. Su gran apuesta de diversificación fue LanguageLine Solutions (interpretación en EE. UU., 2016), que hoy es el corazón de Specialized Services junto a TLScontact (visados). En noviembre de 2023 compró Majorel, el operador de Bertelsmann y Saham, en la mayor operación de su historia (≈2.400 M en caja) [6, 8]. Desde 2023 la acción vive bajo la sospecha de que la IA generativa reduzca el volumen de interacciones humanas. En 2025 adoptó la marca TP y en febrero de 2026 nombró consejero delegado a Jorge Amar, con el mandato de relanzar el grupo con la IA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París.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LanguageLine Solutions (interpretación,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por la moderación de contenidos y recompra de 150 M tras la caída en bolsa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Majorel (≈2.400 M en caja) y emisión de 1.400 M en bonos [6,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ZP (EE. UU.); dos recortes de la guía; nueva marca TP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Jorge Amar, consejero delegado desde marzo; Moulay Hafid Elalamy, presidente; recompra de 600 M de bonos de 2027-2028 [9, 15].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TP (Teleperformance) es el mayor grupo mundial de externalización de la relación con el cliente: atiende por teléfono, chat, correo y redes a los clientes de grandes marcas (tecnológicas, telecomunicaciones, banca, comercio electrónico, sanidad, sector público). Tras comprar Majorel (noviembre de 2023) y ZP (febrero de 2025) reporta dos actividades. </w:t>
      </w:r>
      <w:r>
        <w:rPr>
          <w:b/>
        </w:rPr>
        <w:t xml:space="preserve">Core Services</w:t>
      </w:r>
      <w:r>
        <w:t xml:space="preserve"> (servicios de experiencia de cliente, soporte técnico, back office, moderación de contenidos y servicios digitales con IA), que en el primer semestre de 2026 facturó 4.220 M EUR, el 86 % del grupo, repartidos entre América (1.984 M) y Europa, Oriente Medio, África y Asia-Pacífico (2.236 M) [1]. </w:t>
      </w:r>
      <w:r>
        <w:rPr>
          <w:b/>
        </w:rPr>
        <w:t xml:space="preserve">Specialized Services</w:t>
      </w:r>
      <w:r>
        <w:t xml:space="preserve"> (663 M, el 14 %): LanguageLine Solutions, interpretación telefónica y por vídeo en EE. UU., y TLScontact, gestión de solicitudes de visado para gobiernos [1].</w:t>
      </w:r>
    </w:p>
    <w:p>
      <w:pPr>
        <w:pStyle w:val="Heading2"/>
      </w:pPr>
      <w:r>
        <w:t xml:space="preserve">Cómo gana dinero</w:t>
      </w:r>
    </w:p>
    <w:p>
      <w:pPr>
        <w:spacing w:after="100"/>
      </w:pPr>
      <w:r>
        <w:t xml:space="preserve">El grueso de los ingresos se factura por hora, por minuto o por transacción atendida, con contratos marco de varios años y volúmenes que fija el cliente: los ingresos son recurrentes pero no garantizados, y dependen del volumen de interacciones. El margen depende del coste de personal (la mayoría de los empleados están en países de bajo coste como Filipinas, India, Colombia o Egipto), de la ocupación de los puestos y del tipo de cambio entre la divisa de facturación (USD, EUR) y la de los costes (peso colombiano, peso filipino). En el primer semestre de 2026 el margen EBITA recurrente fue del 13,6 % en el grupo, con Specialized Services al 33,0 % (+330 pb) y Core Services con unos 50 pb menos [1, 2]. La apreciación del peso colombiano y la inflación salarial pesaron en América [3].</w:t>
      </w:r>
    </w:p>
    <w:p>
      <w:pPr>
        <w:pStyle w:val="Heading2"/>
      </w:pPr>
      <w:r>
        <w:t xml:space="preserve">Clientes, recurrencia y poder de precios</w:t>
      </w:r>
    </w:p>
    <w:p>
      <w:pPr>
        <w:spacing w:after="100"/>
      </w:pPr>
      <w:r>
        <w:t xml:space="preserve">Los clientes son grandes empresas con contratos plurianuales; la empresa no publica en los documentos accesibles el peso de su primer cliente ni de los diez primeros. El poder de precios es limitado: en 2025 los ingresos comparables crecieron en torno al 1-2 % y en el primer semestre de 2026 cayeron un 1,7 %, con el segundo trimestre en −1,2 % tras −2,2 % en el primero [1, 2]. En Specialized Services la no renovación de un contrato importante de visados explica la caída (sin él, −1,7 % comparable), y TLScontact crece a doble dígito por volumen e ingreso por solicitante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en −1,2 % tras −2,2 % en 1T26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en torno al 14,6 %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 flow neto disponible sin no recurrentes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800-850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de Specialized Services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Sinergias internas de LanguageLine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Ahorros del programa de eficiencia (ritmo anual)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M (objetivo inicial)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150-170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Ampliado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mitad en 2026; costes de reestructuración de 120-140 M en 2026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Externalización de la experiencia de cliente (CX/BPO): atención al cliente, soporte técnico, ventas, back office y moderación de contenidos prestados por terceros a grandes empresas, sobre todo desde países de bajo coste. Es un mercado mundial, con EE. UU. y Europa como principales compradores. No se ha podido contrastar con dos fuentes el tamaño del mercado en este entorno.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con IA generativa (agentes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comparables de TP pasaron de +1,5 % en el 1S25 a −1,7 % en el 1S26, y la cotización del sector descuenta una caída de volúmenes: Concentrix cotiza a 2 veces su beneficio ajustado [1,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procesos cada vez más complejos (IA, datos, confianza y 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presentó más de 550 proyectos de IA con clientes en el 1T26 y presenta la IA como optimizador, no como sustituto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cambio de los países de entrega y de facturación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de −165 M en los ingresos del 1S26; la apreciación del peso colombiano encarece la entrega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discrecional de los clientes tecnológicos y de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debilidad de la actividad en EE. UU. frenó LanguageLine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 grupos mundiales (TP, Concentrix, Foundever) y muchos locales compiten por precio en contratos que se licitan cada pocos años.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grandes (tecnológicas, telecomunicaciones) que deciden el volumen y renegocian precios; ingresos comparables en negativo en 2026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la mano de obra: inflación salarial en Colombia y otros países de entrega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y cumplimiento normativo frenan la entrada, pero los proveedores de IA (plataformas de agentes) entran por arriba.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agentes de IA y el autoservicio sustituyen directamente las interacciones simples, que son el grueso del volumen de Core Services.</w:t>
            </w:r>
          </w:p>
        </w:tc>
      </w:tr>
    </w:tbl>
    <w:p>
      <w:pPr>
        <w:spacing w:after="160" w:before="0"/>
      </w:pPr>
    </w:p>
    <w:p>
      <w:pPr>
        <w:pStyle w:val="Heading2"/>
      </w:pPr>
      <w:r>
        <w:t xml:space="preserve">Ciclo</w:t>
      </w:r>
    </w:p>
    <w:p>
      <w:pPr>
        <w:spacing w:after="100"/>
      </w:pPr>
      <w:r>
        <w:t xml:space="preserve">Los volúmenes comparables de los grandes del sector caen en 2026 (TP −1,7 % en el semestre) por la combinación de clientes que automatizan y demanda débil en EE. UU. [1]. En 2020 el sector creció por la digitalización forzada; en 2022-2023 empezó a frenarse con la normalización tras la pandemia y el ajuste de las tecnológicas.</w:t>
      </w:r>
    </w:p>
    <w:p>
      <w:pPr>
        <w:pStyle w:val="Heading2"/>
      </w:pPr>
      <w:r>
        <w:t xml:space="preserve">Regulación</w:t>
      </w:r>
    </w:p>
    <w:p>
      <w:pPr>
        <w:spacing w:after="100"/>
      </w:pPr>
      <w:r>
        <w:t xml:space="preserve">Las normas de protección de datos (RGPD en Europa), las de moderación de contenidos (Ley de Servicios Digitales de la UE) y la regulación laboral de los países de entrega afectan a costes y a la demanda; la Ley de IA de la UE puede exigir supervisión humana en algunas interacciones, lo que favorece a los operadores con controles de calidad.</w:t>
      </w:r>
    </w:p>
    <w:p>
      <w:pPr>
        <w:pStyle w:val="Heading2"/>
      </w:pPr>
      <w:r>
        <w:t xml:space="preserve">Tendencias y disrupción</w:t>
      </w:r>
    </w:p>
    <w:p>
      <w:pPr>
        <w:spacing w:after="100"/>
      </w:pPr>
      <w:r>
        <w:t xml:space="preserve">La IA generativa es la tendencia que decide el sector: reduce las interacciones simples pero crea demanda de integración, entrenamiento y supervisión de modelos, y de gestión de casos complejos. TP intenta pasar de facturar horas a facturar resultados y soluciones con IA; si lo logra antes de que caigan los volúmenes, gana; si no, pierde ingresos por hora sin compensación [22].</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dos mayores grupos mundiales de externalización de la experiencia de cliente por ingresos (10.209 M EUR en 2025), junto a Concentrix tras su compra de Webhelp.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 (con Webhelp)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CNXC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cotiza a unas 2 veces su BPA ajustado y 5,2 veces EBITDA, señal del pesimismo del mercado sobre el sector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Foundever (antes Sitel)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Luxemburgo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del grupo Mulliez;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orientado a procesos de negocio y finanzas; PER de 7,9 veces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Procesos y analítica con IA; el mercado lo valora a 18,5 veces beneficios porque se le ve ganador de la IA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cada contrato es independiente.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proveedor exige migrar procesos y formar equipos, pero los contratos se relicitan y el cliente puede llevarse el volumen a la 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TLScontact (contratos con gobiernos) y LanguageLine (red de intérpretes, más de 30 % de margen EBITA en el 1S26) tienen activos difíciles de replicar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presencia en países de bajo coste y margen EBITA recurrente del 14,6 % en 2025, por encima de la media del sector según la propia empresa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mundiales que necesitan atender en decenas de idiomas y países favorecen a los dos o tres grandes.</w:t>
            </w:r>
          </w:p>
        </w:tc>
      </w:tr>
    </w:tbl>
    <w:p>
      <w:pPr>
        <w:spacing w:after="160" w:before="0"/>
      </w:pPr>
    </w:p>
    <w:p>
      <w:pPr>
        <w:pStyle w:val="Heading2"/>
      </w:pPr>
      <w:r>
        <w:t xml:space="preserve">Amenazas</w:t>
      </w:r>
    </w:p>
    <w:p>
      <w:pPr>
        <w:spacing w:after="100"/>
      </w:pPr>
      <w:r>
        <w:t xml:space="preserve">La amenaza principal es que los agentes de IA de los propios clientes (o de plataformas como las de los grandes proveedores de modelos) absorban las interacciones simples más deprisa de lo que TP vende servicios nuevos. Probabilidad media-alta a cinco años: los ingresos comparables ya son negativos y el mercado lo descuenta en todo el sector. Además, la rivalidad en precio con Concentrix y Foundever puede empeorar si los volúmenes caen.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w:t>
            </w:r>
          </w:p>
        </w:tc>
      </w:tr>
    </w:tbl>
    <w:p>
      <w:pPr>
        <w:spacing w:after="160" w:before="0"/>
      </w:pPr>
    </w:p>
    <w:p>
      <w:pPr>
        <w:spacing w:after="100"/>
      </w:pPr>
      <w:r>
        <w:t xml:space="preserve">Crecimiento anual compuesto 2021-2025: ingresos </w:t>
      </w:r>
      <w:r>
        <w:rPr>
          <w:b/>
          <w:bCs/>
        </w:rPr>
        <w:t xml:space="preserve">9,4 %</w:t>
      </w:r>
      <w:r>
        <w:t xml:space="preserve">, EBITDA </w:t>
      </w:r>
      <w:r>
        <w:rPr>
          <w:b/>
          <w:bCs/>
        </w:rPr>
        <w:t xml:space="preserve">6,8 %</w:t>
      </w:r>
      <w:r>
        <w:t xml:space="preserve">, BPA </w:t>
      </w:r>
      <w:r>
        <w:rPr>
          <w:b/>
          <w:bCs/>
        </w:rPr>
        <w:t xml:space="preserve">-2,7 %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Los ingresos pasaron de 7.115 M en 2021 a 10.209 M en 2025, pero casi todo el crecimiento desde 2022 es comprado: Majorel añadió unos 2.000 M en 2024 (ingresos +23,2 % publicados, +2,6 % pro forma) [6]. En orgánico el grupo se ha frenado: +1-2 % en 2025 y −1,7 % en el primer semestre de 2026 [1, 2]. El EBIT publicado se ha quedado en torno a 1.000-1.080 M desde 2022 pese a sumar Majorel, porque la amortización de los intangibles comprados, los costes de integración y la reestructuración se comen la mejora: el margen EBIT publicado cae del 12,2 % de 2022 al 10,3 % de 2025, y el EBITA recurrente del 15,0 % al 14,6 % [6, 9]. El beneficio neto atribuido baja de 643 M en 2022 a 497 M en 2025, también por los mayores intereses de la deuda de Majorel.</w:t>
      </w:r>
    </w:p>
    <w:p>
      <w:pPr>
        <w:pStyle w:val="Heading2"/>
      </w:pPr>
      <w:r>
        <w:t xml:space="preserve">Ajustes y partidas no recurrentes</w:t>
      </w:r>
    </w:p>
    <w:p>
      <w:pPr>
        <w:spacing w:after="100"/>
      </w:pPr>
      <w:r>
        <w:t xml:space="preserve">TP publica un EBITA recurrente (antes de amortizar los intangibles comprados y de los gastos no recurrentes) y un resultado neto ajustado: 807 M en 2024 frente a 523 M publicados, y 781 M en 2025 frente a 497 M [9, 11]. La diferencia (≈280 M al año) es la amortización de las carteras de clientes compradas, los pagos en acciones y la reestructuración, que se repiten todos los años. El informe usa el BPA publicado (8,40 EUR en 2025) y el EBITDA publicado con esas partidas dentro, para no tratar como no recurrente lo que se repite. No se ha podido separar el resultado financiero ni los impuestos de cada año; el gasto financiero implícito en 2025 ronda los 300-330 M con un impuesto del 32 %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la presentación del 30-jul-2026 la dirección, con Jorge Amar como consejero delegado desde marzo, presentó el semestre como de estabilización: la caída comparable se moderó del −2,2 % del primer trimestre al −1,2 % del segundo, el margen EBITA recurrente se mantuvo en el 13,6 % y el cash flow neto disponible sin no recurrentes subió un 7 %, a 299 M [1, 2]. Confirmó los objetivos de 2026 (crecimiento comparable del 0-2 %, margen en torno al 14,6 % y 800-850 M de cash flow) y amplió el programa de eficiencia a 150-170 M de ahorro anual, con 120-140 M de reestructuración este año [1, 2]. La lectura del mercado fue positiva (+10 % en la sesión; resultados «ligeramente superiores a lo esperado», cash flow de 243 M frente a 240 M de consenso) [12]. Los analistas preguntaron sobre todo por el efecto de la IA generativa en los volúmenes de Core Services, por la debilidad de América (peso colombiano e inflación salarial) y por si el objetivo de margen anual exige un segundo semestre muy fuerte [3]. Oddo BHF recortó un 5,4 % su BPA de 2026 por los gastos no recurrentes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Majorel, consolidada desde noviembre de 2023 (≈2.400 M de pago en caja): entra en el balance de 2023 y solo dos meses en la cuenta.; 2025: ZP (servicios para personas sordas en EE. UU.), consolidada desde el 1-feb-2025.). Los ratios de balance de ese año (días, circulante, deuda neta / EBITDA, ROIC) y los indicadores de calidad contable no son comparables con los anteriores.</w:t>
      </w:r>
    </w:p>
    <w:p>
      <w:pPr>
        <w:spacing w:after="100"/>
      </w:pPr>
      <w:r>
        <w:t xml:space="preserve">La deuda neta con arrendamientos bajó de 4.558 M a final de 2023 (tras pagar Majorel) a 3.890 M a final de 2024 [6], y se ha quedado en torno a 4.000 M desde entonces (≈3.970 M a final de 2025 y ≈4.020 M a 30-jun-2026, cálculo propio con [10, 13]), porque el cash flow libre se va a dividendos (248 M en 2025), recompras (114 M) y reestructuración [8]. Con un EBITDA recurrente cercano a 1.900 M (907 M en el primer semestre), la deuda neta ronda 2,1 veces: cómoda para el grado de inversión pero sin margen para otra compra grande.</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5.687</w:t>
      </w:r>
      <w:r>
        <w:t xml:space="preserve">, conversión </w:t>
      </w:r>
      <w:r>
        <w:rPr>
          <w:b/>
          <w:bCs/>
        </w:rPr>
        <w:t xml:space="preserve">202 %</w:t>
      </w:r>
      <w:r>
        <w:t xml:space="preserve"> del beneficio neto; adquisiciones 2.373, dividendos 1.041, recompras 810.</w:t>
      </w:r>
    </w:p>
    <w:p>
      <w:pPr>
        <w:spacing w:after="100"/>
      </w:pPr>
      <w:r>
        <w:t xml:space="preserve">La conversión en caja es la fortaleza del negocio: el flujo operativo supera al EBITDA publicado casi todos los años (1.614 M frente a 1.751 M en 2025) y el capex es pequeño, 2,5 % de las ventas en 2025 [8]. Restando además los pagos de arrendamientos (315 M) y los intereses, el cash flow neto disponible que publica la empresa fue de 1.084 M en 2024 y de 901 M en 2025 sin no recurrentes [6, 9]; la guía de 2026 es de 800-850 M, menos por el tipo de cambio [1]. Es una rentabilidad por flujo de caja libre de en torno al 18-19 % de la capitalización actual. El capex es casi todo de mantenimiento y de tecnología (IA, plataformas), estimación propia; las compras (Majorel en 2023, ZP en 2025) son la verdadera inversión de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Sin acceso a las cuentas completas ni al informe de auditoría. La distancia entre el resultado ajustado y el publicado es grande y persistente (781 M frente a 497 M en 2025 [11]): la amortización de las carteras de clientes de las compras y la reestructuración casi anual hacen que el BPA ajustado sobrestime el beneficio económico. El informe trabaja con el publicado. El flujo operativo cuadra con el EBITDA, lo que reduce el riesgo de que el beneficio no se convierta en caja.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de 70-90 M prevista para 2026 en febrero, ampliada a 120-140 M en julio [1,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Brecha entre beneficio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 M al año, un 57 % del beneficio publicado de 2025 [11].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-1,0 % · </w:t>
      </w:r>
      <w:r>
        <w:rPr>
          <w:b/>
          <w:bCs/>
        </w:rPr>
        <w:t xml:space="preserve">WACC</w:t>
      </w:r>
      <w:r>
        <w:t xml:space="preserve">: 7,4 %.</w:t>
      </w:r>
    </w:p>
    <w:p>
      <w:pPr>
        <w:spacing w:after="100"/>
      </w:pPr>
      <w:r>
        <w:t xml:space="preserve">Con el balance incompleto, el ROIC del motor (13,2 % en 2025) está inflado: le falta parte del capital invertido. Nuestro cálculo: NOPAT de 717 M (EBIT publicado de 1.055 M × (1 − 32 %)) sobre un capital de ≈8.080 M (patrimonio estimado de 4.107 M + deuda neta con arrendamientos de ≈3.970 M) da un ROIC del 8,9 %, 1,5 puntos por encima del WACC del 7,37 % [10, 13]. Con el EBITA recurrente que publica la empresa (1.485 M) subiría al 12,5 %, pero esa cifra excluye costes que se repiten. El ROIC ha caído desde 2022 porque Majorel añadió ≈2.400 M de capital y casi nada de beneficio publicado: el EBIT de 2025 (1.055 M) es prácticamente el de 2022 (992 M) [4]. Crea algo de valor, poco, y la compra de Majorel lo diluyó.</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1.027 M a 30-jun-2026 [10]; líneas de crédito no dispuestas: n.d. en las fuentes accesibles.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se ha podido leer la nota de provisiones ni la de compromisos. Lo relevante conocido: la recompra de 600 M de bonos de 2027-2028 de mayo de 2026, financiada con una nueva emisión, alarga vencimientos [15]; los costes de reestructuración de 120-140 M de 2026 se pagan en caja este año [1]; y la deuda neta con arrendamientos rondaba 1,9 veces el EBITDA recurrente a final de 2024 [6]. Litigios y garantías: no accesibles en las fuentes de este análisis.</w:t>
      </w:r>
    </w:p>
    <w:p>
      <w:pPr>
        <w:pStyle w:val="Heading1"/>
      </w:pPr>
      <w:r>
        <w:t xml:space="preserve">12. Asignación de capital</w:t>
      </w:r>
    </w:p>
    <w:p>
      <w:pPr>
        <w:pStyle w:val="Confianza"/>
        <w:spacing w:after="100"/>
      </w:pPr>
      <w:r>
        <w:t xml:space="preserve">Confianza: Media</w:t>
      </w:r>
    </w:p>
    <w:p>
      <w:pPr>
        <w:spacing w:after="100"/>
      </w:pPr>
      <w:r>
        <w:t xml:space="preserve">TP reparte en torno al 50 % del beneficio ajustado: el dividendo pasó de 3,30 EUR (ejercicio 2021) a 4,50 EUR (ejercicio 2025, aprobado en la junta del 21-may-2026), una rentabilidad del 6,0 % al precio actual [4, 7]. Ha hecho recompras todos los años desde 2022 (146, 366, 184 y 114 M) [8]. La prioridad declarada ahora es reducir deuda y financiar el plan de IA y eficiencia; el objetivo a medio plazo es un cash flow neto disponible acumulado de unos 3.000 M en 2026-2028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Majorel (CX, Europa, África, Oriente Medio)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(bonos de 1.400 M en noviembre de 2023) y acciones en una parte de la oferta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grupo +23 % publicados en 2024 pero solo +2,6 % pro forma; el margen EBITA recurrente bajó del 15,0 % al 14,6 % y la acción ha caído un 80 % desde 2021: hasta ahora no ha creado valor [6,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ZP (servicios de vídeo para personas sordas,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Consolidada desde febrero de 2025 en Specialized Services; demasiado pronto para juzgar [17].</w:t>
            </w:r>
          </w:p>
        </w:tc>
      </w:tr>
    </w:tbl>
    <w:p>
      <w:pPr>
        <w:spacing w:after="160" w:before="0"/>
      </w:pPr>
    </w:p>
    <w:p>
      <w:pPr>
        <w:spacing w:after="100"/>
      </w:pPr>
      <w:r>
        <w:t xml:space="preserve">La dirección ha devuelto mucho dinero (≈1.700 M en dividendos y recompras en 2021-2025 [8]) mientras pagaba Majorel con deuda, en la parte alta del ciclo de valoración del sector. La compra de Majorel no ha mejorado ni el crecimiento orgánico ni el margen, y el BPA publicado es hoy menor que en 2021 (8,40 frente a 9,36 EUR) pese a haber invertido unos 2.400 M [4, 8]: la asignación de capital de 2021-2024 destruyó valor por acción. El cambio de consejero delegado y de presidente en 2026 abre la puerta a una disciplina distinta.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Amar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Nombrado en febrero de 2026 para relanzar el grupo con la IA; en el cargo desde marzo [9,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Moulay Hafid Elalamy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el consejo en 2026 [27]. Fundador del grupo marroquí Saham, que fue coaccionista de Majorel (dato conocido, no comprobado en las fuentes de este análisis).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Sheikha Hanadi Al-Thani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Nombrada con efecto 21-may-2026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del 2-4 %, margen EBITA recurrente del 15-15,1 % y cash flow de ≈1.000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julio (parte baja) y en octubre (1-2 %, ≈900 M); cash flow final de 901 M y margen del 14,6 % publicado (14,8 % a cambio constante)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comparable del 0-2 %, margen ≈14,6 % y cash flow de 800-850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Confirmado en julio tras un semestre en −1,7 % comparable y margen del 13,6 %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se ha renovado entera en 2026: consejero delegado nuevo (Jorge Amar, desde marzo), presidente nuevo y consejera coordinadora nueva [9, 27]. El historial reciente de la guía es malo: en 2025 se recortó dos veces el crecimiento y el cash flow, aunque el cash flow final (901 M) cumplió la guía rebajada [16, 20]. La guía de 2026 exige un segundo semestre mejor que el primero en margen (13,6 % en el 1S frente al 14,6 % anual), lo que es habitual por estacionalidad pero deja poco margen de error [1].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de 13 (8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Moulay Hafid Elalamy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Sheikha Hanadi Al-Thani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Jorge Amar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conocido en las fuentes accesibles; el reparto exacto del capital (incluida la posible participación de los antiguos accionistas de Majorel) no se ha podido comprobar. Francia otorga derechos de voto dobles a las acciones nominativas de más de dos años salvo que los estatutos lo excluyan: no comprobado.</w:t>
      </w:r>
    </w:p>
    <w:p>
      <w:pPr>
        <w:pStyle w:val="Heading2"/>
      </w:pPr>
      <w:r>
        <w:t xml:space="preserve">Señales de alerta</w:t>
      </w:r>
    </w:p>
    <w:p>
      <w:pPr>
        <w:pStyle w:val="ListParagraph"/>
        <w:numPr>
          <w:ilvl w:val="0"/>
          <w:numId w:val="2"/>
        </w:numPr>
        <w:spacing w:after="60"/>
      </w:pPr>
      <w:r>
        <w:t xml:space="preserve">Renovación completa de la cúpula en 2026 (consejero delegado y presidente).</w:t>
      </w:r>
    </w:p>
    <w:p>
      <w:pPr>
        <w:pStyle w:val="ListParagraph"/>
        <w:numPr>
          <w:ilvl w:val="0"/>
          <w:numId w:val="2"/>
        </w:numPr>
        <w:spacing w:after="60"/>
      </w:pPr>
      <w:r>
        <w:t xml:space="preserve">Historial de recortes de guía en 2025.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Objetivos de 2026, fijados el 26-feb-2026 y confirmados el 30-jul-2026: crecimiento comparable de los ingresos del 0 al 2 %, margen EBITA recurrente en torno al 14,6 % (igual que en 2025) y cash flow neto disponible de 800-850 M sin partidas no recurrentes, por debajo de los 901 M de 2025 por el tipo de cambio [1, 9, 28]. En julio amplió el programa de eficiencia a 150-170 M de ahorro anual (la mitad en 2026) y elevó la reestructuración del año a 120-140 M desde 70-90 M [1, 9]. A medio plazo (plan de 2025, no revisado en las fuentes accesibles) apunta a un crecimiento orgánico del 4-6 % en 2028, un margen EBITA recurrente de en torno al 15,5 % y 3.000 M de cash flow acumulado en 2026-2028 [16]. Historial: en 2025 recortó dos veces la guía de crecimiento (del 2-4 % al 1-2 %) y de cash flow (de ≈1.000 M a ≈900 M), aunque cumplió esta última (901 M) [16,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antes de los resultados del 1S26)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Tendencia de recortes en el primer semestre de 2026: en junio-julio varios analistas bajaron sus objetivos (uno de 70 a 50 EUR y otro de 50 a 44 EUR) [30], y Oddo BHF recortó un 5,4 % su BPA de 2026 tras el semestre por los gastos no recurrentes [2]. Tras los resultados de julio y la subida del 10 %, el objetivo medio que recoge ABC Bourse es de 75,33 EUR [31], frente a una mediana de 63 EUR con tres analistas en Idéal Investisseur el 24-jul [32]. Solo una fuente gratuita (MarketScreener) da BPA de tres años, y es anterior a los resultados de julio.</w:t>
      </w:r>
    </w:p>
    <w:p>
      <w:pPr>
        <w:pStyle w:val="Heading1"/>
      </w:pPr>
      <w:r>
        <w:t xml:space="preserve">16. Comportamiento en bolsa</w:t>
      </w:r>
    </w:p>
    <w:p>
      <w:pPr>
        <w:pStyle w:val="Confianza"/>
        <w:spacing w:after="100"/>
      </w:pPr>
      <w:r>
        <w:t xml:space="preserve">Confianza: Baja</w:t>
      </w:r>
    </w:p>
    <w:p>
      <w:pPr>
        <w:spacing w:after="160" w:before="0"/>
      </w:pPr>
    </w:p>
    <w:p>
      <w:pPr>
        <w:spacing w:after="160" w:before="0"/>
      </w:pPr>
    </w:p>
    <w:p>
      <w:pPr>
        <w:spacing w:after="100"/>
      </w:pPr>
      <w:r>
        <w:t xml:space="preserve">La acción ha perdido más del 80 % desde el cierre de 2021: 222,70 EUR a final de 2022, 132,05 en 2023, 83,12 en 2024 y 61,84 en 2025 [33], por el miedo a que la IA generativa sustituya a los centros de llamadas, la compra de Majorel y los recortes de guía. En 2026 tocó un mínimo de 43,65 EUR (junio, cierre mensual de 45,98) y desde entonces ha rebotado con fuerza: 57,28 a final de julio, +10 % el día de los resultados semestrales, 71,50 a finales de agosto y 74,62 EUR al cierre del 13-oct, +20 % en el año [31, 33, 34]. Las posiciones cortas siguen siendo elevadas según la prensa francesa, sin cifra oficial accesible [35].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TP cotiza a 9,4 veces el BPA de los últimos 12 meses, en el percentil 25 de su serie limpia de cuatro años (media de 11,4x, mínimo de 7,4x al cierre de 2025, máximo de 20,7x en 2022) [33]. La desvalorización es estructural: hasta 2021 el mercado pagaba más de 25 veces por un líder que crecía al 10 % orgánico; desde la llegada de la IA generativa (2023) paga un negocio que se teme en declive. El rebote de 2026 (de 43,65 a 74,62 EUR) solo devuelve el PER al nivel de final de 2024.</w:t>
      </w:r>
    </w:p>
    <w:p>
      <w:pPr>
        <w:pStyle w:val="Heading1"/>
      </w:pPr>
      <w:r>
        <w:t xml:space="preserve">18. Comparables cotizados</w:t>
      </w:r>
    </w:p>
    <w:p>
      <w:pPr>
        <w:pStyle w:val="Confianza"/>
        <w:spacing w:after="100"/>
      </w:pPr>
      <w:r>
        <w:t xml:space="preserve">Confianza: Baja</w:t>
      </w:r>
    </w:p>
    <w:p>
      <w:pPr>
        <w:spacing w:after="100"/>
      </w:pPr>
      <w:r>
        <w:t xml:space="preserve">Grupos cotizados de externalización de la relación con el cliente y de procesos de negocio con escala mundial y entrega desde países de bajo coste. Concentrix (CX, el competidor más directo tras comprar Webhelp), Genpact (procesos de negocio) y EXL (procesos y analítica, con más peso de datos e IA). Quedan fuera los que dejaron de cotizar al ser comprados (Majorel por TP, Webhelp por Concentrix), Foundever, que no cotiza, y los operadores medianos sin datos accesibles. Son pocos y con datos de mayo-junio de 2026: 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Teleperformance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 / 7,9x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La mediana del PER de los próximos 12 meses de los comparables es 7,9x (Concentrix 2,0x, Genpact 7,9x, EXL 18,5x) [21, 23, 24], y TP cotiza a 7,7x: en línea con la mediana y muy por encima de Concentrix, su rival más parecido, que el mercado trata casi como un negocio en liquidación. EXL cotiza con prima porque se la ve como ganadora de la IA (analítica, datos), y Genpact está en medio. Los datos son de mayo-junio de 2026 y el PER de los estadounidenses es sobre BPA ajustado (no GAAP), más alto que el publicado: con la misma base, TP estaría en la parte alta del grupo. El valor implícito con la mediana es de 76,63 EUR, casi el precio. Son tres empresas: los comparables solo sirven para decir que el sector entero cotiza a múltiplos de liquidación.</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−3,3 % (fijo): guía comparable del 0-2 %, primer semestre en −1,7 % y un efecto divisa de −165 M solo en el semestre [1, 2]; ventas de ≈9.870 M. 2027e +1 % y 2028e +2 %: volúmenes de Core Services planos y algo de precio, nuevos servicios de IA y TLScontact creciendo a doble dígito [1]. Después +1,5 % hasta 2030e y +1 % hasta 2035e. Es menos de la mitad del objetivo de la empresa (4-6 % orgánico en 2028) [16], y por debajo del crecimiento comparable de 2024-25 (+1-3 %).</w:t>
      </w:r>
    </w:p>
    <w:p>
      <w:pPr>
        <w:keepNext/>
        <w:spacing w:after="100"/>
      </w:pPr>
      <w:r>
        <w:rPr>
          <w:b/>
          <w:bCs/>
        </w:rPr>
        <w:t xml:space="preserve">Márgenes.</w:t>
      </w:r>
    </w:p>
    <w:p>
      <w:pPr>
        <w:spacing w:after="100"/>
      </w:pPr>
      <w:r>
        <w:t xml:space="preserve">Margen EBITDA publicado (con reestructuración dentro): 17,7 % en 2024 y 17,2 % en 2025 [4, 8]. 2026e 16,6 % por la reestructuración de 120-140 M; 17,2 % en 2027e y 17,5 % en 2028-30e con los ahorros de 150-170 M, la mitad ya en 2026 [1, 2]. Después baja una décima al año hasta el 17,0 % por la presión de precios de la IA. Es el margen de 2024 más los ahorros anunciados, no una mejora estructural.</w:t>
      </w:r>
    </w:p>
    <w:p>
      <w:pPr>
        <w:keepNext/>
        <w:spacing w:after="100"/>
      </w:pPr>
      <w:r>
        <w:rPr>
          <w:b/>
          <w:bCs/>
        </w:rPr>
        <w:t xml:space="preserve">Inversión y circulante.</w:t>
      </w:r>
    </w:p>
    <w:p>
      <w:pPr>
        <w:spacing w:after="100"/>
      </w:pPr>
      <w:r>
        <w:t xml:space="preserve">Capex del 5,6 % de las ventas: 2,5 % del estado de flujos (253 M en 2025) más 3,1 % de pagos de arrendamientos (315 M), porque los arrendamientos están en la deuda [8, 13]. La amortización baja del 6,8 % al 5,6 % a medida que se agota la de las carteras de clientes compradas (Majorel). Circulante: sin dato de clientes en el balance accesible, se deja constante (0 % de variación); con un crecimiento del 1 % su efecto es de unos 10 M al año.</w:t>
      </w:r>
    </w:p>
    <w:p>
      <w:pPr>
        <w:keepNext/>
        <w:spacing w:after="100"/>
      </w:pPr>
      <w:r>
        <w:rPr>
          <w:b/>
          <w:bCs/>
        </w:rPr>
        <w:t xml:space="preserve">Coste del capital.</w:t>
      </w:r>
    </w:p>
    <w:p>
      <w:pPr>
        <w:spacing w:after="100"/>
      </w:pPr>
      <w:r>
        <w:t xml:space="preserve">Tasa libre del 2,97 % (Bund a 10 años, último dato mensual de la OCDE, junio de 2026) [36]. Beta de 1,0: la publicada para el ADR (0,59-0,66, datos de 2024-25) no recoge el riesgo actual de un negocio que ha perdido el 80 % en bolsa; con 0,7 el valor subiría un 20 %. Prima de mercado del 5,5 % y 2 puntos de prima adicional por el riesgo de sustitución por la IA y la entrega desde países emergentes. Coste de la deuda del 4,0 % antes de impuestos y peso de la deuda del 40 %. WACC del 7,37 %.</w:t>
      </w:r>
    </w:p>
    <w:p>
      <w:pPr>
        <w:keepNext/>
        <w:spacing w:after="100"/>
      </w:pPr>
      <w:r>
        <w:rPr>
          <w:b/>
          <w:bCs/>
        </w:rPr>
        <w:t xml:space="preserve">Valor terminal.</w:t>
      </w:r>
    </w:p>
    <w:p>
      <w:pPr>
        <w:spacing w:after="100"/>
      </w:pPr>
      <w:r>
        <w:t xml:space="preserve">Crecimiento a perpetuidad del 1,0 %, por debajo de la inflación de la zona euro: supone una pérdida lenta de volumen real. El valor terminal pesa un 55 % del valor empresa. El múltiplo de salida de contraste (6x EBITDA) daría bastante menos; Gordon implica ≈1/(WACC − g) del NOPAT, muy por encima de lo que el mercado paga hoy por el sector, y por eso el valor objetivo pondera el DCF solo al 45 %.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M (-4 % del NOPAT)</w:t>
            </w:r>
          </w:p>
        </w:tc>
      </w:tr>
    </w:tbl>
    <w:p>
      <w:pPr>
        <w:spacing w:after="160" w:before="0"/>
      </w:pPr>
    </w:p>
    <w:p>
      <w:pPr>
        <w:spacing w:after="100"/>
      </w:pPr>
      <w:r>
        <w:t xml:space="preserve">La proyección apenas necesita inversión neta de la amortización (reinversión acumulada de -331 M, con un capex bruto medio del 5,6 % de las ventas). En un negocio de activos ligeros, el crecimiento medio del 0,8 %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(comparable del 1S26 en −1,7 %, guía anual del 0-2 %) [1]; precio 0; otros −2,3 % = divisa (−165 M en el semestre, dólar y monedas latinoamericanas)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plano en Core Services; precio +0,5 % (contratos con indexación parcial) y otros +0,5 % (TLScontact y LanguageLine)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precio +0,5 % y +1 % de servicios de IA y datos que la empresa empieza a vender (más de 550 proyectos de IA en el 1T26) [22].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+0,5 % cada uno, servicios especializados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En parte. Las pruebas de financiación pasan con holgura: el crecimiento medio proyectado es del 0,8 % anual y apenas necesita capital (la reinversión neta es negativa porque la amortización de las carteras compradas supera al capex, que hacemos a mano: el capex bruto del 5,6 % de las ventas basta para un negocio de personas y oficinas). La duda está en el volumen, no en el dinero: el foso es estrecho y se estrecha, el poder de precios es bajo (comparable del −1,7 % en el 1S26) y la IA puede sustituir las interacciones simples [1, 22]. El caso base ya no supone crecimiento de volumen en 2026-27 y queda por debajo del crecimiento comparable de 2024-25, así que no se rebaja; el riesgo de volumen va al bajista (−4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(base: 1,2 %)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 (WACC: 7,4 %)</w:t>
            </w:r>
          </w:p>
        </w:tc>
      </w:tr>
    </w:tbl>
    <w:p>
      <w:pPr>
        <w:spacing w:after="160" w:before="0"/>
      </w:pPr>
    </w:p>
    <w:p>
      <w:pPr>
        <w:spacing w:after="100"/>
      </w:pPr>
      <w:r>
        <w:t xml:space="preserve">El DCF da 149,01 EUR por acción (+99,7 % sobre 74,62), con un WACC del 7,37 % y un valor terminal del 55 %; la sensibilidad (WACC y crecimiento ± 0,5 puntos) va de 125,97 a 180,35 EUR. El DCF inverso es la clave: a 74,62 EUR el mercado descuenta que los ingresos caigan un 4,9 % al año de 2027 a 2035 con nuestro margen, o un margen EBITDA del 13 % con nuestro crecimiento, y la rentabilidad implícita para el comprador es del 10,9 %. Es una hipótesis de declive estructural por la IA, no de estancamiento. Nuestro base (1,2 % anual en esos años, margen del 17 %) es conservador frente a la historia (comparable de +1-3 % en 2024-25) pero optimista si la sustitución se acelera, y por eso el bajista (−4 puntos al año, margen −2,5 puntos, terminal del −1 %) da 45,27 EUR. El valor no depende de que TP vuelva a crecer, sino de que no se hunda: con la caja que genera (901 M en 2025) basta con que los ingresos caigan menos de un 2-3 % al año para que la acción esté barata.</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despliegan agentes de IA más deprisa de lo previsto y los volúmenes de Core Services caen un 3-4 % al año, como hoy descuenta Concentrix a 2 veces beneficios; el precio por hora baja en las renovaciones y el margen EBITDA cae al 15 %. TP recorta el dividendo para no subir la deuda.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planos en 2026-27 con los ahorros del programa de eficiencia (150-170 M) que devuelven el margen EBITDA al 17,5 %; TLScontact y LanguageLine crecen y los servicios de IA compensan las interacciones que se pierden. El cash flow neto se queda en 800-900 M al año y la deuda baja despacio.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resulta más complemento que sustituto: TP vende integración, supervisión y datos para modelos, vuelve a un crecimiento comparable del 2-3 % en 2027-28 y el margen sube al 18 % con los ahorros completos; el mercado vuelve a pagar 10-11 veces beneficios.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alor por acción por escenari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rPr>
          <w:b/>
          <w:bCs/>
        </w:rPr>
        <w:t xml:space="preserve">Valor ponderado por probabilidad:</w:t>
      </w:r>
      <w:r>
        <w:t xml:space="preserve"> 124,68 EUR (+67,1 %).</w:t>
      </w:r>
    </w:p>
    <w:p>
      <w:pPr>
        <w:spacing w:after="100"/>
      </w:pPr>
      <w:r>
        <w:t xml:space="preserve">El DCF da 45,27 EUR en el bajista (−39,3 %), 149,01 en el base y 182,97 en el alcista (+145,2 %), con una asimetría a largo plazo de 3,69 veces. A 12 meses, que es lo que manda, la asimetría es mucho menor (1,57 veces): el bajista con PER de 7,4x da 47,06 EUR (−30,9 % con el dividendo) y el alcista, con el techo de 10,6x, 117,98 (+64,1 %). Le doy un 30 % al bajista porque es lo que ya descuenta parte del sector (Concentrix) y porque los ingresos comparables llevan un año en negativo; el alcista, un 20 %, porque exige que los datos de volumen giren antes de 2028.</w:t>
      </w:r>
    </w:p>
    <w:p>
      <w:pPr>
        <w:pStyle w:val="Heading1"/>
      </w:pPr>
      <w:r>
        <w:t xml:space="preserve">22. Suma de partes</w:t>
      </w:r>
    </w:p>
    <w:p>
      <w:pPr>
        <w:pStyle w:val="Confianza"/>
        <w:spacing w:after="100"/>
      </w:pPr>
      <w:r>
        <w:t xml:space="preserve">Confianza: Baja</w:t>
      </w:r>
    </w:p>
    <w:p>
      <w:pPr>
        <w:spacing w:after="100"/>
      </w:pPr>
      <w:r>
        <w:t xml:space="preserve">No aplica en este informe: Specialized Services (14 % de los ingresos y margen EBITA del 33 % en el 1S26) merecería un múltiplo mayor que Core Services, pero la empresa no publica en las fuentes accesibles el resultado anual por actividad ni hay comparables cotizados puros de interpretación o de visados [1].</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6" name="Gráfico 16" descr="Valor por acción según cada método (EUR) · precio actual 74,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74,99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128,42 EUR (+72,1 % sobre 74,62).</w:t>
      </w:r>
    </w:p>
    <w:p>
      <w:pPr>
        <w:spacing w:after="100"/>
      </w:pPr>
      <w:r>
        <w:t xml:space="preserve">El DCF pesa un 45 % porque el negocio genera caja estable y conocida (≈900 M al año) y el valor depende de una sola variable, el volumen, que los escenarios (40 %) recogen mejor que los comparables. Los comparables pesan un 15 % porque solo hay tres y el sector entero cotiza a múltiplos de liquidación (Concentrix a 2x). La dispersión entre métodos es enorme: los comparables dan 48-128 EUR y el DCF 126-180, lo que dice que el precio refleja una opinión sobre la IA y no una valoración de la caja. El valor objetivo ponderado es de 128,42 EUR (+72,1 %), pero es una referencia de largo plazo: a 12 meses, el objetivo es de 79,20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+64,1 %</w:t>
            </w:r>
          </w:p>
        </w:tc>
      </w:tr>
    </w:tbl>
    <w:p>
      <w:pPr>
        <w:spacing w:after="160" w:before="0"/>
      </w:pPr>
    </w:p>
    <w:p>
      <w:pPr>
        <w:spacing w:after="100"/>
      </w:pPr>
      <w:r>
        <w:rPr>
          <w:b/>
          <w:bCs/>
        </w:rPr>
        <w:t xml:space="preserve">Objetivo a 12 meses (ponderado):</w:t>
      </w:r>
      <w:r>
        <w:t xml:space="preserve"> 79,20 EUR · rentabilidad +12,2 % (base +17,2 %) · señal Mantener.</w:t>
      </w:r>
    </w:p>
    <w:p>
      <w:pPr>
        <w:spacing w:after="100"/>
      </w:pPr>
      <w:r>
        <w:t xml:space="preserve">Para comparar, con la regla v2 (historia al cierre, mismo precio): 7,4x / 8,2x / 10,6x, 12,2 % Mantener; con el tope anterior del base (×1,3, 14-oct mediodía): 42,3 % Mantener; con la v3 sin el selector (tope ×1,1): 21,6 % Mantener. Decide la v2, elegida por el selector de método (desrateada: la mediana adelantada (18,7x) es 2,3 veces el PER de hoy (8,2x); la historia es de otro régimen y decide la v2; METODO-VIGENTE.md).</w:t>
      </w:r>
    </w:p>
    <w:p>
      <w:pPr>
        <w:keepNext/>
        <w:spacing w:after="100"/>
      </w:pPr>
      <w:r>
        <w:rPr>
          <w:b/>
          <w:bCs/>
        </w:rPr>
        <w:t xml:space="preserve">Frente al consenso (solo contraste).</w:t>
      </w:r>
    </w:p>
    <w:p>
      <w:pPr>
        <w:spacing w:after="100"/>
      </w:pPr>
      <w:r>
        <w:t xml:space="preserve">Nuestro BPA de 2028e (10,12 EUR) queda un 6 % por debajo del de MarketScreener (10,79, anterior a los resultados del semestre) por un gasto financiero mayor (280 M) que recoge el de 2025. El de 2027e (9,16) queda un 7 % por debajo del consenso (9,89). Nuestro precio base (82,98 EUR) queda un 10,2 % por encima del objetivo medio de los analistas (75,33 EUR, ABC Bourse), que pesa más el riesgo de la IA en el múltiplo; el objetivo ponderado (79,20) queda a un 5 % del consenso. No se corrige la cifra para acercarla.</w:t>
      </w:r>
    </w:p>
    <w:p>
      <w:pPr>
        <w:keepNext/>
        <w:spacing w:after="100"/>
      </w:pPr>
      <w:r>
        <w:rPr>
          <w:b/>
          <w:bCs/>
        </w:rPr>
        <w:t xml:space="preserve">Del valor intrínseco al objetivo a 12 meses.</w:t>
      </w:r>
    </w:p>
    <w:p>
      <w:pPr>
        <w:spacing w:after="100"/>
      </w:pPr>
      <w:r>
        <w:t xml:space="preserve">Con la regla común, el objetivo ponderado es de 79,20 EUR (+12,2 % con el dividendo del 6,0 %) y el base de 82,98 (+17,2 %): la base supera el umbral del 12 % pero la ponderada no llega al 15 % porque el bajista (7,4x × 6,36 = 47,06 EUR) pesa un 30 %. El valor intrínseco (128,42 EUR) queda un 62 % por encima del objetivo a 12 meses: para cerrar esa distancia el mercado tendría que dejar de descontar un declive del 4,9 % anual, y eso solo lo harán varios trimestres de volúmenes estables (el primero, la cifra de ventas del 3T26).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o principios de noviembre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(Stock Analysis apunta al 6-nov) [31]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comparable mejora frente al −1,2 % del 2T26, confirma la estabilización; si vuelve a −2 % o peor, el bajista gana peso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Cumplir el cash flow de 800-850 M y un margen del 14,6 % sostendría el dividendo de 4,50 EUR y el PER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plan estratégico de Jorge Amar (consejero delegado desde marzo de 2026)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reformular los objetivos de 2028 (4-6 % orgánico) y la política de capital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y dividendo del ejercicio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dividendo mantenido o al alza confirma la confianza en la caja; un recorte sería la señal del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interacciones simples por agentes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−39 % (bajista del DCF); −31 %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550 proyectos de IA con clientes, servicios especializados (14 % de ingresos, margen del 33 %) y ahorros de 150-170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comparable de Core Services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o recorte de grandes clientes tecnológicos en las renovaciones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base de clientes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no renovación como el de visados del 1S26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 débil y apreciación de las monedas de entrega (peso colombiano)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entrega diversificada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superior a −3 % de los ingresos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(≈4.000 M netos con arrendamientos, 2,5x EBITDA) si cae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(menos dividendo y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Cash flow neto de 800-850 M al año; vencimientos de 2027-28 recomprados en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por encima de 3x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 (reestructuración de 120-140 M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anuales de 150-170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ampliación del programa de reestructuración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un equipo directivo nuevo (consejero delegado y presidente en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2026 confirmada en julio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recorte de guía o salida de directivos clave</w:t>
            </w:r>
          </w:p>
        </w:tc>
      </w:tr>
    </w:tbl>
    <w:p>
      <w:pPr>
        <w:spacing w:after="160" w:before="0"/>
      </w:pPr>
    </w:p>
    <w:p>
      <w:pPr>
        <w:pStyle w:val="Heading2"/>
      </w:pPr>
      <w:r>
        <w:t xml:space="preserve">Pre-mortem</w:t>
      </w:r>
    </w:p>
    <w:p>
      <w:pPr>
        <w:spacing w:after="100"/>
      </w:pPr>
      <w:r>
        <w:t xml:space="preserve">Es octubre de 2029 y la acción vale 45 EUR. En 2027 los grandes clientes tecnológicos desplegaron agentes de IA en sus servicios de atención de primer nivel y los volúmenes de Core Services cayeron un 4 % al año; las renovaciones se hicieron con rebajas de precio por hora. Los ahorros del programa de eficiencia se fueron en defender el margen, que cayó al 15 %, y el cash flow neto bajó a 600 M. Para no superar 3 veces de deuda sobre EBITDA, TP recortó el dividendo y el mercado, que la valoraba por la rentabilidad del 6 %, la llevó a 6-7 veces un beneficio menguante. Los indicadores que lo habrían anticipado: el crecimiento comparable de Core Services trimestre a trimestre (por debajo del −3 %), la evolución del precio por hora en las renovaciones y el peso de los ingresos de servicios de IA, que nunca llegaron a compensar.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el trato a los empleados: cientos de miles de trabajadores en países de bajo coste, con salarios y condiciones que determinan el margen y la reputación; la polémica de 2022 sobre la moderación de contenidos violentos y las condiciones en Colombia llevó a TP a anunciar que dejaba esa actividad y luego a matizarlo, con una caída fuerte en bolsa [18, 25]. El segundo es la protección de datos de los clientes de sus clientes.</w:t>
      </w:r>
    </w:p>
    <w:p>
      <w:pPr>
        <w:pStyle w:val="Heading2"/>
      </w:pPr>
      <w:r>
        <w:t xml:space="preserve">Controversias</w:t>
      </w:r>
    </w:p>
    <w:p>
      <w:pPr>
        <w:spacing w:after="100"/>
      </w:pPr>
      <w:r>
        <w:t xml:space="preserve">En 2022, críticas públicas por las condiciones de la moderación de contenidos en Colombia; el grupo anunció la salida de la moderación más extrema y luego rectificó, lo que inquietó al mercado [25]. No se han encontrado sanciones materiales en 2024-2026 en las fuentes accesibles.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Core Services procede de interacciones de nivel 1 automatizables y a qué ritmo la están sustituyendo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(−4 puntos al año)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evolucionado los precios por hora en las renovaciones de 2025-26 y qué parte de los contratos se factura ya por resultado?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poder de precios decide si los ahorros llegan al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de 4,50 EUR si el cash flow baja de 800 M o priorizará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es el 6 % de la rentabilidad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fondo de comercio de Majorel y hay riesgo de deterioro si el plan de 2028 se revisa?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no movería la caja pero sí el patrimonio y los covenants.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Specialized Services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¿Contemplaría vender o separar LanguageLine o TLScontact para cristalizar su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margen del 33 % probablemente valen un múltiplo superior al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¿Quiénes son hoy los principales accionistas y qué peso tienen los antiguos accionistas de Majorel en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ha podido comprobar el accionariado en este análisis.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(foro de inversores,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hilo más leído defiende la tesis de «máquina de caja» (rentabilidad por flujo libre en torno al 17 % y dividendo del 7 % a los precios de entonces) y a la vez reconoce que la IA puede hacer a TP lo que el automóvil al coche de caballos; otros comentarios recuerdan que la guía de cash flow de 800-850 M se mantiene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Idéal Investisseur (prensa con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el rebote de la acción, pero insiste en que las posiciones cortas siguen elevadas y en que el título cede tras cada subida fuerte, como tras los resultados semestrales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(análisis y foro)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valoración deprimida y dudas persistentes sobre el modelo»: ven la acción barata pero sin catalizador a corto plazo con una guía de crecimiento del 0-2 %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recogen recortes de valor razonable (de 70 a 50 EUR y de 50 a 44 EUR) por la presión sobre el negocio, antes del rebote de agosto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Outsource Accelerator (prensa sectorial)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Recoge el argumento de que la IA es más optimizador que sustituto (más de 550 proyectos de IA en el 1T26) y el PER de 6,5 veces, muy por debajo de la media histórica del sector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generativa como amenaza existencial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los ingresos comparables pasaron de +1,5 % a −1,7 % en un año, pero el margen se mantiene y el cash flow sube; los datos aún no muestran un desplome.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flujo de caja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el fondo: 901 M de cash flow neto en 2025 y 800-850 M de guía para 2026 frente a una capitalización de ≈4.400 M; el dividendo de 4,50 EUR da un 6,0 % al precio actual, no el 7 % de los foros, que usaban precios más bajos.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Posiciones cortas y volatilidad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oficial accesible; explica la violencia del rebote (de 43,65 a 78,14 EUR en el año).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 consejero delegado y giro hacia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de eficiencia ampliado a 150-170 M es un hecho; el crecimiento con productos de IA aún no se ve en los ingresos.</w:t>
            </w:r>
          </w:p>
        </w:tc>
      </w:tr>
    </w:tbl>
    <w:p>
      <w:pPr>
        <w:spacing w:after="160" w:before="0"/>
      </w:pPr>
    </w:p>
    <w:p>
      <w:pPr>
        <w:spacing w:after="100"/>
      </w:pPr>
      <w:r>
        <w:t xml:space="preserve">El sentimiento ha pasado de la capitulación de junio (mínimo de 43,65 EUR, recortes de objetivos) a una división: los inversores de valor ven una máquina de caja a 5 veces el flujo libre y los bajistas, un negocio en declive estructural. El rebote del 70 % desde mínimos reduce el margen de seguridad que los foros daban por hecho. No contradice al consenso (objetivo medio cercano al precio), y no aporta un riesgo que el informe no recoja; sí avisa de que con cortos elevados la acción reacciona con fuerza a cada dato de volumen, como el chiffre d'affaires del tercer trimestre.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17 controles correctos y 2 explicados. Fuentes: 41 (7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comparables. Explicación: Solo hay tres comparables cotizados con datos accesibles (Concentrix, Genpact y EXL); Majorel y Webhelp dejaron de cotizar al ser compradas por TP y Concentrix, y Foundever no cotiza. Los comparables pesan solo un 15 % en la síntesis por 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41 fuentes (7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Explicación: Entorno sin acceso a la web de la empresa ni a la AMF: las primarias son los comunicados de Business Wire y el aviso del BALO; el resto son agregadores citados con su URL.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(serie anual por actividad)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comunicado de resultados anuales de 2025 con el desglose Core/Specialized; 2) búsqueda de los comunicados del 1S25 y 1S26; 3) agregadores (Stock Analysis, ABC Bourse)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(solo actividad y dos regiones de Core Services); 2) búsqueda del documento de registro universal 2025; 3) agregadores sin desglose geográfico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impuestos y BAI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comunicado anual 2025 (no aparece en la búsqueda); 2) Stock Analysis (solo BAI de los últimos 12 meses: 719 M); 3) prensa francesa sobre resultados 2025 sin cuenta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pasivo, fondo de comercio, circulante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(no accesible: WebFetch bloqueado); 2) Stock Analysis (solo caja, deuda y arrendamientos); 3) ABC Bourse y Simply Wall St (deuda y caja, sin activo)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del documento de registro universal; 2) búsqueda en el aviso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nota de calificación crediticia a 31-dic-2025; 2) búsqueda del folleto de la emisión de bonos de mayo de 2026; 3) prensa sobre la recompra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serie y crecimiento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estudios de mercado de CX/BPO (Everest, Gartner, IDC) no realizada por presupuesto de búsquedas compartido; 2) presentación de TP a inversores no accesible; 3) estimación propia descartada por falta de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e ingresos y márgenes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cifras de Concentrix y Genpact (solo múltiplos); 2) Stock Analysis de comparables (sin márgenes en el resultado); 3) cuota sin tamaño de mercado contrastado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MSCI y Sustainalytics para TP; 2) informe integrado 2025;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accionistas, remuneración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universal 2025 (no accesible: solo búsqueda web); 2) aviso de la junta en el BALO (solo resoluciones); 3) prensa sobre la junta del 21-may-2026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BDIF de la AMF (sin red); 2) búsqueda de compras de directivos en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herramientas/bolsa.mjs (sin red a Yahoo en este entorno); 2) búsqueda de beta y rango (solo datos de 2024-2025 del ADR: beta 0,59-0,66); 3) Digrin e InvestSMART (solo cierres mensuales)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múltiplos de Majorel, Webhelp y TELUS Digital; 2) prensa sobre la OPA de Majorel; 3) sin múltiplos publicados accesibles con el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del consenso; 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BPA, vía buscador); 2) Investing (solo un analista del ADR); 3) Idéal Investisseur (3 analistas, mediana 63 EUR, julio)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(serie desde 2022); 2) InvestSMART (2025-2026); 3) búsqueda de cierres anuales 2018-2021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TP; 2) búsqueda de foros franceses (Boursorama, ABC Bourse); 3) solo aparecieron Getquin y prensa con comentarios; sin acceso directo a las páginas (WebFetch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invertido completo (activo, fondo de comercio y circulante)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(no accesible); 2) Stock Analysis (solo caja y deuda); 3) ratio deuda/patrimonio para estimar el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2026 First Half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https://www.businesswire.com/news/home/20260730760872/en/TP-2026-First-Half-Results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Teleperformance : un résultat net de 216 millions d'euros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Boursier.com / Fortuneo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https://bourse.fortuneo.fr/actualites/teleperformance-un-resultat-net-de-216-millions-d-euros-1442676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(TEP) Q2 2026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https://www.gurufocus.com/stock/STU:RCF/transcripts/8992602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chiffres clés, résultats et profil de la société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https://www.abcbourse.com/analyses/chiffres/TEPp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2024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https://www.businesswire.com/news/home/20250227092643/en/teleperformance-2024-annual-results/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 de réunion de l'assemblée générale 2026 (BALO)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officiel (BALO)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https://www.journal-officiel.gouv.fr/telechargements/BALO/pdf/2026/0323/202603232600649.pdf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dépasse 10 milliards d'euros en 2025 et confie les rênes à Jorge Amar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https://www.abcbourse.com/marches/teleperformance-depasse-10-milliards-d-euros-en-2025-et-confie-les-renes-a-jorge_690365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résultat net pdg de 807 ME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https://www.tradingsat.com/teleperformance-FR0000051807/actualites/teleperformance-teleperformance-resultat-net-pdg-de-807-me-en-2024-1133774.html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a publié des résultats légèrement supérieurs aux attentes, le titre gagne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https://www.optionfinance.fr/info-financiere-en-continu/d/2026-07-31-teleperformance-a-publie-des-resultats-legerement-superieurs-aux-attentes-le-titre-gagne-10.html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(EPA:TEP) Statistics &amp; Financial Ratios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https://stockanalysis.com/quote/epa/TEP/financials/ratios/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balance sheet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https://simplywall.st/ja/stocks/fr/commercial-services/epa-tep/teleperformance-shares/health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news (tender offer on 2027 and 2028 notes)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reduces targets after mixed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https://www.marketscreener.com/news/teleperformance-reduces-targets-after-mixed-results-ce7d5cddd888f426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Quarterly Information as of March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https://www.businesswire.com/news/home/20250430224018/en/Teleperformance-Quarterly-Information-as-of-March-31-2025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Après sa chute vertigineuse en Bourse, Teleperformance procède à un rachat d'actions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https://www.tradingsat.com/teleperformance-FR0000051807/actualites/teleperformance-apres-sa-chute-vertigineuse-en-bourse-teleperformance-procede-a-un-rachat-d-actions-1043745.html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Raises €1.4 Billion of Long-term Bonds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https://www.businesswire.com/news/home/20231116596863/en/Teleperformance-Raises-%E2%82%AC1.4-Billion-of-Long-term-Bonds-More-Than-5.1x-Over-subscribed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First-Half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https://www.businesswire.com/news/home/20250731797689/en/Teleperformance-First-Half-2025-Results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Concentrix Corporation (CNXC)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https://finance.yahoo.com/quote/CNXC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 stock finds its footing on Euronext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Outsource Accelerator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https://news.outsourceaccelerator.com/tp-stock-finds-euronext/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Genpact Limited (G)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Genpact Limited valuation (peer table)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https://www.simplywall.st//company/id/3cc8ec14-b861-4541-b36c-e0186a9b35d9/valuation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volte-face de Teleperformance sur la modération de contenus choquants inquiète la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https://www.tradingsat.com/teleperformance-FR0000051807/actualites/teleperformance-la-volte-face-de-teleperformance-sur-la-moderation-de-contenus-choquants-inquiete-la-bourse-1062057.html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Alors qu'il a nommé un expert de l'IA à sa tête, l'ex-Teleperformance (TP) prévient qu'il dégagera moins de cash cette année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https://www.tradingsat.com/teleperformance-FR0000051807/actualites/teleperformance-alors-qu-il-a-nomme-un-expert-de-l-ia-a-sa-tete-pour-redresser-la-barre-l-ex-teleperformance-tp-previent-qu-il-degagera-moins-de-cash-cette-annee-l-action-reperd-5-1157542.html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news (board chairmanship, lead independent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https://uk.marketscreener.com/quote/stock/TELEPERFORMANCE-SE-4709/news-press-releases/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 affiche un résultat net de 216 millions d'euros au premier semestre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 (TradingSat)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https://www.tradingsat.com/teleperformance-FR0000051807/actualites/teleperformance-tp-affiche-un-resultat-net-de-216-millions-d-euros-au-premier-semestre-2026-1167877.html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valuation and dividend (consensus EPS)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https://uk.marketscreener.com/quote/stock/TELEPERFORMANCE-SE-4709/valuation-dividend/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have lowered their fair value price target for Teleperformance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https://simplywall.st/community/narratives/fr/commercial-services/epa-tep/teleperformance-shares/97utvphi-ai-advances-and-global-footprint-will-shape-service-industry-outlook/updates/12-analysts-have-lowered-their-fair-value-price-target-for-tele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cours de l'action et cotation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https://www.abcbourse.com/cotation/TEPp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Consensus des analystes Teleperformance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https://www.ideal-investisseur.fr/en/analyst-consensus/teleperformance/FR0000051807.html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SE (TEP.PA) -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https://www.digrin.com/stocks/detail/TEP.PA/price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(TEP)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https://www.investsmart.com.au/security/par/tep/teleperformance/share-price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L'action Teleperformance cède près de 3 % après les résultats semestriels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https://www.ideal-investisseur.fr/actions-b/laction-teleperformance-cede-pres-de-3-apres-les-resultats-semestriels/23470.html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10-Year Government Bond Yield (OECD vía FRED)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Macroradar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https://www.macroradar.io/germany-10-year-yield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cours action TEP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https://www.boursorama.com/cours/1rPTEP/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análisis y comentarios (post)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https://app.getquin.com/en/post/JqeDXdiMlT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comentario sobre la guía de 2026 (post)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https://app.getquin.com/en/post/PSuxoDZTDO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Teleperformance : entre valorisation déprimée et doutes persistants sur le modèle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https://www.abcbourse.com/analyses/teleperformance_entre_valorisation_deprimee_et_doutes_persistants_sur_le_modele-7038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70,2 %</w:t>
      </w:r>
      <w:r>
        <w:t xml:space="preserve"> · Secciones con menos del 60 % de campos cubiertos: </w:t>
      </w:r>
      <w:r>
        <w:rPr>
          <w:b/>
          <w:bCs/>
        </w:rPr>
        <w:t xml:space="preserve">gobierno, transacciones, calidad, balance, consenso, bolsa</w:t>
      </w:r>
      <w:r>
        <w:t xml:space="preserve"> · Generado el 14 oct 2026.</w:t>
      </w:r>
    </w:p>
    <w:p>
      <w:pPr>
        <w:pStyle w:val="Nota"/>
        <w:spacing w:after="100"/>
      </w:pPr>
      <w:r>
        <w:t xml:space="preserve">Análisis hecho desde la nube con la red limitada a la búsqueda web: la web de TP, la AMF, Yahoo y los proveedores de datos no se pudieron abrir, así que las cifras salen de los extractos de búsqueda de los comunicados (Business Wire, BALO) y de agregadores (Stock Analysis, ABC Bourse, Digrin) con la URL como fuente, cruzadas cuando fue posible. El balance es parcial (caja, deuda y arrendamientos; sin activo, circulante ni fondo de comercio), la cuenta no tiene resultado financiero ni impuestos por año y la bolsa no tiene betas ni rentabilidades calculadas con herramientas/bolsa.mjs. Precio: cierre del 13-oct-2026 (74,62 EUR, ABC Bourse), porque la sesión del 14-oct estaba abierta. Acciones: 58,4 M diluidas (216 M de beneficio ÷ 3,70 EUR de BPA del 1S26). El BPA es siempre el publicado (no el ajustado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Teleperformance SE (TP) (TEP)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74,62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Hoja1!$B$2:$B$7</c:f>
              <c:numCache>
                <c:formatCode>#,##0</c:formatCode>
                <c:ptCount val="6"/>
                <c:pt idx="0">
                  <c:v>43.65</c:v>
                </c:pt>
                <c:pt idx="1">
                  <c:v>48.01</c:v>
                </c:pt>
                <c:pt idx="2">
                  <c:v>125.97</c:v>
                </c:pt>
                <c:pt idx="3">
                  <c:v>45.27</c:v>
                </c:pt>
                <c:pt idx="4">
                  <c:v>158.67</c:v>
                </c:pt>
                <c:pt idx="5">
                  <c:v>74.25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Hoja1!$C$2:$C$7</c:f>
              <c:numCache>
                <c:formatCode>#,##0</c:formatCode>
                <c:ptCount val="6"/>
                <c:pt idx="0">
                  <c:v>34.49</c:v>
                </c:pt>
                <c:pt idx="1">
                  <c:v>80.03</c:v>
                </c:pt>
                <c:pt idx="2">
                  <c:v>54.379999999999995</c:v>
                </c:pt>
                <c:pt idx="3">
                  <c:v>137.7</c:v>
                </c:pt>
                <c:pt idx="4">
                  <c:v>43.23000000000002</c:v>
                </c:pt>
                <c:pt idx="5">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5</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Teleperformance</c:v>
                </c:pt>
                <c:pt idx="1">
                  <c:v>Concentrix (con Webhelp)</c:v>
                </c:pt>
                <c:pt idx="2">
                  <c:v>Foundever (antes Sitel)</c:v>
                </c:pt>
                <c:pt idx="3">
                  <c:v>Genpact</c:v>
                </c:pt>
                <c:pt idx="4">
                  <c:v>EXL</c:v>
                </c:pt>
              </c:strCache>
            </c:strRef>
          </c:cat>
          <c:val>
            <c:numRef>
              <c:f>Hoja1!$B$2:$B$6</c:f>
              <c:numCache>
                <c:formatCode>0.0"%"</c:formatCode>
                <c:ptCount val="5"/>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7115</c:v>
                </c:pt>
                <c:pt idx="1">
                  <c:v>8154</c:v>
                </c:pt>
                <c:pt idx="2">
                  <c:v>8345</c:v>
                </c:pt>
                <c:pt idx="3">
                  <c:v>10280</c:v>
                </c:pt>
                <c:pt idx="4">
                  <c:v>10209</c:v>
                </c:pt>
                <c:pt idx="5">
                  <c:v>9872</c:v>
                </c:pt>
                <c:pt idx="6">
                  <c:v>9971</c:v>
                </c:pt>
                <c:pt idx="7">
                  <c:v>10170</c:v>
                </c:pt>
                <c:pt idx="8">
                  <c:v>10323</c:v>
                </c:pt>
                <c:pt idx="9">
                  <c:v>10478</c:v>
                </c:pt>
                <c:pt idx="10">
                  <c:v>10582</c:v>
                </c:pt>
                <c:pt idx="11">
                  <c:v>10688</c:v>
                </c:pt>
                <c:pt idx="12">
                  <c:v>10795</c:v>
                </c:pt>
                <c:pt idx="13">
                  <c:v>10903</c:v>
                </c:pt>
                <c:pt idx="14">
                  <c:v>11012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1347</c:v>
                </c:pt>
                <c:pt idx="1">
                  <c:v>1565</c:v>
                </c:pt>
                <c:pt idx="2">
                  <c:v>1592</c:v>
                </c:pt>
                <c:pt idx="3">
                  <c:v>1818</c:v>
                </c:pt>
                <c:pt idx="4">
                  <c:v>1751</c:v>
                </c:pt>
                <c:pt idx="5">
                  <c:v>1639</c:v>
                </c:pt>
                <c:pt idx="6">
                  <c:v>1715</c:v>
                </c:pt>
                <c:pt idx="7">
                  <c:v>1780</c:v>
                </c:pt>
                <c:pt idx="8">
                  <c:v>1806</c:v>
                </c:pt>
                <c:pt idx="9">
                  <c:v>1834</c:v>
                </c:pt>
                <c:pt idx="10">
                  <c:v>1841</c:v>
                </c:pt>
                <c:pt idx="11">
                  <c:v>1849</c:v>
                </c:pt>
                <c:pt idx="12">
                  <c:v>1857</c:v>
                </c:pt>
                <c:pt idx="13">
                  <c:v>1864</c:v>
                </c:pt>
                <c:pt idx="14">
                  <c:v>1872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18.9</c:v>
                </c:pt>
                <c:pt idx="1">
                  <c:v>19.2</c:v>
                </c:pt>
                <c:pt idx="2">
                  <c:v>19.1</c:v>
                </c:pt>
                <c:pt idx="3">
                  <c:v>17.7</c:v>
                </c:pt>
                <c:pt idx="4">
                  <c:v>17.2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12.2</c:v>
                </c:pt>
                <c:pt idx="1">
                  <c:v>12.2</c:v>
                </c:pt>
                <c:pt idx="2">
                  <c:v>12</c:v>
                </c:pt>
                <c:pt idx="3">
                  <c:v>10.5</c:v>
                </c:pt>
                <c:pt idx="4">
                  <c:v>10.3</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7.8</c:v>
                </c:pt>
                <c:pt idx="1">
                  <c:v>7.9</c:v>
                </c:pt>
                <c:pt idx="2">
                  <c:v>7.1</c:v>
                </c:pt>
                <c:pt idx="3">
                  <c:v>5.1</c:v>
                </c:pt>
                <c:pt idx="4">
                  <c:v>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2">
                  <c:v>0.8</c:v>
                </c:pt>
                <c:pt idx="3">
                  <c:v>-2.1</c:v>
                </c:pt>
                <c:pt idx="4">
                  <c:v>-4.5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2">
                  <c:v>1.5</c:v>
                </c:pt>
                <c:pt idx="4">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909</c:v>
                </c:pt>
                <c:pt idx="1">
                  <c:v>996</c:v>
                </c:pt>
                <c:pt idx="2">
                  <c:v>1142</c:v>
                </c:pt>
                <c:pt idx="3">
                  <c:v>1594</c:v>
                </c:pt>
                <c:pt idx="4">
                  <c:v>1046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557</c:v>
                </c:pt>
                <c:pt idx="1">
                  <c:v>643</c:v>
                </c:pt>
                <c:pt idx="2">
                  <c:v>592</c:v>
                </c:pt>
                <c:pt idx="3">
                  <c:v>523</c:v>
                </c:pt>
                <c:pt idx="4">
                  <c:v>497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20.9</c:v>
                </c:pt>
                <c:pt idx="4">
                  <c:v>13.2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7.4</c:v>
                </c:pt>
                <c:pt idx="1">
                  <c:v>7.4</c:v>
                </c:pt>
                <c:pt idx="2">
                  <c:v>7.4</c:v>
                </c:pt>
                <c:pt idx="3">
                  <c:v>7.4</c:v>
                </c:pt>
                <c:pt idx="4">
                  <c:v>7.4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24.2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0.0"x"</c:formatCode>
                <c:ptCount val="2"/>
                <c:pt idx="0">
                  <c:v>2.14</c:v>
                </c:pt>
                <c:pt idx="1">
                  <c:v>2.27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2">
                  <c:v>2373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141</c:v>
                </c:pt>
                <c:pt idx="1">
                  <c:v>194</c:v>
                </c:pt>
                <c:pt idx="2">
                  <c:v>227</c:v>
                </c:pt>
                <c:pt idx="3">
                  <c:v>231</c:v>
                </c:pt>
                <c:pt idx="4">
                  <c:v>248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146</c:v>
                </c:pt>
                <c:pt idx="2">
                  <c:v>366</c:v>
                </c:pt>
                <c:pt idx="3">
                  <c:v>184</c:v>
                </c:pt>
                <c:pt idx="4">
                  <c:v>114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Ejecutivo</c:v>
                </c:pt>
              </c:strCache>
            </c:strRef>
          </c:cat>
          <c:val>
            <c:numRef>
              <c:f>Hoja1!$B$2:$B$4</c:f>
              <c:numCache>
                <c:formatCode>0</c:formatCode>
                <c:ptCount val="3"/>
                <c:pt idx="0">
                  <c:v>1</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776</c:v>
                </c:pt>
                <c:pt idx="1">
                  <c:v>815</c:v>
                </c:pt>
                <c:pt idx="2">
                  <c:v>843</c:v>
                </c:pt>
                <c:pt idx="3">
                  <c:v>849</c:v>
                </c:pt>
                <c:pt idx="4">
                  <c:v>855</c:v>
                </c:pt>
                <c:pt idx="5">
                  <c:v>849</c:v>
                </c:pt>
                <c:pt idx="6">
                  <c:v>850</c:v>
                </c:pt>
                <c:pt idx="7">
                  <c:v>852</c:v>
                </c:pt>
                <c:pt idx="8">
                  <c:v>853</c:v>
                </c:pt>
                <c:pt idx="9">
                  <c:v>854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5692</c:v>
                </c:pt>
                <c:pt idx="1">
                  <c:v>7030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74,62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45.27</c:v>
                </c:pt>
                <c:pt idx="1">
                  <c:v>149.01</c:v>
                </c:pt>
                <c:pt idx="2">
                  <c:v>182.97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74,62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Hoja1!$B$2:$B$7</c:f>
              <c:numCache>
                <c:formatCode>#,##0</c:formatCode>
                <c:ptCount val="6"/>
                <c:pt idx="0">
                  <c:v>43.65</c:v>
                </c:pt>
                <c:pt idx="1">
                  <c:v>48.01</c:v>
                </c:pt>
                <c:pt idx="2">
                  <c:v>125.97</c:v>
                </c:pt>
                <c:pt idx="3">
                  <c:v>45.27</c:v>
                </c:pt>
                <c:pt idx="4">
                  <c:v>158.67</c:v>
                </c:pt>
                <c:pt idx="5">
                  <c:v>74.25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(43,65 – 78,14)</c:v>
                </c:pt>
                <c:pt idx="1">
                  <c:v>Comparables: PER NTM (48,01 – 128,04)</c:v>
                </c:pt>
                <c:pt idx="2">
                  <c:v>DCF (WACC y g ± 0,5) (125,97 – 180,35)</c:v>
                </c:pt>
                <c:pt idx="3">
                  <c:v>Escenarios (bajista – alcista) (45,27 – 182,97)</c:v>
                </c:pt>
                <c:pt idx="4">
                  <c:v>DCF con la prima implícita del mercado (4,2 %)</c:v>
                </c:pt>
                <c:pt idx="5">
                  <c:v>Precio actual (74,62)</c:v>
                </c:pt>
              </c:strCache>
            </c:strRef>
          </c:cat>
          <c:val>
            <c:numRef>
              <c:f>Hoja1!$C$2:$C$7</c:f>
              <c:numCache>
                <c:formatCode>#,##0</c:formatCode>
                <c:ptCount val="6"/>
                <c:pt idx="0">
                  <c:v>34.49</c:v>
                </c:pt>
                <c:pt idx="1">
                  <c:v>80.03</c:v>
                </c:pt>
                <c:pt idx="2">
                  <c:v>54.379999999999995</c:v>
                </c:pt>
                <c:pt idx="3">
                  <c:v>137.7</c:v>
                </c:pt>
                <c:pt idx="4">
                  <c:v>43.23000000000002</c:v>
                </c:pt>
                <c:pt idx="5">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