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Wolters Kluwer N.V.</w:t>
      </w:r>
    </w:p>
    <w:p>
      <w:pPr>
        <w:spacing w:after="60"/>
        <w:rPr>
          <w:color w:val="52514E"/>
          <w:sz w:val="22"/>
          <w:szCs w:val="22"/>
        </w:rPr>
      </w:pPr>
      <w:r>
        <w:rPr>
          <w:color w:val="52514E"/>
          <w:sz w:val="22"/>
          <w:szCs w:val="22"/>
        </w:rPr>
        <w:t xml:space="preserve">WKL · Euronext Ámsterdam · ISIN NL0000395903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71,78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73,12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+5,5 % (base +9,5 %)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113,57 EUR · mercado 135,30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16.014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Wolters Kluwer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WKL / NL0000395903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Alphen aan den Rijn · 1836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https://www.wolterskluwer.com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71,78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54,64 – 115,15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85,4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73,12 EUR</w:t>
      </w:r>
      <w:r>
        <w:t xml:space="preserve"> frente a 71,78 · Rentabilidad a 12 meses </w:t>
      </w:r>
      <w:r>
        <w:rPr>
          <w:b/>
          <w:bCs/>
        </w:rPr>
        <w:t xml:space="preserve">+5,5 % (base +9,5 %)</w:t>
      </w:r>
      <w:r>
        <w:t xml:space="preserve"> · Valor intrínseco 113,57 EUR · con la prima implícita del mercado: 135,30 (+88,5 %) · Alcista / bajista +123,0 % / -18,0 %</w:t>
      </w:r>
    </w:p>
    <w:p>
      <w:pPr>
        <w:spacing w:after="100"/>
      </w:pPr>
      <w:r>
        <w:rPr>
          <w:b/>
        </w:rPr>
        <w:t xml:space="preserve">La recomendación y por qué.</w:t>
      </w:r>
      <w:r>
        <w:t xml:space="preserve"> Comprar, con convicción media. El valor objetivo es de 113,57 EUR frente a 71,78 EUR: un potencial del 58,2 % y una rentabilidad total esperada del 61,8 % a 12 meses con el dividendo. El alcista gana un 123,0 % y el bajista pierde un 18,0 %, una asimetría de 6,83 veces. El precio descuenta que la IA generativa hará encoger el negocio; las cifras muestran un frenazo en la parte más expuesta, no una contracción del grupo.</w:t>
      </w:r>
    </w:p>
    <w:p>
      <w:pPr>
        <w:spacing w:after="100"/>
      </w:pPr>
      <w:r>
        <w:rPr>
          <w:b/>
        </w:rPr>
        <w:t xml:space="preserve">El negocio.</w:t>
      </w:r>
      <w:r>
        <w:t xml:space="preserve"> El 85 % de los ingresos es recurrente y crece un 7 % orgánico por tercer año; el software en la nube, un 14 % [8]. Las renovaciones superan el 90 % en UpToDate y el 95 % en CCH Axcess [18, 19], y el ROIC del 25,4 % más que triplica el WACC del 6,84 %. La calidad sostiene el crecimiento que proyectamos (3,9 % anual de media; 4,0-4,5 % desde 2027): es menos que el orgánico demostrado, se apoya en precio y costes de cambio y no pide capital nuevo, porque el circulante negativo financia el crecimiento. El riesgo es real pero acotado: lo sustituible por asistentes generales es sobre todo UpToDate (en torno al 10 % de los ingresos) y la información jurídica europea. Ahí está la señal que nos frena: Clinical Solutions bajó del 7 % al 5 % orgánico en el semestre, mientras OpenEvidence, gratis para el médico, ya llega a más del 40 % de los médicos de EE. UU. [8, 24].</w:t>
      </w:r>
    </w:p>
    <w:p>
      <w:pPr>
        <w:spacing w:after="100"/>
      </w:pPr>
      <w:r>
        <w:rPr>
          <w:b/>
        </w:rPr>
        <w:t xml:space="preserve">Finanzas.</w:t>
      </w:r>
      <w:r>
        <w:t xml:space="preserve"> Los ingresos crecieron un 6,4 % anual en 2021-2025 y el margen operativo ajustado pasó del 25,3 % al 27,5 %, con un 29,4 % en el primer semestre de 2026 [1, 8]. El flujo libre es el 8,3 % de la capitalización. La deuda neta ajustada (4.458 M, 2,2 veces el EBITDA) sale de haber devuelto el 115 % del flujo libre en cinco años; la calificación sigue en A-.</w:t>
      </w:r>
    </w:p>
    <w:p>
      <w:pPr>
        <w:spacing w:after="100"/>
      </w:pPr>
      <w:r>
        <w:rPr>
          <w:b/>
        </w:rPr>
        <w:t xml:space="preserve">Equipo y gobierno.</w:t>
      </w:r>
      <w:r>
        <w:t xml:space="preserve"> No hay accionista de control y el 82 % del consejo es independiente, pero una fundación de acciones preferentes blinda frente a una OPA. Stacey Caywood es CEO desde febrero de 2026, tras un relevo anunciado un año antes; casi toda la cúpula divisional es nueva. El voto en contra del informe de remuneraciones subió al 14,8 % en 2026 [39]. La dirección cumplió su guía en 2022-2025, pero recompró a 128-149 EUR y ahora, a mitad de precio, recompra menos [1, 2].</w:t>
      </w:r>
    </w:p>
    <w:p>
      <w:pPr>
        <w:spacing w:after="100"/>
      </w:pPr>
      <w:r>
        <w:rPr>
          <w:b/>
        </w:rPr>
        <w:t xml:space="preserve">Valoración.</w:t>
      </w:r>
      <w:r>
        <w:t xml:space="preserve"> El DCF da 124,42 EUR; los comparables, 91,84 EUR por EV/EBITDA y 111,70 por PER; los escenarios ponderados, 108,61. La acción cotiza a 9,3 veces el EBITDA de los próximos 12 meses, frente a 19,4 veces de media en sus cierres de 2021-2025. Con nuestro WACC, el precio implica ingresos que caen un 3,9 % al año en 2027-2030 o un margen del 23,7 %; dicho de otro modo, una rentabilidad exigida del 9,6 %. Nuestras cifras van un 2-3 % por debajo del consenso en EBITDA [51]: la diferencia con el mercado no está en la previsión, sino en la tasa que exige por el riesgo de la IA. Por eso la convicción es media y no alta, y depende de las dos próximas publicaciones. Con la prima implícita del mercado (4,2 % [81]), el valor sube a 135,30 EUR; las dos reglas dan Comprar.</w:t>
      </w:r>
    </w:p>
    <w:p>
      <w:pPr>
        <w:spacing w:after="100"/>
      </w:pPr>
      <w:r>
        <w:rPr>
          <w:b/>
        </w:rPr>
        <w:t xml:space="preserve">Riesgos y catalizadores.</w:t>
      </w:r>
      <w:r>
        <w:t xml:space="preserve"> Si la sustitución avanza (el bajista: ingresos casi planos y cuatro puntos menos de margen), la acción valdría 58,85 EUR, cerca del mínimo de 52 semanas. Medio punto más de WACC quita un 11 %. Los catalizadores con fecha son el avance de nueve meses del 4-nov-2026 y los resultados de febrero de 2027, con la guía de margen.</w:t>
      </w:r>
    </w:p>
    <w:p>
      <w:pPr>
        <w:spacing w:after="100"/>
      </w:pPr>
      <w:r>
        <w:rPr>
          <w:b/>
        </w:rPr>
        <w:t xml:space="preserve">Qué cambiaría la decisión.</w:t>
      </w:r>
      <w:r>
        <w:t xml:space="preserve"> Pasaríamos a Mantener por encima de 110,62 EUR y a Vender por encima de 153,32 EUR. También pasaríamos a Mantener si Clinical Solutions crece menos de un 3 % en un semestre o los recurrentes menos de un 5 %, y revisaríamos el caso base si el margen ajustado de 2026 queda por debajo del 27,5 %.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73,12 EUR</w:t>
      </w:r>
      <w:r>
        <w:t xml:space="preserve"> (rentabilidad +5,5 % (base +9,5 %)) · Valor intrínseco: 113,57 EUR (+58,2 % sobre 71,78) · con la prima implícita del mercado: 135,30 (+88,5 %)</w:t>
      </w:r>
    </w:p>
    <w:p>
      <w:pPr>
        <w:spacing w:after="100"/>
      </w:pPr>
      <w:r>
        <w:t xml:space="preserve">Wolters Kluwer vende información y software por suscripción a médicos, despachos fiscales, abogados y departamentos de cumplimiento: 6.125 M EUR de ingresos en 2025, un 83 % recurrentes, con un crecimiento orgánico del 6 % en cada uno de los últimos cinco años [1], y un ROIC del 25,4 % frente a un WACC del 6,84 %. Sus renovaciones superan el 90 % en UpToDate y el 95 % en CCH Axcess, porque el producto está dentro del flujo de trabajo y de la historia clínica [18, 19].</w:t>
      </w:r>
    </w:p>
    <w:p>
      <w:pPr>
        <w:spacing w:after="100"/>
      </w:pPr>
      <w:r>
        <w:t xml:space="preserve">El precio, 71,78 EUR, descuenta lo contrario: un negocio en contracción. Con nuestro WACC solo cuadra con ingresos que caen un 3,9 % al año en 2027-2030 o con un margen EBITDA del 23,7 % (34,2 % en nuestro caso base). La acción cotiza a 9,3 veces el EBITDA de los próximos 12 meses, frente a 19,4 veces de media en sus cierres de 2021-2025 y a 11,4 veces de mediana de los comparables, todos castigados por el mismo miedo a la IA generativa [23, 51].</w:t>
      </w:r>
    </w:p>
    <w:p>
      <w:pPr>
        <w:spacing w:after="100"/>
      </w:pPr>
      <w:r>
        <w:t xml:space="preserve">Creemos que el mercado acierta en el riesgo y se equivoca en la escala. Lo expuesto a la sustitución por asistentes generales es sobre todo UpToDate (en torno al 10 % de los ingresos) y la información jurídica europea; el resto es software y servicios de cumplimiento donde la IA se vende como módulo de pago. Para invertir hay que creer que el frenazo del semestre en Clinical Solutions (del 7 % al 5 %) no es el principio de una caída, y eso se verá el 4-nov-2026 y en febrero de 2027 [8].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35/45/20)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4,23 = 49,07 · 13,6x × 5,59 = 76,02 · 17,7x × 6,14 = 108,68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(25,8x) es 1,9 veces el PER de hoy (13,6x);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89,78 (nuestro base -15,3 %)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6,8 %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(2027e-2030e)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frente a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61,8 %, asimetría de 6,83, bajista del -18,0 % y el precio descuenta 8,2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65,84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65,84 y 84,13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84,13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orgánico de Clinical Solutions baja del 3 % en un semestre (5 % en el 1S26), pasaríamos a Mantener.</w:t>
      </w:r>
    </w:p>
    <w:p>
      <w:pPr>
        <w:pStyle w:val="ListParagraph"/>
        <w:numPr>
          <w:ilvl w:val="0"/>
          <w:numId w:val="2"/>
        </w:numPr>
        <w:spacing w:after="60"/>
      </w:pPr>
      <w:r>
        <w:t xml:space="preserve">Si el orgánico de los ingresos recurrentes del grupo baja del 5 % (7 % en el 1S26), pasaríamos a Mantener.</w:t>
      </w:r>
    </w:p>
    <w:p>
      <w:pPr>
        <w:pStyle w:val="ListParagraph"/>
        <w:numPr>
          <w:ilvl w:val="0"/>
          <w:numId w:val="2"/>
        </w:numPr>
        <w:spacing w:after="60"/>
      </w:pPr>
      <w:r>
        <w:t xml:space="preserve">Si el margen operativo ajustado de 2026 queda por debajo del 27,5 % (guía en torno al 28 %), revisaríamos el caso base a la baja.</w:t>
      </w:r>
    </w:p>
    <w:p>
      <w:pPr>
        <w:pStyle w:val="ListParagraph"/>
        <w:numPr>
          <w:ilvl w:val="0"/>
          <w:numId w:val="2"/>
        </w:numPr>
        <w:spacing w:after="60"/>
      </w:pPr>
      <w:r>
        <w:t xml:space="preserve">Por encima de 110,62 EUR pasaríamos a Mantener, y por encima de 153,32 EUR, a Vender.</w:t>
      </w:r>
    </w:p>
    <w:p>
      <w:pPr>
        <w:pStyle w:val="ListParagraph"/>
        <w:numPr>
          <w:ilvl w:val="0"/>
          <w:numId w:val="2"/>
        </w:numPr>
        <w:spacing w:after="60"/>
      </w:pPr>
      <w:r>
        <w:t xml:space="preserve">Una adquisición de más de 2.000 M a más de 20 veces el EBITDA nos haría revisar la asignación de capital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convierte el contenido profesional en una materia prima. A 71,78 EUR, un 55 % por debajo del cierre de 2024, la acción cotiza a 9,3 veces el EBITDA de los próximos 12 meses y con un rendimiento del flujo libre del 8,3 %; con nuestro WACC, eso solo cuadra con ingresos que caen un 3,9 % al año en 2027-2030 o con un margen EBITDA del 23,7 %.</w:t>
      </w:r>
    </w:p>
    <w:p>
      <w:pPr>
        <w:keepNext/>
        <w:spacing w:after="100"/>
      </w:pPr>
      <w:r>
        <w:rPr>
          <w:b/>
          <w:bCs/>
        </w:rPr>
        <w:t xml:space="preserve">Lo que creemos nosotros.</w:t>
      </w:r>
    </w:p>
    <w:p>
      <w:pPr>
        <w:spacing w:after="100"/>
      </w:pPr>
      <w:r>
        <w:t xml:space="preserve">Los datos a la fecha de corte no muestran esa contracción, aunque sí un frenazo en lo más expuesto: los recurrentes crecen un 7 % orgánico por tercer año, el software en la nube un 14 % y el margen ajustado sube 100 pb en el primer semestre de 2026 [8], mientras Clinical Solutions baja del 7 % al 5 %. Lo expuesto a la sustitución pura (UpToDate, en torno al 10 % de los ingresos, y la información jurídica europea) es una parte; el resto es software de flujo de trabajo y servicios de cumplimiento con renovaciones del 90-95 % [18, 19].</w:t>
      </w:r>
    </w:p>
    <w:p>
      <w:pPr>
        <w:keepNext/>
        <w:spacing w:after="100"/>
      </w:pPr>
      <w:r>
        <w:rPr>
          <w:b/>
          <w:bCs/>
        </w:rPr>
        <w:t xml:space="preserve">Por qué podemos tener razón.</w:t>
      </w:r>
    </w:p>
    <w:p>
      <w:pPr>
        <w:spacing w:after="100"/>
      </w:pPr>
      <w:r>
        <w:t xml:space="preserve">El mercado extrapola el riesgo de la parte más expuesta a todo el grupo y no distingue entre consulta y flujo de trabajo. Además, la IA ya se cobra: Libra se vende a unas dos veces el precio del contenido jurídico y un tercio de los médicos individuales que renuevan sube a la versión con Expert AI [19, 20]. Podemos equivocarnos si el frenazo de Clinical Solutions es el principio de la sustitución y no un semestre flojo: lo sabremos en las próximas dos publicaciones.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una contracción que no se ve en las cifras</w:t>
      </w:r>
      <w:r>
        <w:t xml:space="preserve">: con nuestro WACC implica ingresos que caen un 3,9 % al año, cuando el orgánico del 1S26 fue del +5 % [8].</w:t>
      </w:r>
    </w:p>
    <w:p>
      <w:pPr>
        <w:pStyle w:val="ListParagraph"/>
        <w:numPr>
          <w:ilvl w:val="0"/>
          <w:numId w:val="2"/>
        </w:numPr>
        <w:spacing w:after="60"/>
      </w:pPr>
      <w:r>
        <w:rPr>
          <w:b/>
        </w:rPr>
        <w:t xml:space="preserve">Ingresos recurrentes del 85 %</w:t>
      </w:r>
      <w:r>
        <w:t xml:space="preserve"> que crecen un 7 % orgánico por tercer año, con la nube al 14 % [8].</w:t>
      </w:r>
    </w:p>
    <w:p>
      <w:pPr>
        <w:pStyle w:val="ListParagraph"/>
        <w:numPr>
          <w:ilvl w:val="0"/>
          <w:numId w:val="2"/>
        </w:numPr>
        <w:spacing w:after="60"/>
      </w:pPr>
      <w:r>
        <w:rPr>
          <w:b/>
        </w:rPr>
        <w:t xml:space="preserve">Flujo libre del 8,3 % de la capitalización</w:t>
      </w:r>
      <w:r>
        <w:t xml:space="preserve"> y deuda neta de 2,0 veces el EBITDA con calificación A- [8].</w:t>
      </w:r>
    </w:p>
    <w:p>
      <w:pPr>
        <w:pStyle w:val="ListParagraph"/>
        <w:numPr>
          <w:ilvl w:val="0"/>
          <w:numId w:val="2"/>
        </w:numPr>
        <w:spacing w:after="60"/>
      </w:pPr>
      <w:r>
        <w:rPr>
          <w:b/>
        </w:rPr>
        <w:t xml:space="preserve">ROIC del 25,4 %</w:t>
      </w:r>
      <w:r>
        <w:t xml:space="preserve">, más de 18 puntos por encima del WACC, y margen operativo ajustado al alza (29,4 % en el 1S26) [8].</w:t>
      </w:r>
    </w:p>
    <w:p>
      <w:pPr>
        <w:pStyle w:val="ListParagraph"/>
        <w:numPr>
          <w:ilvl w:val="0"/>
          <w:numId w:val="2"/>
        </w:numPr>
        <w:spacing w:after="60"/>
      </w:pPr>
      <w:r>
        <w:rPr>
          <w:b/>
        </w:rPr>
        <w:t xml:space="preserve">La IA ya se cobra</w:t>
      </w:r>
      <w:r>
        <w:t xml:space="preserve">: más del 90 % de los clientes Enterprise de UpToDate en EE. UU. adoptó Expert AI y Libra se vende a unas dos veces el precio del contenido jurídico [8, 19].</w:t>
      </w:r>
    </w:p>
    <w:p>
      <w:pPr>
        <w:pStyle w:val="Heading2"/>
      </w:pPr>
      <w:r>
        <w:t xml:space="preserve">En contra</w:t>
      </w:r>
    </w:p>
    <w:p>
      <w:pPr>
        <w:pStyle w:val="ListParagraph"/>
        <w:numPr>
          <w:ilvl w:val="0"/>
          <w:numId w:val="2"/>
        </w:numPr>
        <w:spacing w:after="60"/>
      </w:pPr>
      <w:r>
        <w:rPr>
          <w:b/>
        </w:rPr>
        <w:t xml:space="preserve">Lo más expuesto se frena</w:t>
      </w:r>
      <w:r>
        <w:t xml:space="preserve">: Clinical Solutions pasó del 7 % al 5 % orgánico y Tax &amp; Accounting Norteamérica del 8 % al 5 % en el 1S26 [8].</w:t>
      </w:r>
    </w:p>
    <w:p>
      <w:pPr>
        <w:pStyle w:val="ListParagraph"/>
        <w:numPr>
          <w:ilvl w:val="0"/>
          <w:numId w:val="2"/>
        </w:numPr>
        <w:spacing w:after="60"/>
      </w:pPr>
      <w:r>
        <w:rPr>
          <w:b/>
        </w:rPr>
        <w:t xml:space="preserve">Rivales con capital abundante y precio cero</w:t>
      </w:r>
      <w:r>
        <w:t xml:space="preserve">: OpenEvidence, gratis para el médico, lo usa más del 40 % de los médicos de EE. UU. y vale 15.000 M USD [24, 38].</w:t>
      </w:r>
    </w:p>
    <w:p>
      <w:pPr>
        <w:pStyle w:val="ListParagraph"/>
        <w:numPr>
          <w:ilvl w:val="0"/>
          <w:numId w:val="2"/>
        </w:numPr>
        <w:spacing w:after="60"/>
      </w:pPr>
      <w:r>
        <w:rPr>
          <w:b/>
        </w:rPr>
        <w:t xml:space="preserve">Equipo casi nuevo</w:t>
      </w:r>
      <w:r>
        <w:t xml:space="preserve">: cambiaron la CEO y los primeros ejecutivos de Health, FCC y CP&amp;ESG en 2025-2026 [1, 8].</w:t>
      </w:r>
    </w:p>
    <w:p>
      <w:pPr>
        <w:pStyle w:val="ListParagraph"/>
        <w:numPr>
          <w:ilvl w:val="0"/>
          <w:numId w:val="2"/>
        </w:numPr>
        <w:spacing w:after="60"/>
      </w:pPr>
      <w:r>
        <w:rPr>
          <w:b/>
        </w:rPr>
        <w:t xml:space="preserve">Recompras caras y ahora menores</w:t>
      </w:r>
      <w:r>
        <w:t xml:space="preserve">: 128,45 EUR de media en 2025 frente a 67,79 EUR en 2026, con el programa casi parado en septiembre [1, 47].</w:t>
      </w:r>
    </w:p>
    <w:p>
      <w:pPr>
        <w:pStyle w:val="ListParagraph"/>
        <w:numPr>
          <w:ilvl w:val="0"/>
          <w:numId w:val="2"/>
        </w:numPr>
        <w:spacing w:after="60"/>
      </w:pPr>
      <w:r>
        <w:rPr>
          <w:b/>
        </w:rPr>
        <w:t xml:space="preserve">Valor muy sensible a la tasa</w:t>
      </w:r>
      <w:r>
        <w:t xml:space="preserve">: medio punto más de WACC quita un 11 % al DCF, y el precio implica un 9,6 % de rentabilidad exigida.</w:t>
      </w:r>
    </w:p>
    <w:p>
      <w:pPr>
        <w:pStyle w:val="Heading2"/>
      </w:pPr>
      <w:r>
        <w:t xml:space="preserve">Qué tiene que pasar para que la tesis funcione</w:t>
      </w:r>
    </w:p>
    <w:p>
      <w:pPr>
        <w:spacing w:after="100"/>
      </w:pPr>
      <w:r>
        <w:t xml:space="preserve">La tesis depende de que la IA sea un módulo de pago y no un sustituto gratuito del contenido de consulta. La señal de que no se cumple es el crecimiento orgánico de Clinical Solutions por debajo del 3 % en un semestre, o el de los ingresos recurrentes del grupo por debajo del 5 % (7 % en el 1S26). Hay que vigilarlo el 4-nov-2026 y con los resultados de febrero de 2027, junto con el margen ajustado frente al 28 % guiado.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Clinical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más expuesto a OpenEvidence y a los asistentes generales.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precio de todo 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Tax &amp; Accounting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(1S26); guía de en torno al 28 %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gasto en IA se paga con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política financiera; frenaría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Wolters Kluwer nace en 1987 de la fusión de Kluwer con Wolters Samsom, heredera de la editorial escolar que Jan-Berend Wolters fundó en Groninga en 1836 [21]. En los noventa compró en EE. UU. las piezas que hoy son su núcleo: Lippincott (1990), CT Corporation (1995), CCH por 1.900 M USD (1996) y Ovid (1998) [21]. Desde 2002 vendió lo académico, la educación y las editoriales de menor valor añadido [6, 21]. Nancy McKinstry (consejera delegada de septiembre de 2003 a febrero de 2026) llevó la inversión en producto del 8 % al 11 % de los ingresos y convirtió una editorial en papel en un proveedor de software y bases de conocimiento: en 2025 el 83 % de los ingresos fue recurrente y el 21 %, software en la nube [1, 3]. Stacey Caywood, en el consejo de dirección desde mayo de 2025, la sucedió en febrero de 2026 con tres prioridades: acelerar la IA, las alianzas y la capacidad comercial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Jan-Berend Wolters funda en Groninga la editorial escolar de la que procede la rama Wolters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Kluwer se fusiona con Wolters Samsom y nace Wolters Kluwer, segunda editorial de los Países Bajos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EE. UU.: J. B. Lippincott (1990), CT Corporation (1995), CCH Inc. por 1.900 M USD (1996), Waverly y Ovid Technologies (1998). Son la base de Health, Tax &amp; Accounting y Financial &amp; Corporate Compliance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editoriales: venta de Kluwer Academic Publishers a Cinven y Candover (2002) y de Wolters Kluwer Education a Bridgepoint (2007)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Nancy McKinstry, consejera delegada hasta febrero de 2026; sube la inversión en desarrollo de producto de en torno al 8 % al 11 % de los ingresos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UpToDate (septiembre), hoy en torno al 10 % de los ingresos del grupo [18,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Enablon (software de EHS y ESG), germen de la división Corporate Performance &amp; ESG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 por 114 M EUR (624 empleados)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cartera de soluciones en la nube de Isabel Group (Finca) por 325 M EUR para Tax &amp; Accounting Europa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RASi (386 M EUR), Brightflag (436 M EUR) y Libra (IA jurídica, Berlín); venta de Finance, Risk &amp; Regulatory Reporting a Regnology por un valor empresa de 450 M EUR, con una plusvalía de 232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UpToDate Expert AI (octubre) y de los módulos agénticos de CCH Axcess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Stacey Caywood, consejera delegada (febrero). El 3 de febrero la acción cae un 12,7 % en un día con todo el sector de información profesional tras el anuncio de herramientas jurídicas de Anthropic; en junio, alianza ampliada con OpenAI [3, 8,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Wolters Kluwer vende información, software y servicios a profesionales en cinco divisiones (ingresos de 2025: 6.125 M EUR) [1]. </w:t>
      </w:r>
      <w:r>
        <w:rPr>
          <w:b/>
        </w:rPr>
        <w:t xml:space="preserve">Health</w:t>
      </w:r>
      <w:r>
        <w:t xml:space="preserve"> (1.596 M EUR; margen operativo ajustado del 32,1 %) da apoyo a la decisión clínica (UpToDate, Lexidrug, Medi-Span) a hospitales y médicos, y contenidos de formación e investigación (Lippincott, Ovid) [3]. </w:t>
      </w:r>
      <w:r>
        <w:rPr>
          <w:b/>
        </w:rPr>
        <w:t xml:space="preserve">Tax &amp; Accounting</w:t>
      </w:r>
      <w:r>
        <w:t xml:space="preserve"> (1.660 M EUR; 35,2 %) vende software fiscal y contable a despachos, sobre todo en EE. UU. con la suite en la nube CCH Axcess [3]. </w:t>
      </w:r>
      <w:r>
        <w:rPr>
          <w:b/>
        </w:rPr>
        <w:t xml:space="preserve">Financial &amp; Corporate Compliance</w:t>
      </w:r>
      <w:r>
        <w:t xml:space="preserve"> (1.239 M EUR; 35,2 %) presta servicios de agente registrado y cumplimiento societario (CT Corporation) y de cumplimiento en préstamos para bancos [3]. </w:t>
      </w:r>
      <w:r>
        <w:rPr>
          <w:b/>
        </w:rPr>
        <w:t xml:space="preserve">Legal &amp; Regulatory</w:t>
      </w:r>
      <w:r>
        <w:t xml:space="preserve"> (1.005 M EUR; 18,2 %) vende información jurídica en Europa y software jurídico (ELM, Kleos, Legisway) [3]. </w:t>
      </w:r>
      <w:r>
        <w:rPr>
          <w:b/>
        </w:rPr>
        <w:t xml:space="preserve">Corporate Performance &amp; ESG</w:t>
      </w:r>
      <w:r>
        <w:t xml:space="preserve"> (625 M EUR; 7,5 %) vende software de planificación financiera (CCH Tagetik), auditoría interna (TeamMate) y EHS/ESG (Enablon) [3]. El 63 % de los ingresos procede de Norteamérica; tiene clientes en más de 180 países y 21.100 empleados [3].</w:t>
      </w:r>
    </w:p>
    <w:p>
      <w:pPr>
        <w:pStyle w:val="Heading2"/>
      </w:pPr>
      <w:r>
        <w:t xml:space="preserve">Cómo gana dinero</w:t>
      </w:r>
    </w:p>
    <w:p>
      <w:pPr>
        <w:spacing w:after="100"/>
      </w:pPr>
      <w:r>
        <w:t xml:space="preserve">El 83 % de los ingresos de 2025 es recurrente: suscripciones a software en la nube y a información digital, y mantenimiento de software instalado [3]. El resto son licencias, implantación, formación y comisiones por transacción, concentradas en Financial &amp; Corporate Compliance (operaciones societarias y de préstamo) y en la facturación de gasto jurídico de ELM (10 % de Legal &amp; Regulatory) [3]. La renovación de los mayores productos por suscripción supera el 90 % (UpToDate, más del 90 %; CCH Axcess, más del 95 %) [3, 19]. Los costes son sobre todo de personal (más de la mitad) y de proveedores (41 %), con una inversión en producto del 11 % de los ingresos que sube al 12-13 % desde 2026 [3]. El margen operativo ajustado fue del 27,5 % en 2025, con apalancamiento operativo por la mezcla hacia software en la nube, que creció un 15 % orgánico [1]. La estacionalidad es limitada [8]. La IA se cobra por cuatro vías: subida anual de precio, paquetes superiores, módulos aparte y precios por consumo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la base es muy atomizada. UpToDate llega a más de 50.000 centros, 3 millones de usuarios y 50-60 millones de consultas al mes; el 80 % de sus ingresos procede de instituciones [18]. En Norteamérica, el software fiscal sirve a más de 64.000 despachos, incluido el 95 % de los 100 mayores según Accounting Today, y CCH Axcess a más de 10.000 [19]. Los contratos son suscripciones anuales o plurianuales con renovaciones por encima del 90 % en los grandes productos y un NPS de más de 70 en UpToDate [3, 18]. El poder de precio se ve en la IA: Libra se cobra a unas dos veces el precio de la oferta de contenidos jurídicos y convierte en licencia el 70 % de las pruebas, y un tercio de los médicos individuales que renuevan sube a UpToDate Pro Plus con Expert AI [19, 20]. La empresa no publica la subida media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1T24 6 %, 1S24 6 %, 9M24 6 %, 2024 6 %; 1T25 5 %, 1S25 5 %, 9M25 6 %, 2025 6 %; 1T26 5 %, 1S26 5 % (6 % sin impresos) [1,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del total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+7 % (2025); 85 %; +7 %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+1 % (2024), -1 % (2025), -3 % (1S26); licencias on-premise e implantación -5 % (2025) y -6 %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en la nube (% de ingresos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+15 % (2025); 24 % recurrente;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46 % del software en 2025 [1,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Clinical Solutions (UpToDate y fármacos),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UpToDate: tasa de renovación &gt;90 %, 3 M+ de usuarios, ~10 % de los ingresos del grupo; &gt;90 % de los clientes Enterprise de EE. UU. han adoptado UpToDate Expert AI a julio de 2026 [1, 8,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CCH Axcess (nube de Tax &amp; Accounting Norteamérica),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T&amp;A Norteamérica: 8 % (2024 y 2025) y 5 % en 1S26, con la nube +18 %; tasa de renovación de CCH Axcess &gt;95 %; ~250 despachos con los módulos de IA agéntica a julio de 2026 [1, 17,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(2025); 29,4 %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p.b. / +100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~28,0 % pese a subir el desarrollo de producto al 12-13 % de los ingresos (11 %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 de producto (% ingresos, opex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(2025); objetivo 12-13 % en 2026 y siguientes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 en el segundo semestre de 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impresos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(2025); ~4 %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orgánico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50 p.b. al orgánico de 2025 y 130 p.b. en 1T26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información y el software de flujo de trabajo para profesionales en cuatro verticales: fiscal y contable, jurídico, cumplimiento societario y financiero, y decisión clínica en el punto de atención. Es sobre todo norteamericano (63 % de los ingresos de Wolters Kluwer) y europeo [3]. Uso dos fuentes independientes que no se solapan: Thomson Reuters estima en 31.000 M USD el mercado de sus tres grandes segmentos (jurídico, empresas y fiscal-contable), que coincide con Tax &amp; Accounting, Financial &amp; Corporate Compliance y Legal &amp; Regulatory [26]; y Towards Healthcare mide el software de apoyo a la decisión clínica en 4.000 M USD en 2025 [34]. Quedan fuera la formación y la investigación médica (Learning, Research &amp; Practice) y el software de gestión del rendimiento (Corporate Performance &amp; ESG), que suman en torno al 17 % de los ingresos.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26.400 M EUR (31.000 M USD) en 2025 en información y software jurídico, fiscal-contable y de cumplimiento, estimación de Thomson Reuters [26], más ≈ 3.400 M EUR (4.000 M USD) en 2025 en apoyo a la decisión clínica según Towards Healthcare [34]; en total, ≈ 29.800 M EUR (estimación propia sumando ambas al tipo del BCE del 31-12-2025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generativa y agéntica en el trabajo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70 % de los ingresos digitales de Wolters Kluwer procede de productos con IA y más del 90 % de sus clientes Enterprise de EE. UU. ha adoptado UpToDate Expert AI [1, 8]; a la vez, OpenEvidence, gratuito para el médico, lo usa más del 40 % de los médicos de EE. UU.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incorpora 250.000-300.000 cambios normativos al año y mantiene más de 4.000 formularios fiscales [19]; Thomson Reuters prevé que su mercado crezca un 8-11 % anual en cinco años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profesionales contables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y Thomson Reuters citan la falta de contables como motor de la automatización [3, 26]; el software en la nube de Tax &amp; Accounting Norteamérica creció un 18 % orgánico en el primer semestre de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es el 21 % de los ingresos del grupo y creció un 15 % orgánico en 2025; CCH Axcess, un 19 %, y CCH Tagetik en la nube, otro 19 %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societarias, préstamos y gasto jurídico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transacción de Financial &amp; Corporate Compliance siguieron débiles en el primer semestre de 2026 (préstamos −2 %) y la suspensión de la Corporate Transparency Act en marzo de 2025 recortó los ingresos por titularidad real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presupuestaria de los hospitales y declive del papel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cita la presión presupuestaria de las instituciones; los libros impresos de Learning, Research &amp; Practice cayeron un 7 % en 2025 y el papel restó 50 puntos básicos al crecimiento orgánico del grupo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en jurídico y fiscal (Thomson Reuters, RELX y Wolters Kluwer se citan como sus principales rivales en sus propios informes) con márgenes altos: 47 % de EBITDA en los segmentos jurídico y fiscal de Thomson Reuters y 23 % de margen operativo ajustado en LexisNexis [26, 28]. La rivalidad sube con la IA: todos lanzan asistentes (CoCounsel, Lexis+ AI con Protégé, Expert AI) [3,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(más de 64.000 despachos fiscales y más de 50.000 centros con UpToDate) y renovaciones por encima del 90 % [18, 19]. En Thomson Reuters el mayor cliente pesa en torno al 5 % de los ingresos [26]. Los grandes sistemas hospitalarios negocian contratos de empresa y tienen presión de presupuesto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costes de Wolters Kluwer va a terceros (contenidos, tecnología, servicios) [3]. Crece la dependencia de los modelos de lenguaje de OpenAI, Microsoft o AWS, con los que la empresa tiene alianzas, aunque su plataforma propia de IA (FAB) está pensada para integrar modelos de terceros y cambiarlos con facilidad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lenguaje han abaratado la entrada. Harvey superó los 400 M USD de ingresos recurrentes anuales y se valoró en 15.500 M USD en septiembre de 2026 [25]; OpenEvidence se valoró en 15.000 M USD en septiembre de 2026, 25 % más que en enero [38]. Las barreras que quedan son el contenido propio validado y la integración en el flujo (historia clínica, presentación telemática de impuestos)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generales ya sustituyen consultas: OpenEvidence, gratuito y financiado con publicidad, lo usa más del 40 % de los médicos de EE. UU. [24]; el anuncio de herramientas jurídicas de Anthropic hizo caer el 3 de febrero de 2026 un 12,7 % a Wolters Kluwer, un 14,4 % a RELX y un 15,7 % a Thomson Reuters [22, 23]. Outsell avisa de que la IA de las grandes tecnológicas cuesta una fracción y apenas va por detrás en calidad [35].</w:t>
            </w:r>
          </w:p>
        </w:tc>
      </w:tr>
    </w:tbl>
    <w:p>
      <w:pPr>
        <w:spacing w:after="160" w:before="0"/>
      </w:pPr>
    </w:p>
    <w:p>
      <w:pPr>
        <w:pStyle w:val="Heading2"/>
      </w:pPr>
      <w:r>
        <w:t xml:space="preserve">Ciclo</w:t>
      </w:r>
    </w:p>
    <w:p>
      <w:pPr>
        <w:spacing w:after="100"/>
      </w:pPr>
      <w:r>
        <w:t xml:space="preserve">El negocio es poco cíclico: el 83 % de los ingresos es recurrente [3]. En 2020 el crecimiento orgánico bajó al 2 % y en 2021 volvió al 6 % [7]; en 2022, con inflación y subidas de tipos, fue del 6,2 % [6]. Lo cíclico es la parte transaccional (operaciones societarias, préstamos, gasto jurídico), débil en 2025-2026 por el bajo volumen de fusiones y préstamos [8]. El ciclo que importa hoy no es el económico sino el tecnológico: el crecimiento orgánico del grupo se mantiene en el 5-6 % [8] mientras la acción cae un 38 % desde máximos por el miedo a la IA [22]. No hay datos de 2008-09 en los documentos consultados.</w:t>
      </w:r>
    </w:p>
    <w:p>
      <w:pPr>
        <w:pStyle w:val="Heading2"/>
      </w:pPr>
      <w:r>
        <w:t xml:space="preserve">Regulación</w:t>
      </w:r>
    </w:p>
    <w:p>
      <w:pPr>
        <w:spacing w:after="100"/>
      </w:pPr>
      <w:r>
        <w:rPr>
          <w:b/>
        </w:rPr>
        <w:t xml:space="preserve">IA en la UE</w:t>
      </w:r>
      <w:r>
        <w:t xml:space="preserve">: el Reglamento de IA prohíbe prácticas desde el 2-2-2025 y obliga a los modelos de uso general desde el 2-8-2025; el acuerdo Ómnibus de mayo de 2026 retrasó las obligaciones de alto riesgo al 2-12-2027 (anexo III) y al 2-8-2028 (productos regulados del anexo I, como los productos sanitarios), y las de transparencia del artículo 50 rigen desde el 2-8-2026 con gracia hasta el 2-12-2026 [33]. </w:t>
      </w:r>
      <w:r>
        <w:rPr>
          <w:b/>
        </w:rPr>
        <w:t xml:space="preserve">FDA</w:t>
      </w:r>
      <w:r>
        <w:t xml:space="preserve">: la guía revisada de software de apoyo a la decisión clínica del 6-1-2026 relaja criterios, pero no aclara cómo se regulan los asistentes de IA generativa para médicos [37]. </w:t>
      </w:r>
      <w:r>
        <w:rPr>
          <w:b/>
        </w:rPr>
        <w:t xml:space="preserve">EE. UU., fiscal y societario</w:t>
      </w:r>
      <w:r>
        <w:t xml:space="preserve">: la suspensión de la Corporate Transparency Act en marzo de 2025 recortó ingresos de cumplimiento [3]. </w:t>
      </w:r>
      <w:r>
        <w:rPr>
          <w:b/>
        </w:rPr>
        <w:t xml:space="preserve">Europa</w:t>
      </w:r>
      <w:r>
        <w:t xml:space="preserve">: la factura electrónica obligatoria y el Pilar II impulsan la demanda de software fiscal [3, 8].</w:t>
      </w:r>
    </w:p>
    <w:p>
      <w:pPr>
        <w:pStyle w:val="Heading2"/>
      </w:pPr>
      <w:r>
        <w:t xml:space="preserve">Tendencias y disrupción</w:t>
      </w:r>
    </w:p>
    <w:p>
      <w:pPr>
        <w:spacing w:after="100"/>
      </w:pPr>
      <w:r>
        <w:t xml:space="preserve">La IA generativa decide el sector. A favor de Wolters Kluwer: los clientes institucionales compran IA a sus proveedores de confianza (más del 90 % de los clientes Enterprise de UpToDate en EE. UU. ya adoptó Expert AI en nueve meses; unos 250 despachos, los módulos agénticos de CCH Axcess; Libra ya está en diez países) y la IA se integra en el flujo con socios como Abridge, Dragon Copilot y OpenAI [8]. En contra: nuevos rivales con capital abundante, como OpenEvidence (40 % de los médicos de EE. UU., gratis) y Harvey (más de 400 M USD de ingresos recurrentes) [24, 25], y los laboratorios de IA que entran en jurídico [23]. El mercado ya descuenta erosión: en 2026 caen todas las del sector (Thomson Reuters −23 %, RELX −14 %, Wolters Kluwer −19 % en precio hasta el 8-10) aunque todas crecieron más rápido en el primer semestre [22,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mundial de información y software jurídico, fiscal y de cumplimiento, detrás de Thomson Reuters: sus divisiones Tax &amp; Accounting, Financial &amp; Corporate Compliance (sin la unidad vendida en 2025) y Legal &amp; Regulatory suman unos 3.790 M EUR, ≈ 14 % del mercado de 31.000 M USD que estima Thomson Reuters, frente al ≈ 20 % de este y el ≈ 8 % de LexisNexis (estimación propia con las cuentas de cada uno [3, 26, 28]). En apoyo a la decisión clínica, UpToDate (≈ 10 % de los ingresos del grupo) tendría en torno al 18 % de un mercado de 4.000 M USD (estimación propia [18, 34]). Verisk, LSEG, Experian y Veeva no compiten de forma directa (seguros, datos financieros, crédito y ciencias de la vida) y no se incluyen; CSC, rival de CT Corporation, no publica cuentas.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jurídico (Westlaw), fiscal-contable (Checkpoint, UltraTax) y cumplimiento. Sus tres grandes segmentos ingresaron 6.157 M USD con crecimiento orgánico del 9 % en 2025; el fiscal-contable, 1.302 M USD (+11 % orgánico, 47,1 % de margen EBITDA). Su asistente CoCounsel es su respuesta a la IA. Cuota sobre el mercado de 31.000 M USD que ella misma estima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(LexisNexis, Elsevier)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LexisNexis Legal &amp; Professional ingresó 1.806 M GBP (+9 % subyacente; 23,0 % de margen) con Lexis+ AI y Protégé; Elsevier compite con UpToDate con ClinicalKey AI (STM: 2.714 M GBP; 38,1 %). La cuota es solo la de LexisNexis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(ProTax: Lacerte, ProSeries, ProConnect)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julio de 2026. Su software fiscal profesional ingresó 647 M USD (+4 %), frente a ≈ 960 M EUR de Tax &amp; Accounting Norteamérica; compite en despachos pequeños y medianos y se integra con QuickBooks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CCH Tagetik y Enablon en información financiera y ESG; ingresó 884,6 M USD en 2025 (+20 %) con pérdidas operativas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Red profesional gratuita para los médicos de EE. UU., que cobra a laboratorios farmacéuticos y hospitales por marketing y contratación; su asistente de IA clínica «Ask» (antes DoxGPT) responde preguntas clínicas e incluye una referencia de más de 3.200 monografías de fármacos, en competencia con UpToDate y Lexidrug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OpenEvidence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Asistente clínico gratuito para el médico y financiado con publicidad; más de 100 M USD de ingresos anualizados en 2025 y uso por más del 40 % de los médicos de EE. UU. [24]. Valorado en 12.000 M USD en enero de 2026 y en 15.000 M USD en septiembre de 2026 [24, 38]. Es la principal amenaza para la suscripción individual de UpToDate.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Harvey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IA jurídica para despachos; más de 400 M USD de ingresos recurrentes anuales en septiembre de 2026 (el dato es de ritmo anual, no de ejercicio) y valoración de 15.500 M USD; trabaja con 80 de los 100 mayores despachos de EE. UU. [25]. Compite con Libra y con los asistentes de Legal &amp; Regulatory.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UpToDate se enriquece con lo que preguntan los usuarios y CCH Axcess tiene un mercado de integraciones [7], pero el valor no depende del número de usuarios como en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está dentro del flujo y de los datos del cliente: CCH Axcess renueva por encima del 95 %, con 18 millones de declaraciones presentadas en 2025; UpToDate, por encima del 90 %, integrado en las historias clínicas Epic y Oracle Health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médicos y más de 800 analistas fiscales; más de 100 estudios asocian UpToDate a mejores resultados clínicos; el margen ajustado subió del 21,0 % en 2014 al 27,5 % en 2025 [1, 7, 8, 2]. La IA reduce el valor del contenido como simple consulta.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del contenido, pero Outsell estima que la IA de las grandes tecnológicas cuesta una fracción de las herramientas de los incumbentes [25] y OpenEvidence se da gratis al médico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rentables: Thomson Reuters, RELX y Wolters Kluwer se nombran como principales rivales entre sí en jurídico y fiscal [16, 18]; la entrada de capital riesgo (Harvey, OpenEvidence) muestra que la escala ya no basta para disuadir [15, 28].</w:t>
            </w:r>
          </w:p>
        </w:tc>
      </w:tr>
    </w:tbl>
    <w:p>
      <w:pPr>
        <w:spacing w:after="160" w:before="0"/>
      </w:pPr>
    </w:p>
    <w:p>
      <w:pPr>
        <w:pStyle w:val="Heading2"/>
      </w:pPr>
      <w:r>
        <w:t xml:space="preserve">Amenazas</w:t>
      </w:r>
    </w:p>
    <w:p>
      <w:pPr>
        <w:spacing w:after="100"/>
      </w:pPr>
      <w:r>
        <w:t xml:space="preserve">La amenaza principal es la sustitución de la consulta por asistentes de IA de propósito general o verticales. En salud, OpenEvidence ya lo usa más del 40 % de los médicos de EE. UU. gratis y se valora en 15.000 M USD [24, 38]; la defensa de UpToDate es el contrato del hospital (más del 90 % de los clientes Enterprise de EE. UU. adoptó Expert AI) y la integración con los asistentes de documentación clínica: Abridge, activa desde el primer trimestre de 2026, y Dragon Copilot de Microsoft, prevista para finales de 2026 [8, 11]. En jurídico, Harvey crece rápido y Anthropic entró con herramientas propias [23, 25]. En fiscal la amenaza es menor: el valor está en el cálculo y la presentación telemática, no en la respuesta. Probabilidad de erosión del margen en cinco años: media en Health y Legal &amp; Regulatory, baja en Tax &amp; Accounting y Financial &amp; Corporate Compliance (juicio propio).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7,1 %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4.771 M (2021) a 6.125 M (2025), un 6,4 % anual, casi todo orgánico: el crecimiento orgánico fue del 6 % cada año (259 M en 2021, 292 M en 2022, 310 M en 2023, 325 M en 2024 y 325 M en 2025) [1, 2, 5, 6, 7]. La divisa sumó un 9 % en 2022 y restó un 3 % en 2023 y 2025; el perímetro neto osciló entre -1 % y +1 % [1, 5, 6]. En el 1S26 los ingresos cayeron un 0,6 % (orgánico +5 %, divisa -4,8 %, perímetro -0,8 % por la venta de FRR) [8].</w:t>
      </w:r>
    </w:p>
    <w:p>
      <w:pPr>
        <w:spacing w:after="100"/>
      </w:pPr>
      <w:r>
        <w:t xml:space="preserve">El margen operativo ajustado subió de 25,3 % (2021) a 27,5 % (2025) y 29,4 % en el 1S26 (+100 p.b.), por mezcla hacia software en la nube y suscripciones digitales, apalancamiento operativo y la salida de FRR (de margen casi nulo) [1, 8, 15]. El margen EBITDA NIIF salta en 2022 (33,0 %) y 2025 (36,1 %) por plusvalías de venta; sin ellas fue del 31,7 % y el 32,8 %. Por división en 2025: Tax &amp; Accounting 35,2 %, FCC 35,2 %, Health 32,1 %, L&amp;R 18,2 % y CP&amp;ESG 7,5 % (cayó 270 p.b. por menos licencias y más implantación por terceros) [1].</w:t>
      </w:r>
    </w:p>
    <w:p>
      <w:pPr>
        <w:pStyle w:val="Heading2"/>
      </w:pPr>
      <w:r>
        <w:t xml:space="preserve">Ajustes y partidas no recurrentes</w:t>
      </w:r>
    </w:p>
    <w:p>
      <w:pPr>
        <w:spacing w:after="100"/>
      </w:pPr>
      <w:r>
        <w:t xml:space="preserve">La empresa publica el «adjusted operating profit», que añade al beneficio operativo NIIF la amortización y deterioro de intangibles adquiridos y fondo de comercio (164 M en 2021, 160 M en 2022 con 20 M de deterioro en Health, 146 M, 149 M y 157 M en 2025) y quita las partidas no recurrentes («other gains and losses»): -29 M en 2021 (incluida la pérdida por la venta de la educación jurídica de EE. UU.), +69 M en 2022 (plusvalía de 75 M por Francia y España), -7 M, -10 M y +205 M en 2025 (plusvalía de 231 M por FRR menos 25 M de costes de adquisición) [1, 2, 6]. Este informe solo trata como no recurrentes dentro del EBITDA los resultados de desinversiones: pérdida de 20 M en 2021, plusvalías de 75 M en 2022 y 4 M en 2023, pérdida de 3 M en 2024 y plusvalía de 231 M en 2025 (FRR); en los doce meses a junio de 2026, plusvalía de 239 M [1, 2, 6, 8]. Los costes de adquisición e integración (3-25 M al año; 25 M en 2025) se repiten todos los años y se quedan dentro del EBITDA como coste recurrente. El ajustado de 2024 incluye una ganancia de pensiones de 15 M en L&amp;R y bajas de producto en Health no cuantificadas [1]. EBITDA ajustado de la empresa: 1.775 M (2023), 1.930 M (2024), 2.007 M (2025)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Wolters Kluwer no publica transcripciones gratuitas; esto sale de las presentaciones y notas de resultados. </w:t>
      </w:r>
      <w:r>
        <w:rPr>
          <w:b/>
        </w:rPr>
        <w:t xml:space="preserve">FY2025 (25-feb-26)</w:t>
      </w:r>
      <w:r>
        <w:t xml:space="preserve">: cambio de consejera delegada (Nancy McKinstry se retira; Stacey Caywood la sustituye), «cerca del 70 %» de los ingresos digitales vienen de soluciones con IA, y anuncio de subir el desarrollo de producto del 11 % al 12-13 % de las ventas en 2026 y siguientes sin renunciar a ampliar el margen (guía ~28,0 %); recompra rebajada a hasta 500 M desde 1.100 M; prioridades: acelerar la IA, alianzas y comercialización [1, 16]. Avisó de un 1T26 con comparativa difícil en L&amp;R y CP&amp;ESG. </w:t>
      </w:r>
      <w:r>
        <w:rPr>
          <w:b/>
        </w:rPr>
        <w:t xml:space="preserve">1S26 (5-ago-26)</w:t>
      </w:r>
      <w:r>
        <w:t xml:space="preserve">: guía de grupo reiterada; «buen comienzo», renovaciones sólidas, orgánico del 5 % (6 % sin impresos), recurrentes +7 %, no recurrentes -3 % [8, 17]. Cambios en el discurso: pasa de describir la IA como oportunidad a dar métricas de adopción (más del 90 % de los clientes Enterprise de UpToDate en EE. UU. con Expert AI; ~250 despachos con los módulos agénticos de CCH Axcess; Libra en 10 países) [8, 17]. Rebajó la guía orgánica de CP&amp;ESG a «en línea» con 2025 por ciclos de venta más largos y avisó de variabilidad transaccional en FCC [1, 8]. Lo que no detalla: el crecimiento orgánico de Clinical Solutions bajó del 7 % (2025) al 5 % y el de Tax &amp; Accounting Norteamérica del 8 % al 5 % en el 1S26, sin cifra de precios ni de retención por producto [1, 17]. El gasto de producto se concentra en el 2S26.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la información jurídica de Francia y España a Karnov (30-nov-22, 114 M): sale del balance y de la cuenta en diciembre.; 2025: Compras de RASi (13-mar-25, 386 M), Brightflag (11-jun-25, 436 M) y Libra (19-nov-25, hasta 90 M) y venta de FRR a Regnology (1-dic-25, 419 M): el balance de cierre incluye las compradas y excluye FRR; la cuenta recoge FRR 11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Wolters Kluwer cobra por adelantado: los ingresos diferidos y otros pasivos de contrato (2.139 M en 2025, el 35 % de las ventas) superan a clientes, existencias y activos de contrato, y el circulante comercial es muy negativo [1, 3, 6]. La deuda financiera bruta sin arrendamientos pasó de 2.800 M (2021) a 4.667 M (2025) y la deuda neta que publica la empresa de 2.131 M a 4.024 M (2,0x EBITDA, dentro del objetivo de 1,5-2,5x), porque recompras y dividendos (6.854 M en cinco años) superaron al flujo libre [1, 3, 6]. El patrimonio cayó de 2.417 M a 798 M por las recompras. A 30-jun-26 la deuda neta seguía en 4.024 M (bruta 5.548 M, caja 1.494 M) [8]. La deuda financiera de este informe excluye los pagos aplazados de adquisiciones y los derivados que la empresa suma a su deuda bruta (88 M en 2025). El coste de la deuda (2,6 %) son los intereses de bonos, papel comercial, comisiones y descubiertos de 2025 (113 M) sobre la deuda bruta media sin arrendamientos, y la vida media (~3,5 años) sale del calendario de vencimientos: ambas son estimaciones propias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5.942</w:t>
      </w:r>
      <w:r>
        <w:t xml:space="preserve">, conversión </w:t>
      </w:r>
      <w:r>
        <w:rPr>
          <w:b/>
          <w:bCs/>
        </w:rPr>
        <w:t xml:space="preserve">115 %</w:t>
      </w:r>
      <w:r>
        <w:t xml:space="preserve"> del beneficio neto; adquisiciones 1.467, dividendos 2.348, recompras 4.506.</w:t>
      </w:r>
    </w:p>
    <w:p>
      <w:pPr>
        <w:spacing w:after="100"/>
      </w:pPr>
      <w:r>
        <w:t xml:space="preserve">Los intereses pagados (79 M en 2025, incluida la parte de intereses de los arrendamientos) y los impuestos (358 M) están dentro del flujo operativo, así que el flujo libre ya va después de intereses [1]. El flujo libre ajustado de la empresa (flujo operativo menos capex y principal de arrendamientos, sin costes de adquisición ni impuestos de desinversiones) fue de 1.010 M (2021), 1.220 M, 1.164 M, 1.276 M y 1.348 M (2025), y 533 M en el 1S26 (+14 % a divisa constante) [1, 2, 6, 8]. La conversión de caja (flujo operativo ajustado sobre beneficio operativo ajustado) fue del 112 %, 107 %, 100 %, 102 % y 103 %: el cobro anticipado de suscripciones aporta circulante cada año (+98 M en 2023, +82 M en 2024, +104 M en 2025) [1, 2]. El capex (4,5-5,8 % de las ventas) es sobre todo software desarrollado internamente: 283 M de los 303 M de 2025 fueron inversión en intangibles propios [3]; la empresa no separa mantenimiento y crecimiento. Guía 2026: capex del 5-6 % de las ventas, conversión del 95-100 % y flujo libre ajustado de 1.300-1.350 M [1, 8]. En 2021-2025 las adquisiciones netas de desinversiones sumaron 877 M y la retribución al accionista 6.854 M (2.348 M en dividendos y 4.506 M en recompras). 1S26: flujo operativo 694 M, capex 143 M, arrendamientos 28 M, adquisiciones 33 M, dividendos 303 M y recompras 215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 (desde el ejercicio 2025; antes Deloitte, sustituida por rotación obligatoria)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auditó por primera vez el ejercicio 2025, con opinión favorable; su asunto clave fue el reconocimiento de ingresos en obligaciones satisfechas en un momento del tiempo (licencias, implantaciones) [3, 4]. El cambio de auditor es un riesgo menor de primer año. La empresa capitaliza desarrollo de software: 283 M en 2025 (293 M en 2024), frente a 227 M de amortización y 14 M de deterioro de esos intangibles propios, de modo que la capitalización neta suma ~42 M al beneficio operativo de 2025 [3]. La remuneración en acciones (LTIP y RSU) es pequeña: 24-31 M al año, el 2-3 % del beneficio neto [1, 2, 6]. Deterioros de fondo de comercio prácticamente nulos (2 M en 2024) y de intangibles adquiridos solo en 2022 (20 M en Health) [3, 5]. Las cifras ajustadas excluyen la amortización de intangibles adquiridos (146-164 M al año, recurrente mientras siga comprando) y las plusvalías; el beneficio NIIF superó al ajustado en 2022 y 2025 por ventas de negocios. El tipo efectivo NIIF de 2025 (20,7 %) es bajo por la plusvalía exenta de FRR; el de referencia fue del 23,6 % [1]. Los ingresos diferidos crecieron con las ventas hasta 2024 y bajaron en 2025 (de 2.240 M a 2.139 M con otros pasivos de contrato) por la divisa y la venta de FRR [1, 2]. Los indicadores del motor no muestran alarmas: el Beneish M es de -2,74, por debajo del umbral de manipulación; el Piotroski F, de 7 sobre 9; el Altman Z, de 2,24, cae en zona gris solo por la estructura del balance (circulante negativo por los cobros anticipados y patrimonio de 798 M tras las recompras), no por falta de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283 M capitalizados frente a 241 M de amortización y deterioro en 2025 [3]; con el gasto de producto subiendo al 12-13 % de las ventas en 2026, vigilar qué parte se capitaliza.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año de un nuevo auditor (KPMG)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tras Deloitte; opinión favorable sin salvedades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en el beneficio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M por FRR en 2025 y 75 M por Francia y España en 2022 elevan el BPA NIIF; el BPA ajustado (5,29 EUR en 2025) las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M en 2025 frente a 2.417 M en 2021: distorsiona ROE y Altman Z, no es un problema de solvencia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6,8 %.</w:t>
      </w:r>
    </w:p>
    <w:p>
      <w:pPr>
        <w:spacing w:after="100"/>
      </w:pPr>
      <w:r>
        <w:t xml:space="preserve">Wolters Kluwer crea valor holgadamente: el ROIC calculado aquí subió del 17,8 % en 2021 al 25,4 % en 2025, frente a un WACC del 6,84 %. Ese ROIC usa el capital invertido neto de los ingresos cobrados por adelantado (unos 2.100 M), que financian el circulante; la propia empresa, que incluye todo el fondo de comercio (4.787 M) y los intangibles adquiridos (1.825 M), publica un 18,0 % en 2025, también muy por encima del coste de capital [1]. La mejora viene del margen (beneficio neto del 15,3 % al 21,4 % de las ventas) y de la rotación (de 0,53 a 0,64), porque el capital invertido apenas creció mientras las ventas subían un 28 %. El ROE del 111,7 % no dice nada: el patrimonio se ha reducido a 798 M con recompras financiadas con deuda. Frente a los competidores, el margen EBIT NIIF de 2025 (24,6 %) queda por debajo del de RELX (34,8 %) y de Thomson Reuters (28,5 %) [26,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neta de descubiertos 891 M (caja 932 M) y línea de crédito multidivisa comprometida de 600 M sin disponer, con vencimiento en 2030 y una opción de prórroga, sin covenant financiero; programa de papel comercial (ECP) de hasta 1.000 M con 180 M emitidos [1, 3]. A 30-jun-26: caja 1.494 M tras emitir el 22-jun-26 un bono de 500 M a siete años (cupón 3,625 %); vencen en los 12 meses siguientes 1.000 M de bonos (el de 2022-2026 al 3,0 % y el de 2017-2027 al 1,5 %)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A-2, perspectiva estable (25-mar-25); Moody's A3, perspectiva estable (afirmado el 26-mar-25)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financieros en la línea de crédito; todos los bonos son sin garantía y a tipo fijo [3]. Pensiones y beneficios a empleados: pasivo neto de 62 M en 2025 (9 M de planes de jubilación, 44 M de otros beneficios post-empleo, sobre todo médicos en EE. UU., y 9 M de otros a largo plazo) [3]. Provisiones de 38 M (25 M de reestructuración y 9 M legales), sin pasivos contingentes materiales por litigios; garantías emitidas de 17 M [3]. Pagos aplazados y contingentes de adquisiciones (earn-outs): 50 M en 2025 (49 M de valor razonable por las compras de 2025, sobre todo Libra; máximo sin descontar 62 M), que la empresa incluye en su deuda bruta [1, 3]. Derivados de deuda: 38 M de pasivo. Ingresos diferidos: 2.051 M (1.911 M corrientes y 140 M no corrientes) más 88 M de otros pasivos de contrato; son cobros anticipados de suscripciones, no deuda, pero explican el circulante negativo [1]. Colocaciones privadas en yenes (20.000 M JPY, 108 M) cubiertas con swaps de divisa [3].</w:t>
      </w:r>
    </w:p>
    <w:p>
      <w:pPr>
        <w:pStyle w:val="Heading1"/>
      </w:pPr>
      <w:r>
        <w:t xml:space="preserve">12. Asignación de capital</w:t>
      </w:r>
    </w:p>
    <w:p>
      <w:pPr>
        <w:pStyle w:val="Confianza"/>
        <w:spacing w:after="100"/>
      </w:pPr>
      <w:r>
        <w:t xml:space="preserve">Confianza: Media</w:t>
      </w:r>
    </w:p>
    <w:p>
      <w:pPr>
        <w:spacing w:after="100"/>
      </w:pPr>
      <w:r>
        <w:t xml:space="preserve">Dividendo progresivo: la empresa quiere subir el dividendo por acción en euros cada año, con independencia de la divisa; a cuenta del 40 % del total del año anterior. Dividendo de 2025: 2,52 EUR (+8 %), a cuenta de 2026: 1,01 EUR [1, 8]. Política antidilución desde 2012 (recompra las acciones que emite por incentivos) y recompras adicionales: 1.000 M al año en 2022-2024, 1.100 M en 2025 (8,6 M de acciones a 128,45 EUR de media) y hasta 500 M en 2026, de los que 244 M ya ejecutados a 67,79 EUR de media hasta el 4-ago-26 [1, 2, 8]. Apalancamiento objetivo de 1,5-2,5x deuda neta/EBITDA, con desvíos temporales permitidos; prioridades: inversión orgánica (desarrollo de producto al 12-13 % de las ventas desde 2026), adquisiciones selectivas y retorno al accionista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Software (planificación integrada en la nube, Tax &amp; Accounting/CP&amp;ESG)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CCH Tagetik;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educación jurídica de EE. UU.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con 32 M de ingresos en 2021; pérdida contable incluida en los -20 M de resultados de desinversión de 2021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Document Services (IDS, documentación hipotecaria,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Financial Services; sin deterioros publicados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75 M; anunciada en diciembre de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Della AI, Level Programs, IJS Publishing (bolt-ons)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+ 1 M aplazado (Della), 5 M + 1 M (Level), 13 M (IJSPG)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NurseTim, Invistics (Health) y MFAS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2023; Invistics es hoy Sentri7 Drug Diversion [2, 5,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Finca Group / soluciones de Isabel Group (flujos financieros y factura electrónica en la nube, T&amp;A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 de ingresos brutos en 2023 (+23 %): ~9,6x ventas (estimación propia); creció a doble dígito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 agente registrado,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encima del plan inicial según la empresa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 (gestión de gasto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en 1S26, por encima del plan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Libra Technology (asistente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en caja + 47 M de valor razonable de pago contingente (máximo 90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Lanzada en 10 países; ingresos por encima del plan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Finance, Risk &amp; Regulatory Reporting (FRR) a Regnology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(399 M netos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231 M (exenta de impuestos); FRR facturó 123 M en 2024 con resultado ajustado casi nulo: ~3,4x ventas (estimación propia)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StandardFusion (GRC en la nube, CP&amp;ESG/TeamMate)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9-ene-26 [1, 8].</w:t>
            </w:r>
          </w:p>
        </w:tc>
      </w:tr>
    </w:tbl>
    <w:p>
      <w:pPr>
        <w:spacing w:after="160" w:before="0"/>
      </w:pPr>
    </w:p>
    <w:p>
      <w:pPr>
        <w:spacing w:after="100"/>
      </w:pPr>
      <w:r>
        <w:t xml:space="preserve">Como gestora del negocio, la dirección ha acertado: el ROIC subió casi 8 puntos en cinco años con adquisiciones pequeñas (1.467 M en 2021-2025, una cuarta parte del flujo libre) y ventas oportunas (FRR, con 231 M de plusvalía). Como gestora del balance, peor: devolvió 6.854 M en 2021-2025, un 115 % del flujo libre, y la diferencia se pagó con deuda (deuda neta de 2.131 M a 4.024 M; de 1,4 a 2,0 veces el EBITDA). Las recompras se hicieron caras: 149,23 EUR de media en 2024 y 128,45 EUR en 2025, frente a 71,78 EUR hoy [1, 2]. Y ahora que la acción vale la mitad, recompra menos: hasta 500 M en 2026, 67,79 EUR de media hasta agosto [8], y en septiembre las compras casi se pararon [47]. El dividendo progresivo (2,52 EUR en 2025, +8 %) es sostenible: el 43 % del flujo libre ajustado por acción.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presidenta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Executive Board desde la junta del 15-may-2025 (99,96 % a favor) y CEO desde la presentación de resultados de febrero de 2026, tras un año de transición anunciado el 26-feb-2025 [2, 40]. Antes fue CEO de Health, donde llevó la IA generativa a UpToDate, y de Legal &amp; Regulatory, división que devolvió al crecimiento y a buenos márgenes según la empresa [2]. Tiene 21.137 acciones (1,7 veces el salario a cierre de 2025, frente a un mínimo de 3 veces en cinco años) [3,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miembro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mayo de 2013; reelegido en 2025 con el 99,99 % [3, 40]. En su etapa el flujo libre ajustado pasó de 1.220 M EUR (2022) a 1.348 M EUR (2025) y el ROIC del 15,5 % al 18,0 % [3, 6]. Tiene 61.426 acciones (6,0 veces el salario a cierre de 2025) [3,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 y copresidenta de la Comisión de Selección y Remuneración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2017 y presidenta desde la junta de 2022; reelegida en 2025 hasta 2027 con el 98,11 % [3, 40]. Fue vicepresidenta sénior, directora financiera y miembro del comité ejecutivo de CDW; es consejera de US Foods y Reynolds Consumer Products [3]. Tiene 4.358 ADR, comprados con su dinero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Samios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la división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junio de 2025 al pasar Caywood a la sucesión; antes dirigía Clinical Effectiveness, la mayor unidad de Clinical Solutions, y en la casa desde 2014 [3]. En 2025 Health creció un 5 % orgánico (Clinical Solutions, un 7 %) y la guía de 2026 es repetir ese ritmo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Jason Marx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la división Tax &amp; Accounting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global de la división desde 2023, tras siete años al frente de Tax &amp; Accounting Norteamérica; en Wolters Kluwer desde 2007 [3]. La división creció un 8 % orgánico en 2023 y un 7 % en 2024 y 2025, y lideró el crecimiento del grupo en 2025 [1, 4,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25,5-26,0 %; flujo libre ajustado 1.025-1.075 M EUR; ROIC en torno al 14 %; BPA ajustado diluido con crecimiento de un dígito medio en divisa constante; recompras de hasta 600 M EUR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26,1 %; flujo libre 1.220 M EUR; ROIC 15,5 %; BPA 4,14 EUR, +8 % en divisa constante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26,1-26,5 %; flujo libre en torno a 1.200 M EUR; ROIC 16,5-17,0 %; BPA con crecimiento alto de un dígito en divisa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26,4 %; flujo libre 1.164 M EUR (−2 % en divisa constante, en línea con la guía); ROIC 16,8 %; BPA 4,55 EUR, +12 % en divisa constante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26,4-26,8 %; flujo libre 1.150-1.200 M EUR; ROIC 17,0-18,0 %; BPA con crecimiento medio-alto de un dígito en divisa constante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27,1 %; flujo libre 1.276 M EUR (+9 % en divisa constante); ROIC 18,1 %; BPA 4,97 EUR, +11 % en divisa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27,1-27,5 %; flujo libre 1.250-1.300 M EUR; ROIC 18-19 %; BPA con crecimiento de un dígito medio en divisa constante, elevada en julio de 2025 [3,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27,5 % (techo del rango); flujo libre 1.348 M EUR (+10 % en divisa constante, por encima); ROIC 18,0 % (suelo del rango); BPA +9 % en divisa constante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(objetivos del LTIP)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internos a tres años fijados por el Supervisory Board: crecimiento anual compuesto del BPA ajustado diluido del 10,8 %, ROIC del último año del 19,0 % (ambos en divisa constante) y TSR relativo frente a 15 comparables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+10,5 % anual, ROIC 18,2 % y TSR en el puesto 15 de 16: pago del 98 %, 77 % y 0 % de cada tramo [3,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entre 2022 y 2025 alcanzó o superó la guía anual en margen, flujo libre, ROIC y BPA, aunque el ROIC de 2025 quedó justo en el suelo del rango (18,0 %) [1, 3, 4, 5, 6, 7]. Los objetivos internos del LTIP 2023-2025 se quedaron cortos en BPA, ROIC y, sobre todo, TSR, que pagó cero [3]. La guía de 2026 (margen en torno al 28 %, flujo libre 1.300-1.350 M EUR, ROIC 18-19 %, BPA con crecimiento alto de un dígito) se reiteró el 5-ago-2026 [8]. </w:t>
      </w:r>
      <w:r>
        <w:rPr>
          <w:b/>
        </w:rPr>
        <w:t xml:space="preserve">La sucesión fue ordenada</w:t>
      </w:r>
      <w:r>
        <w:t xml:space="preserve">: Nancy McKinstry, CEO durante 22 años, anunció su retirada con un año de antelación y la sustituyó una ejecutiva de la casa [2]. Pero el equipo es nuevo: además de la CEO, en 2025-2026 cambiaron los primeros ejecutivos de Health, Financial &amp; Corporate Compliance (fichaje externo) y Corporate Performance &amp; ESG [2, 3]. El CFO, con 13 años en el cargo, es el ancla de continuidad.</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presidenta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(órgano de gestión)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y miembro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preside el Comité Corporativo de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Heleen Kersten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Anjana Harve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Hikmet Ersek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Maarten de Vries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Supervisory Board (CFO de Akzo Nobel)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0,14 / ventas 0,32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8,36 % el 3-mar-2026 y ha oscilado entre el 8,0 % y el 8,4 %; última notificación, 8,01 % el 24-jun-2026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del capital y 3,20 % de los votos el 8-may-2026; tenía un 2,97 % en enero de 2024 y un 2,16 % en febrero de 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(3,14 %) el 14-ene-2026 y bajó al 2,79 % el 19-jun-2026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Group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posiciones de intermediación)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3 % arriba y abajo casi cada semana desde febrero de 2026; última notificación, 2,94 % el 16-jul-2026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swaps y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1,4 % y el 4,3 % desde mayo de 2026; 2,83 % el 8-sep-2026, de ello un 1,50 % en instrumentos potenciales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(3,30 %) el 3-sep-2026 y volvió a bajar al 2,96 % el 25-sep-2026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 N.V.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2.276.510 acciones el 18-sep-2026, tras amortizar 7,8 millones. Tenía un 4,2 % el 4-ago-2026 y un 2,73 % a cierre de 2025 [3, 8,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Caywood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Entricken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Ziegler (presidenta del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Vogelzang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2025 de la CEO saliente, Nancy McKinstry, según el coste contable (NIIF): 8,52 M EUR, de los que 1,57 M de salario, 0,51 M de seguridad social, pensión y otros, 0,79 M de costes fiscales por expatriación, 2,10 M de bonus anual y 3,55 M de LTIP [3]. El fijo de la tabla incluye esos costes fiscales. La ratio con el empleado medio es de 66 veces (77 en 2024) [3]. </w:t>
      </w:r>
      <w:r>
        <w:rPr>
          <w:b/>
        </w:rPr>
        <w:t xml:space="preserve">El bonus anual</w:t>
      </w:r>
      <w:r>
        <w:t xml:space="preserve"> pesa un 90 % en ingresos, beneficio neto ajustado y flujo libre, y un 10 % en tres métricas no financieras. Para 2025 pagó el 141,8 % del salario [3]. </w:t>
      </w:r>
      <w:r>
        <w:rPr>
          <w:b/>
        </w:rPr>
        <w:t xml:space="preserve">El LTIP 2026-2028</w:t>
      </w:r>
      <w:r>
        <w:t xml:space="preserve"> pondera BPA ajustado diluido (50 %), TSR relativo (30 %) y ROIC (20 %), con objetivos publicados: BPA +9,1 % anual, ROIC final del 20,6 % y puesto 5-6 en TSR [3]. Hay </w:t>
      </w:r>
      <w:r>
        <w:rPr>
          <w:i/>
        </w:rPr>
        <w:t xml:space="preserve">clawback</w:t>
      </w:r>
      <w:r>
        <w:t xml:space="preserve">, indemnización máxima de un año de salario y una cláusula de cambio de control que consolida el 100 % del LTIP pendiente [3]. </w:t>
      </w:r>
      <w:r>
        <w:rPr>
          <w:b/>
        </w:rPr>
        <w:t xml:space="preserve">El voto en contra va en aumento</w:t>
      </w:r>
      <w:r>
        <w:t xml:space="preserve">: 5,30 % en 2024, 7,14 % en 2025 y 14,81 % en 2026 [39, 40, 41].</w:t>
      </w:r>
    </w:p>
    <w:p>
      <w:pPr>
        <w:pStyle w:val="Heading2"/>
      </w:pPr>
      <w:r>
        <w:t xml:space="preserve">Operaciones vinculadas, estructura de control y defensas</w:t>
      </w:r>
    </w:p>
    <w:p>
      <w:pPr>
        <w:spacing w:after="100"/>
      </w:pPr>
      <w:r>
        <w:t xml:space="preserve">No hay accionista de control: el mayor es BlackRock, con un 8 % [43], y en las juntas vota entre el 71 % y el 79 % del capital [39, 40, 41]. </w:t>
      </w:r>
      <w:r>
        <w:rPr>
          <w:b/>
        </w:rPr>
        <w:t xml:space="preserve">La defensa es la fundación de acciones preferentes</w:t>
      </w:r>
      <w:r>
        <w:t xml:space="preserve"> (Stichting Preferente Aandelen Wolters Kluwer). Tiene una opción para suscribir acciones preferentes por hasta el 100 % de las ordinarias en circulación, contra cualquier tercero que quiera influir sin el acuerdo de ambos consejos [3, 43]. Sus miembros son independientes y no la ha ejercido [3]. Por eso no rige el principio de una acción, un voto. Los ADR son un programa de cotización en EE. UU., no certificados de depósito para retener el voto. No hay operaciones vinculadas relevantes en 2025 ni en el primer semestre de 2026 [3, 8]. </w:t>
      </w:r>
      <w:r>
        <w:rPr>
          <w:b/>
        </w:rPr>
        <w:t xml:space="preserve">La junta de 2026 rebajó la mayoría para aprobar la política de remuneración</w:t>
      </w:r>
      <w:r>
        <w:t xml:space="preserve"> del 75 % a la mayoría simple, con solo un 54,17 % a favor [39, 42].</w:t>
      </w:r>
    </w:p>
    <w:p>
      <w:pPr>
        <w:pStyle w:val="Heading2"/>
      </w:pPr>
      <w:r>
        <w:t xml:space="preserve">Señales de alerta</w:t>
      </w:r>
    </w:p>
    <w:p>
      <w:pPr>
        <w:pStyle w:val="ListParagraph"/>
        <w:numPr>
          <w:ilvl w:val="0"/>
          <w:numId w:val="2"/>
        </w:numPr>
        <w:spacing w:after="60"/>
      </w:pPr>
      <w:r>
        <w:t xml:space="preserve">Junta del 21-may-2026: el cambio de estatutos que rebaja la mayoría para aprobar la política de remuneración del Executive Board, del 75 % a más del 50 %, salió con un 54,17 % a favor y un 45,83 % en contra [39, 42]. La empresa se compromete a dialogar con los accionistas si el rechazo supera el 20 % [42]. Con la regla anterior, una política con el apoyo de esta junta no se habría aprobado.</w:t>
      </w:r>
    </w:p>
    <w:p>
      <w:pPr>
        <w:pStyle w:val="ListParagraph"/>
        <w:numPr>
          <w:ilvl w:val="0"/>
          <w:numId w:val="2"/>
        </w:numPr>
        <w:spacing w:after="60"/>
      </w:pPr>
      <w:r>
        <w:t xml:space="preserve">El voto en contra del informe de remuneraciones se ha duplicado en cada junta: 5,30 % (2024), 7,14 % (2025) y 14,81 % (2026) [39, 40, 41].</w:t>
      </w:r>
    </w:p>
    <w:p>
      <w:pPr>
        <w:pStyle w:val="ListParagraph"/>
        <w:numPr>
          <w:ilvl w:val="0"/>
          <w:numId w:val="2"/>
        </w:numPr>
        <w:spacing w:after="60"/>
      </w:pPr>
      <w:r>
        <w:t xml:space="preserve">Equipo directivo casi nuevo: en 2025-2026 cambiaron la CEO (McKinstry, tras 22 años) y los primeros ejecutivos de Health, Financial &amp; Corporate Compliance (fichaje externo) y Corporate Performance &amp; ESG [2, 3]. Además, Jack de Kreij, vicepresidente del Supervisory Board y presidente de la Comisión de Auditoría, salió en mayo de 2026 [3, 39].</w:t>
      </w:r>
    </w:p>
    <w:p>
      <w:pPr>
        <w:pStyle w:val="ListParagraph"/>
        <w:numPr>
          <w:ilvl w:val="0"/>
          <w:numId w:val="2"/>
        </w:numPr>
        <w:spacing w:after="60"/>
      </w:pPr>
      <w:r>
        <w:t xml:space="preserve">Rotación del auditor: KPMG sustituyó a Deloitte desde las cuentas de 2025. Es la rotación obligatoria neerlandesa y la Comisión de Auditoría describe la transición como fluida [3].</w:t>
      </w:r>
    </w:p>
    <w:p>
      <w:pPr>
        <w:pStyle w:val="ListParagraph"/>
        <w:numPr>
          <w:ilvl w:val="0"/>
          <w:numId w:val="2"/>
        </w:numPr>
        <w:spacing w:after="60"/>
      </w:pPr>
      <w:r>
        <w:t xml:space="preserve">Posiciones cortas en el registro de la AFM: D.E. Shaw llegó al 0,80 % (10-abr-2026) y estaba en el 0,40 % el 18-sep-2026; Millennium llegó al 0,71 % el 17-sep-2026 y bajó al 0,09 % al día siguiente [44]. A 8-oct-2026 ninguna posición supera el 0,5 % en el registro actual [44].</w:t>
      </w:r>
    </w:p>
    <w:p>
      <w:pPr>
        <w:pStyle w:val="ListParagraph"/>
        <w:numPr>
          <w:ilvl w:val="0"/>
          <w:numId w:val="2"/>
        </w:numPr>
        <w:spacing w:after="60"/>
      </w:pPr>
      <w:r>
        <w:t xml:space="preserve">Cláusula de cambio de control: los miembros del Executive Board y un pequeño grupo de directivos cobrarían el 100 % del LTIP pendiente, más una indemnización en efectivo si salen tras la operación [3].</w:t>
      </w:r>
    </w:p>
    <w:p>
      <w:pPr>
        <w:pStyle w:val="ListParagraph"/>
        <w:numPr>
          <w:ilvl w:val="0"/>
          <w:numId w:val="2"/>
        </w:numPr>
        <w:spacing w:after="60"/>
      </w:pPr>
      <w:r>
        <w:t xml:space="preserve">El LTIP 2023-2025 pagó cero en su tramo de TSR: la empresa quedó en el puesto 15 de 16 comparables, con una caída de la acción del 45 % en 2025 [3,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publicada el 25-feb-2026 y confirmada sin cambios el 5-ago-2026 con los resultados semestrales [1, 8], pide otro año de buen crecimiento orgánico, un margen operativo ajustado de en torno al 28,0 % (27,5 % en 2025), un flujo de caja libre ajustado de 1.300-1.350 M EUR (1.348 M en 2025), un ROIC del 18-19 % y un crecimiento de un dígito alto del BPA diluido ajustado en divisa constante [8]. La guía incluye 500 M EUR de recompras en 2026 y un gasto en desarrollo de producto del 12-13 % de las ventas, cargado en el segundo semestre, para acelerar la estrategia de IA; la reestructuración baja a unos 20 M EUR (37 M en 2025) [8]. Cada céntimo de dólar mueve unos 4,5 céntimos el BPA ajustado [8]. Los próximos resultados (nueve meses) son el 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 – 120,00</w:t>
            </w:r>
          </w:p>
        </w:tc>
      </w:tr>
    </w:tbl>
    <w:p>
      <w:pPr>
        <w:spacing w:after="160" w:before="0"/>
      </w:pPr>
    </w:p>
    <w:p>
      <w:pPr>
        <w:pStyle w:val="Heading2"/>
      </w:pPr>
      <w:r>
        <w:t xml:space="preserve">Revisiones de estimaciones</w:t>
      </w:r>
    </w:p>
    <w:p>
      <w:pPr>
        <w:spacing w:after="100"/>
      </w:pPr>
      <w:r>
        <w:t xml:space="preserve">No hay serie gratuita de revisiones con cifras: MarketScreener solo las publica como gráficos [52]. Lo verificable es el sentido. Tras los resultados semestrales del 5-ago-2026 UBS y Goldman Sachs se quedaron en neutral mientras Deutsche Bank y Bernstein mantenían compra; KBC Securities recortó su precio objetivo el 25-ago sin cambiar la recomendación; TD Cowen empezó a cubrir con compra el 11-sep y Bernstein reiteró compra el 7-oct [52]. El precio objetivo medio (89,78 EUR) queda un 25 % por encima de la cotización, pero el rango es muy ancho (54-120 EUR), señal de que los analistas discrepan sobre cuánto daño hará la IA generativa a los contenidos profesionales [52, 53]. Investing da el mismo precio objetivo medio, máximo y mínimo que MarketScreener [53]: probablemente beben del mismo agregador, así que el contraste no es independiente.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perdido un 32,6 % con dividendos, frente al +19,1 % del ETF del AEX y el −3,5 % del ETF de medios europeo [22]. La caída máxima, del −67,8 %, va del 12-feb-2025 al 13-may-2026 [22]. Es sobre todo una caída de múltiplo y del sector. El 3-feb-2026 cayó un 12,7 %, el mismo día que RELX (−14,4 %), Thomson Reuters (−15,7 %) y LSEG (−12,8 %) [22, 57], cuando Anthropic presentó herramientas de IA para el trabajo jurídico [23]. El 30-jul-2026 volvió a caer en bloque con sus pares (−7,2 %, frente a −6,4 % y −7,1 %), y el 13-may-2026 (−6,3 %) RELX cayó un 4,7 % [22, 57]. Hubo dos caídas propias: −7,3 % el 6-may-2026, con el avance del primer trimestre (orgánico del 5 %, no recurrente −5 %, el papel restando 130 pb) [11], y −7,8 % el 6-nov-2025, la sesión siguiente al avance de nueve meses [12]. No hay posiciones cortas netas declaradas a la AFM por encima del 0,5 % [56].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Del cierre de 2024 (160,40 EUR) a hoy (71,78 EUR) la acción ha perdido un 55 % [22], mientras el BPA diluido ajustado subía de 4,97 a 5,29 EUR en 2025 y otro 14 % en divisa constante en el primer semestre de 2026 [1, 8]. Toda la caída es de múltiplo, no de beneficio. Lo que ha cambiado no son los tipos ni el crecimiento declarado (orgánico del 5-6 %, con un 85 % de ingresos recurrentes [11]). Ha cambiado la duración que el mercado concede a esos ingresos: desde febrero de 2026 descuenta que la IA generativa abarate los contenidos profesionales de pago [23]. No hay serie gratuita de múltiplos de los próximos 12 meses históricos, así que la comparación usa los múltiplos de los últimos 12 meses de cada ejercicio.</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RELX, Thomson Reuters, LSEG, Verisk y Experian son el núcleo; los cinco venden bases de datos y software de flujo de trabajo a profesionales. Intuit (impuestos y contabilidad de pymes y particulares) y Veeva (software vertical de ciencias de la vida) comparten nicho con Tax &amp; Accounting y Health, pero crecen más y sus EBITDA excluyen la remuneración en acciones. Gartner (investigación por suscripción) encaja peor: sus ventas caen en 2026. Quedan fuera Informa (eventos) y Pearson (educación), con modelos menos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11,3x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20,1x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5,5x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5,7 + 0,89 × crecimiento; R² = 0,45. Para el crecimiento esperado de la empresa (5,7 %), el múltiplo ajustado es 10,7x y el valor por acción, 85,44.</w:t>
      </w:r>
    </w:p>
    <w:p>
      <w:pPr>
        <w:spacing w:after="100"/>
      </w:pPr>
      <w:r>
        <w:t xml:space="preserve">Todo el grupo ha bajado de múltiplo en 2026 por el mismo miedo a la IA, pero Wolters Kluwer ha bajado más. Con un crecimiento orgánico del 5 % y un margen operativo ajustado del 28 % [8], cotiza a 9,3 veces el EBITDA de los próximos 12 meses y a 12,9 veces el beneficio, frente a una mediana de 11,4 y 20,1 veces de los ocho comparables y de 12,5 y 21,8 de los cinco de información profesional (RELX, Thomson Reuters, LSEG, Verisk y Experian) [51, 58, 59, 60, 61, 62, 63, 64, 65, 66, 67, 68, 69, 70, 71, 72, 73]. Solo Intuit (cuyo EBITDA excluye la remuneración en acciones) y Gartner (con ventas que caen) están por debajo. El descuento es mayor de lo que explican el crecimiento o el ROIC, que están en la media del grupo: es la prima de riesgo que el mercado pone a Health y Legal &amp; Regulatory, los negocios más expuestos a la IA. Aplicar la mediana de los ocho da 91,84 EUR por acción con el EBITDA y 111,70 con el beneficio; la muestra es frágil, así que pesa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de 44.000 M USD con 4.800 M de deuda neta [75]. Múltiplos sobre ventas (4.287,8 M USD) y EBITDA ajustado (1.836,7 M USD) del ejercicio a noviembre de 2020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10.700 M USD a 66 USD por acción, un 46 % sobre la media ponderada de cinco sesiones [79]; ventas de 592,2 M USD en el ejercicio a enero de 2022 y pérdidas operativas [80]. Excluida: software de planificación con pérdidas y un crecimiento del 32 %.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en efectivo y acciones a Thoma Bravo [74]. Múltiplos sobre las ventas previstas para 2023 (unos 590 M USD) y un margen de EBITDA ajustado del 58 % [74]. Excluida: los múltiplos son de previsión y el crecimiento orgánico era del 15 %.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9,15 USD por acción; 7.700 M USD con deuda, 4.100 M de capital [77]. Múltiplos sobre ventas (2.381,7 M USD) y EBITDA ajustado (926,6 M USD) de 2024 [78]. Datos comerciales con un crecimiento orgánico del 3 %.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EUR en efectivo, sin pagos aplazados; unos 180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 M EUR en efectivo por software de gasto jurídico con IA; 155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europeo de automatización del IVA con 112 empleados, comprado por 112 M EUR de valor empresa en efectivo [8]. EV/ventas de 11,2 veces: estimación propia con los ingresos brutos de 2025 que da la empresa, en torno a 10 M EUR sin auditar (+25 %)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164,68 – 273,75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comparables con múltiplo publicado van de 8,3 veces el EBITDA (Dun &amp; Bradstreet, datos con un crecimiento del 3 % comprados por capital privado en 2025 [77, 78]) a 24 veces (IHS Markit, información profesional de alto margen en 2020, con tipos cero [75, 76]). Wolters Kluwer no tiene accionista de control (flotante del 99,7 % [50]), pero una OPA hostil es improbable. Una fundación neerlandesa tiene una opción sobre acciones preferentes que puede ejercer ante una oferta no deseada [3]. Con unos 20.000 M EUR de valor empresa, solo un consorcio de capital privado o un par como RELX o Thomson Reuters podría pagarlo. Las compras propias (RASi, Brightflag, Marosa) son pequeñas y no publican múltiplos [3, 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orgánico fue del 6 % en cada ejercicio de 2021 a 2025 y del 5 % en el primer semestre de 2026, con los recurrentes al 7 % [1, 8]. En 2026 la cifra publicada queda muy por debajo (+2,5 %, en línea con los 6.280 M del consenso [51]) porque el dólar resta (-4,8 % en el semestre) y la venta de FRR saca ingresos; el año va fijo: hay dos trimestres publicados y la guía se reiteró el 5-ago-2026 [8]. De 2027 a 2030 suponemos 4,5 % y 4,0 %, un punto por debajo del consenso (5,6 % y 5,5 % en 2027-2028 [51]) y del orgánico reciente: los impresos siguen cayendo, los no recurrentes bajan (-3 % en el semestre) y la IA quita algo de precio en la información de consulta. No incluimos adquisiciones: el DCF no gasta caja en ellas.</w:t>
      </w:r>
    </w:p>
    <w:p>
      <w:pPr>
        <w:keepNext/>
        <w:spacing w:after="100"/>
      </w:pPr>
      <w:r>
        <w:rPr>
          <w:b/>
          <w:bCs/>
        </w:rPr>
        <w:t xml:space="preserve">Márgenes.</w:t>
      </w:r>
    </w:p>
    <w:p>
      <w:pPr>
        <w:spacing w:after="100"/>
      </w:pPr>
      <w:r>
        <w:t xml:space="preserve">El margen EBITDA sin resultados de desinversiones subió del 31,7 % en 2021 al 32,8 % en 2025, y el operativo ajustado del 25,3 % al 27,5 % [1]. Para 2026 la empresa guía un margen operativo ajustado de en torno al 28,0 % pese a subir el gasto en desarrollo al 12-13 % de los ingresos [8]; con la amortización de software, inmovilizado y derechos de uso (4,9 %) eso da un 33,1 %, frente al 33,4 % del consenso [51]. Después, 30 pb al año hasta el 34,2 % de 2030: la mitad del ritmo de 2021-2025, porque el gasto en IA se queda alto. Nuestro EBITDA de 2028 queda un 3,4 % por debajo del consenso.</w:t>
      </w:r>
    </w:p>
    <w:p>
      <w:pPr>
        <w:keepNext/>
        <w:spacing w:after="100"/>
      </w:pPr>
      <w:r>
        <w:rPr>
          <w:b/>
          <w:bCs/>
        </w:rPr>
        <w:t xml:space="preserve">Inversión y circulante.</w:t>
      </w:r>
    </w:p>
    <w:p>
      <w:pPr>
        <w:spacing w:after="100"/>
      </w:pPr>
      <w:r>
        <w:t xml:space="preserve">El capex fue del 4,9-5,8 % de las ventas en 2021-2025 y la guía de 2026 es del 5-6 % [1, 8]. Le sumamos las altas de derechos de uso (44 M de contratos nuevos y 16 M de modificaciones en 2025, en torno al 0,9 % de las ventas), porque con NIIF 16 el EBITDA no lleva los alquileres [3]: un 6,2-6,3 % en total. La amortización sin intangibles adquiridos sube del 4,9 % al 5,6 % por el software capitalizado; dejar fuera la de intangibles adquiridos (157 M en 2025) quita su escudo fiscal y hace el DCF algo conservador. El circulante es negativo, -16 % de las ventas, por los ingresos cobrados por adelantado: el crecimiento libera caja, como en 2021-2025 (de -15,8 % a -17,3 %). Tipo impositivo del 24 %, el de la guía sobre el beneficio ajustado (23,5-24,5 %) [8].</w:t>
      </w:r>
    </w:p>
    <w:p>
      <w:pPr>
        <w:keepNext/>
        <w:spacing w:after="100"/>
      </w:pPr>
      <w:r>
        <w:rPr>
          <w:b/>
          <w:bCs/>
        </w:rPr>
        <w:t xml:space="preserve">Coste del capital.</w:t>
      </w:r>
    </w:p>
    <w:p>
      <w:pPr>
        <w:spacing w:after="100"/>
      </w:pPr>
      <w:r>
        <w:t xml:space="preserve">Tasa libre del 3,57 %, el Bund a 10 años del 8-oct-2026 [54]. Beta de 0,80: la propia frente al AEX es 0,54 (mensual, 5 años) y frente al MSCI Europe 0,36, pero ambas salen sesgadas porque la caída de 2025-2026 fue del sector y no del mercado, que subía [22, 57]. Usamos la de los pares de información profesional (RELX, LSEG, Thomson Reuters), desapalancada en torno a 0,65 y reapalancada con la deuda de Wolters (deuda equivalente al 28 % de la capitalización): 0,79. Prima de mercado del 5,5 % y sin prima adicional: el riesgo de la IA está en el escenario bajista, con un 35 % de probabilidad, y contarlo también en la tasa sería contarlo dos veces. Coste de la deuda del 3,75 %, la rentabilidad del eurobono a 7 años de junio de 2026 (cupón 3,625 %, calificación A-) [8]; peso de la deuda del 22 % a valor de mercado. WACC del 6,84 %.</w:t>
      </w:r>
    </w:p>
    <w:p>
      <w:pPr>
        <w:keepNext/>
        <w:spacing w:after="100"/>
      </w:pPr>
      <w:r>
        <w:rPr>
          <w:b/>
          <w:bCs/>
        </w:rPr>
        <w:t xml:space="preserve">Valor terminal.</w:t>
      </w:r>
    </w:p>
    <w:p>
      <w:pPr>
        <w:spacing w:after="100"/>
      </w:pPr>
      <w:r>
        <w:t xml:space="preserve">Gordon con un 2,0 %: la inflación esperada del euro y por debajo del Bund menos medio punto (3,07 %). Es menos de la mitad del crecimiento orgánico actual y deja sitio para que la IA abarate parte del contenido. El múltiplo implícito, 13,4 veces el EBITDA, queda algo por encima de la mediana de los cinco comparables de información profesional (12,5 veces [51, 58, 59, 60, 61, 62]), coherente con un negocio que a esa fecha sigue creciendo al 2 % con un ROIC de más del 20 %.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124,42 por acción; sin ella (crecimiento terminal desde 2030e), 119,00.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cinco años de transición tras 2030 porque el ROIC lo permite y la ventaja dura más que la proyección explícita. El ROIC de la empresa, que incluye en el capital invertido 4.787 M de fondo de comercio y 1.825 M de intangibles, fue del 18,0 % en 2025, más de 11 puntos por encima del WACC; el calculado aquí, neto de los ingresos cobrados por adelantado, es del 25,4 % [1]. El 85 % de los ingresos es recurrente, con renovaciones por encima del 90 % en UpToDate y del 95 % en CCH Axcess, y la nube aún es solo el 46 % del software y crece un 14 % [8, 18, 19]. El margen se queda en el de 2030 y el crecimiento baja en línea recta del 4,0 % al 2,0 %. La etapa aporta 5,42 EUR por acción: sin ella el DCF da 119,00.</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M (2 % del NOPAT)</w:t>
            </w:r>
          </w:p>
        </w:tc>
      </w:tr>
    </w:tbl>
    <w:p>
      <w:pPr>
        <w:spacing w:after="160" w:before="0"/>
      </w:pPr>
    </w:p>
    <w:p>
      <w:pPr>
        <w:spacing w:after="100"/>
      </w:pPr>
      <w:r>
        <w:t xml:space="preserve">La proyección apenas necesita inversión neta de la amortización (reinversión acumulada de 118 M, el 2 % del NOPAT, con un capex bruto medio del 6,3 % de las ventas). En un negocio de activos ligeros, el crecimiento medio del 3,9 %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en el 1S26 (6 % sin impresos) y guía reiterada el 5-ago-2026; «otros» es la divisa (−4,8 % en el semestre, menos en el 2S) y la venta de FRR (−0,8 %) [8]. El reparto del orgánico entre volumen y precio es estimación propia: la empresa no publica su subida media de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tarifa y el paso a paquetes con IA, que se cobran más caros (Libra a unas dos veces el contenido jurídico; un tercio de los médicos que renuevan sube a UpToDate Pro Plus) [19, 20]. Volumen: la nube (+14 %) menos impresos y no recurrentes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un punto por debajo del orgánico de 2021-2025 (6 % anual) y del consenso (+5,5 %) [1,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con la competencia de asistentes de IA en la información de consulta (UpToDate y jurídico europeo) [24, 25].</w:t>
            </w:r>
          </w:p>
        </w:tc>
      </w:tr>
    </w:tbl>
    <w:p>
      <w:pPr>
        <w:spacing w:after="160" w:before="0"/>
      </w:pPr>
    </w:p>
    <w:p>
      <w:pPr>
        <w:spacing w:after="100"/>
      </w:pPr>
      <w:r>
        <w:t xml:space="preserve">Sí: proyectamos un 4,0-4,5 % anual, menos que el orgánico del 5-6 % que la empresa ha sostenido cada año de 2021 al 1S26, con 2022 y 2025 de ciclo transaccional débil incluidos [1, 8]. Es un negocio de activos ligeros que no necesita capital para crecer: el circulante es negativo por los cobros anticipados. El foso son los costes de cambio (renovaciones por encima del 90 % en UpToDate y del 95 % en CCH Axcess) y el precio se sostiene: la IA se cobra con subidas y paquetes superiores [18, 19, 20]. La cuota no se mide con el motor (el 14,4 % es de tres divisiones): esas divisiones crecerían a la mitad que el mercado previsto (8-11 %) y perderían cuota [26]. El riesgo, la IA gratuita,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(2027e-2030e)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(base: 34,2 %)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6,8 %)</w:t>
            </w:r>
          </w:p>
        </w:tc>
      </w:tr>
    </w:tbl>
    <w:p>
      <w:pPr>
        <w:spacing w:after="160" w:before="0"/>
      </w:pPr>
    </w:p>
    <w:p>
      <w:pPr>
        <w:spacing w:after="100"/>
      </w:pPr>
      <w:r>
        <w:t xml:space="preserve">El DCF da 124,42 EUR por acción, un 73,3 % sobre el precio, con un WACC del 6,84 % y el 66 % del valor en el terminal. Sin la etapa de transición, 119,00. La pregunta central es qué descuenta el precio de 71,78 EUR, y la respuesta es una contracción: con nuestro WACC, el precio solo cuadra con unos ingresos que caen un 3,9 % al año en 2027-2030 (frente al +4,3 % del caso base y al +6 % orgánico de los últimos cinco años) o con un margen EBITDA del 23,7 % en vez del 34,2 %, ocho puntos por debajo del de 2021 (31,7 %). Dicho de otra forma, quien compra hoy y acierta con nuestro caso base obtiene una rentabilidad anual implícita del 9,6 %, casi tres puntos por encima del WACC. No es que nuestras cifras sean optimistas: van un 2-3 % por debajo del consenso en EBITDA. La diferencia está en la duración que el mercado concede a esos ingresos. Es exigente para el vendedor, no para el comprador: el precio ya está cerca de nuestro escenario bajista (58,85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clínicos y jurídicos generales (OpenEvidence, Harvey, los agentes de los grandes modelos) se convierten en la puerta de entrada del profesional y el contenido de Wolters pasa a ser un proveedor más: el crecimiento cae a un 0-1 % anual, como el 1 % de 2004 cuando la información en papel perdía peso, el margen EBITDA baja 4 puntos porque el gasto en desarrollo sube sin precio que lo pague, y el mercado pide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suma al producto (Expert AI en UpToDate, módulos agénticos en CCH Axcess, Libra) y defiende las renovaciones sin cambiar la tendencia: crecimiento del 4-4,5 % que se modera hacia el 2 %, margen EBITDA del 33,1 % al 34,2 % pese al gasto en desarrollo del 12-13 %, y flujo de caja que sigue pagando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y el uso: Expert AI se cobra como mejora, los módulos agénticos amplían el gasto por despacho y las alianzas (OpenAI, Abridge, Dragon Copilot) abren ingresos por licencia del contenido; el crecimiento vuelve al 6 % de 2021-2025 y el margen sigue subiendo.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108,61 EUR (+51,3 %).</w:t>
      </w:r>
    </w:p>
    <w:p>
      <w:pPr>
        <w:spacing w:after="100"/>
      </w:pPr>
      <w:r>
        <w:t xml:space="preserve">La asimetría es favorable: el alcista gana un 123,0 % y el bajista pierde un 18,0 %, una relación de 6,83 veces. El bajista no es cosmético: supone ingresos casi planos (0,3 % de crecimiento medio), un margen EBITDA final del 30,2 % y medio punto más de WACC, y da 58,85 EUR, cerca del mínimo de 52 semanas (54,64 EUR del 25-jun-2026). Le damos un 35 % de probabilidad porque las dos unidades más expuestas se han frenado en el semestre: Clinical Solutions del 7 % al 5 % y Tax &amp; Accounting Norteamérica del 8 % al 5 % [8]. Aun así, el valor ponderado de los tres escenarios (108,61 EUR) supera con holgura al precio: solo se pierde dinero si se cumple el bajista.</w:t>
      </w:r>
    </w:p>
    <w:p>
      <w:pPr>
        <w:pStyle w:val="Heading1"/>
      </w:pPr>
      <w:r>
        <w:t xml:space="preserve">22. Suma de partes</w:t>
      </w:r>
    </w:p>
    <w:p>
      <w:pPr>
        <w:pStyle w:val="Confianza"/>
        <w:spacing w:after="100"/>
      </w:pPr>
      <w:r>
        <w:t xml:space="preserve">Confianza: Media</w:t>
      </w:r>
    </w:p>
    <w:p>
      <w:pPr>
        <w:spacing w:after="100"/>
      </w:pPr>
      <w:r>
        <w:t xml:space="preserve">No se aplica. Las cinco divisiones venden suscripciones de información y software a profesionales con crecimientos orgánicos parecidos (5-7 % en 2025) y comparten tecnología, marca y la plataforma de IA; los márgenes difieren (de 7,5 % en CP&amp;ESG a 35,2 % en Tax &amp; Accounting y FCC) [1], pero no hay comparables cotizados puros para valorarlas por separado: Elsevier va dentro de RELX y el rival de CT Corporation (CSC) no cotiza. Una suma de partes con múltiplos prestados añadiría error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113,57 EUR (+58,2 % sobre 71,78).</w:t>
      </w:r>
    </w:p>
    <w:p>
      <w:pPr>
        <w:spacing w:after="100"/>
      </w:pPr>
      <w:r>
        <w:t xml:space="preserve">El DCF pesa un 40 % y los escenarios otro 40 % porque son los únicos métodos que recogen la pregunta de la IA de forma explícita. Los comparables pesan un 20 %: la muestra es frágil (la mediana del EV/EBITDA de los próximos 12 meses va de 10,2 a 12,5 veces según qué empresa se quite, por Intuit, Veeva y Gartner, que encajan peor) y todo el grupo ha bajado de múltiplo por el mismo miedo. Las transacciones no pesan: solo dos operaciones grandes publican EV/EBITDA (IHS Markit, 24,0 veces; Dun &amp; Bradstreet, 8,3) y llevan prima de control. La dispersión es amplia pero en una sola dirección: todos los métodos salvo la cotización y el mínimo de los analistas quedan por encima del precio. El EV/EBITDA de los comparables da 91,84 EUR y el PER 111,70; el DCF, 124,42. El valor objetivo es de 113,57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bl>
    <w:p>
      <w:pPr>
        <w:spacing w:after="160" w:before="0"/>
      </w:pPr>
    </w:p>
    <w:p>
      <w:pPr>
        <w:spacing w:after="100"/>
      </w:pPr>
      <w:r>
        <w:rPr>
          <w:b/>
          <w:bCs/>
        </w:rPr>
        <w:t xml:space="preserve">Objetivo a 12 meses (ponderado):</w:t>
      </w:r>
      <w:r>
        <w:t xml:space="preserve"> 73,12 EUR · rentabilidad +5,5 % (base +9,5 %) · señal Mantener.</w:t>
      </w:r>
    </w:p>
    <w:p>
      <w:pPr>
        <w:spacing w:after="100"/>
      </w:pPr>
      <w:r>
        <w:t xml:space="preserve">Para comparar, con la regla v2 (historia al cierre, mismo precio): 11,6x / 13,6x / 17,7x, 5,5 % Mantener; con el tope anterior del base (×1,3, 14-oct mediodía): 35,6 % Comprar; con la v3 sin el selector (tope ×1,1): 15,5 % Comprar. Decide la v2, elegida por el selector de método (desrateada: la mediana adelantada (25,8x) es 1,9 veces el PER de hoy (13,6x); la historia es de otro régimen y decide la v2; METODO-VIGENTE.md).</w:t>
      </w:r>
    </w:p>
    <w:p>
      <w:pPr>
        <w:keepNext/>
        <w:spacing w:after="100"/>
      </w:pPr>
      <w:r>
        <w:rPr>
          <w:b/>
          <w:bCs/>
        </w:rPr>
        <w:t xml:space="preserve">Frente al consenso (solo contraste).</w:t>
      </w:r>
    </w:p>
    <w:p>
      <w:pPr>
        <w:spacing w:after="100"/>
      </w:pPr>
      <w:r>
        <w:t xml:space="preserve">Nuestro BPA base de 2028e (5,59) se separa un -11,6 % del consenso (6,32) y nuestro precio base (76,02) un -15,3 % del objetivo medio de los analistas (89,78).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113,57 (+58,2 %) frente al objetivo a 12 meses ponderado 73,12 (+5,5 % con dividendo; base +9,5 %).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tercer trimestre con el gasto en desarrollo cargado en el segundo semestre: crecimiento orgánico de Clinical Solutions (5 % en el 1S26, 7 % en 2025) y de Tax &amp; Accounting Norteamérica (5 %, 8 % en 2025), y confirmación del margen ajustado de en torno al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UpToDate en Microsoft Dragon Copilot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contenido de UpToDate dentro del asistente clínico de Microsoft: prueba de que el contenido se licencia a los agentes en vez de ser sustituido por ellos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2026 (quedan unos 236 M del mandato de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17 al 23 de septiembre solo se compraron 2.534 acciones; completar el mandato a 72 EUR retiraría en torno al 1,5 %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fiscal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temporada completa de los módulos agénticos de CCH Axcess; mide si la IA vende más módulos o abarata el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dividendo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 el gasto en desarrollo al 12-13 % y tamaño de la recompra; el plan estratégico 2025-2027 acaba y se espera el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del informe de remuneraciones tras el 14,8 % en contra de 2026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contenido de consulta por asistentes de IA generales (OpenEvidence en medicina, Harvey y los agentes de los grandes modelos en derecho)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58,85 EUR; -18 %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expertos, integración en la historia clínica y Expert AI adoptado por más del 90 % de los clientes Enterprise de UpToDate en EE. UU. [8,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Clinical Solutions por debajo del 3 % (5 % en el 1S26) o renovaciones de UpToDate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las renovaciones: la IA reduce el valor percibido de la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crecimiento y de margen: 111,67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ingresos recurrentes con contratos anuales o plurianuales; Libra se cobra a unas dos veces el precio del contenido jurídico [19,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los recurrentes por debajo del 5 % (7 %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Tax &amp; Accounting Norteamérica, la mayor fuente de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crecimiento: 116,44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es la única suite fiscal nativa en la nube para despachos en EE. UU., con renovación superior al 95 %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T&amp;A Norteamérica por debajo del 4 % dos semestres seguidos (8 % en 2025, 5 %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desarrollo sube al 12-13 % de los ingresos sin retorno comercial y el margen deja de crecer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(dos puntos menos de margen: 114,37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ha comprometido a subir el margen ajustado a la vez y ha cumplido su guía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2026 por debajo del 28 % guiado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del sector: el mercado sigue pidiendo una rentabilidad cercana a la implícita del 9,6 %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medio punto más de WACC (110,93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flujo libre del 8,3 %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caídas sectoriales como la del 3-feb-2026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60 % de los ingresos y del beneficio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del BPA por cada 10 céntimos que se aprecie el euro (4,5 céntimos de BPA por céntimo)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la parte americana también van en dólares; la cobertura del balance en dólares es solo del 11 %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Adquisiciones caras para comprar crecimiento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 M pagados a 24 veces el EBITDA (estimación propia: valen 388 M al múltiplo propio de 9,3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Criterio declarado: cubrir el coste de capital en 3-5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anuales por encima de 1.000 M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las plataformas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Puntual, menos del -3 % (juicio propio)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ciberseguridad evaluado cada año por un tercero; precedente de mayo de 2019, cuando un programa malicioso obligó a desconectar varias plataformas, entre ellas CCH Axcess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con interrupción de servicio en temporada fiscal</w:t>
            </w:r>
          </w:p>
        </w:tc>
      </w:tr>
    </w:tbl>
    <w:p>
      <w:pPr>
        <w:spacing w:after="160" w:before="0"/>
      </w:pPr>
    </w:p>
    <w:p>
      <w:pPr>
        <w:pStyle w:val="Heading2"/>
      </w:pPr>
      <w:r>
        <w:t xml:space="preserve">Pre-mortem</w:t>
      </w:r>
    </w:p>
    <w:p>
      <w:pPr>
        <w:spacing w:after="100"/>
      </w:pPr>
      <w:r>
        <w:t xml:space="preserve">Octubre de 2029: la acción vale 43 EUR. La historia empezó en el semestre que hoy parecía ruido. Clinical Solutions pasó del 7 % al 5 % en 2026 y al 2 % en 2027: los hospitales renovaron UpToDate Enterprise con Expert AI, pero sin subida de precio, porque OpenEvidence, gratis para el médico y ya usado por más del 40 % de los de EE. UU. [24], se integró en Epic y fijó el precio de referencia en cero. En derecho, Harvey y los agentes de los grandes modelos convirtieron la consulta jurídica en una función del procesador de textos; Legal &amp; Regulatory perdió un 5 % de ingresos de información al año. Tax &amp; Accounting aguantó, pero con la competencia de herramientas agénticas más baratas el crecimiento bajó al 3 %. La dirección, con un equipo casi nuevo, respondió como responden casi todos: más gasto en desarrollo (14 % de las ventas) y adquisiciones caras de empresas de IA, y el margen ajustado bajó del 28 % al 25 %. Con la deuda en 2,5 veces el EBITDA, las recompras se pararon. El mercado, que en 2026 pedía un 9,6 % de rentabilidad implícita, pasó a tratar a Wolters como a un editor en declive. Las señales estaban a la vista: el orgánico de Clinical Solutions por debajo del 4 %, el de los recurrentes por debajo del 5 % y el margen ajustado de 2026 por debajo del 28 % guiado.</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(séptimo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riesgo bajo (11,4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Governance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(escala 1-10; 1 es el menor riesgo)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Social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Environment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ESG que mueven las cifras son tres. </w:t>
      </w:r>
      <w:r>
        <w:rPr>
          <w:b/>
        </w:rPr>
        <w:t xml:space="preserve">Ciberseguridad y privacidad de datos</w:t>
      </w:r>
      <w:r>
        <w:t xml:space="preserve">: la empresa custodia historias clínicas, declaraciones fiscales y datos societarios; en mayo de 2019 un programa malicioso obligó a desconectar varias plataformas, entre ellas CCH Axcess [36]. </w:t>
      </w:r>
      <w:r>
        <w:rPr>
          <w:b/>
        </w:rPr>
        <w:t xml:space="preserve">IA responsable y exactitud del contenido</w:t>
      </w:r>
      <w:r>
        <w:t xml:space="preserve">: un error clínico o fiscal de un asistente pone en juego la marca; la empresa responde con validación por expertos («expert-in-the-loop») y con el Reglamento de IA europeo, cuyas obligaciones de alto riesgo llegan en 2027-2028 [3, 33]. </w:t>
      </w:r>
      <w:r>
        <w:rPr>
          <w:b/>
        </w:rPr>
        <w:t xml:space="preserve">Capital humano</w:t>
      </w:r>
      <w:r>
        <w:t xml:space="preserve">: más de la mitad de los costes es personal; la rotación subió al 10,5 % en 2025 (voluntaria, 6,8 %) [3]. Las emisiones son bajas por ser un negocio digital y tiene objetivos validados por SBTi [3].</w:t>
      </w:r>
    </w:p>
    <w:p>
      <w:pPr>
        <w:pStyle w:val="Heading2"/>
      </w:pPr>
      <w:r>
        <w:t xml:space="preserve">Controversias</w:t>
      </w:r>
    </w:p>
    <w:p>
      <w:pPr>
        <w:spacing w:after="100"/>
      </w:pPr>
      <w:r>
        <w:t xml:space="preserve">No he encontrado sanciones, litigios ni incidentes materiales en los últimos tres años (octubre de 2023 a octubre de 2026) en los informes anuales ni en las búsquedas. El ciberataque a CCH que se suele citar fue en mayo de 2019, no en 2021: el 6 de mayo de 2019 la empresa detectó un programa malicioso y apagó plataformas, sin pruebas de robo de datos de clientes según la compañía [36]. Queda fuera del periodo de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ha sido la retención bruta y neta en ingresos de UpToDate Enterprise en las renovaciones de 2026, y cuánto precio adicional se cobra por Expert 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clientes Enterprise de EE. UU. lo ha adoptado, pero el crecimiento orgánico de Clinical Solutions bajó del 7 % al 5 %; es el dato que separa palanca de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sustituible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procede de consulta de contenido (UpToDate, bases jurídicas, libros) y qué parte de software de flujo de trabajo y servicios de 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sustitución por asistentes generales no es igual en todo el grupo; sin este desglose el mercado aplica el descuento a los 6.125 M enteros.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orgánico de T&amp;A Norteamérica bajó del 8 % en 2025 al 2 % en el primer trimestre y al 5 % en el semestre, si la nube crece un 18 %?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 del grupo (584 M de beneficio operativo ajustado en 2025); la dirección lo atribuye a los impresos y a los servicios externalizados,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factura al cliente final en la alianza con OpenAI, y se licencia contenido propio para consultar o también para entrenar?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Licenciar el contenido a un tercero puede abrir ingresos nuevos o enseñar al competidor; el contrato decide cuál de las 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recompraron 1.100 M a 128 EUR en 2025 y solo hasta 500 M a 68 EUR en 2026, y por qué casi se pararon las compras en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ahora rinde más que las adquisiciones; la reducción contradice la tesis de la propia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gasto en desarrollo al 12-13 % de los ingresos se capitaliza y cuánto subirá la amortización de software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capitalización neta ya sumó unos 42 M al beneficio operativo de 2025; si crece, el margen ajustado sube a costa del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aplicó en las renovaciones de 2025 y 2026 por división, y ha cambiado la resistencia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del 5-6 % incluye precio; si la IA quita poder de negociación, el primer síntoma será una subida menor con el mismo volumen.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1 explicados. Fuentes: 82 (47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-15,8 %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25,4 % frente a WACC 6,8 %: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10,2x a 12,5x según qué comparable se quite (80,52 a 103,17 por acción): la muestra es frágil; explícalo y no le des mucho peso. Explicación: La mediana del EV/EBITDA de los próximos 12 meses depende de Intuit, Veeva y Gartner, que encajan peor (EBITDA sin remuneración en acciones o ventas a la baja). Se explica en la sección de comparables y por eso pesan solo un 20 %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61,8 %, asimetría de 6,83, bajista del -18,0 % y el precio descuenta 8,2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46, 48, 49, 55,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(las cinco divisiones)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2024 pro forma); 2) documento pro forma 2024 del traspaso de FRR (solo 1S24 y 2024) e informe anual 2023 (2022 reexpresado con FRR dentro de CP&amp;ESG); 3) derivarlo restando FRR: la empresa solo publica sus cifras de 2024 (123 M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 (pro forma) y 2025 con las cinco divisiones; Health, T&amp;A y L&amp;R tienen 2022-2023 reexpresados, pero se omiten para que ningún año quede incompleto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geografias_criterio (destino u origen)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 ingresos del informe anual 2025; 2) informe anual 2024; 3) búsqueda de «location of the customer» en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«origen» por prudencia; la nota no lo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los segundos semestres y crecimiento de 1S23/2S23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anuales y semestrales (solo año y semestre 1); 2) actualizaciones de 9 meses (9M24 6 %, 9M25 6 %); 3) no se descargó el semestral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2S se infieren ~6 % (2023-2025) por diferencia,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citan consenso); 2) presentaciones; 3) consenso previo no accesible gratis sin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y webcast); 2) presentaciones FY2025 y 1S26 leídas; 3) no se buscaron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se basa en presentaciones y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2016-2020 (Enablon, Tagetik, etc.) y múltiplos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2021-2025 (cubren 2021-2026); 2) notas de adquisiciones (no publican EBITDA de las compradas); 3) múltiplo de ventas estimado solo para Isabel/Finca y FRR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2016-2020; ev_ebitda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de resultados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(contiene 2020); 2) no hay informes 2016-2019 descargados; 3) no se priorizó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y presentaciones de Wolters Kluwer (sin tamaño de mercado); 2) informe anual 2025 de Thomson Reuters (solo un año: 31.000 M USD) y de RELX (sin tamaño); 3) informes de mercado de apoyo a la decisión clínica (cifras de 2025 entre 2.400 y 6.400 M USD según el editor, y de un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Wolters Kluwer; 2) Thomson Reuters (solo previsión del 8-11 %); 3) Towards Healthcare (solo previsión del 8,3 % para 2026-2035)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Cuotas publicadas por Wolters Kluwer (no hay); 2) Thomson Reuters y RELX (no publican cuotas); 3) estimación propia con ingresos de cada uno sobre el mercado de 31.000 M USD: Thomson Reuters ≈ 20 %, Wolters Kluwer ≈ 14 %, LexisNexis ≈ 8 %, Intuit ProTax ≈ 2 % (≈ 44 % los cuatro); falta el quinto (Bloomberg Industry Group o CSC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(concentración y subida media de precios)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ingresos y riesgos; 2) presentaciones de resultados y teach-in de IA; 3) búsqueda de «price increase» en los informes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CSC (rival de CT Corporation)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CSC (empresa privada, sin cuentas); 2) informe anual de Wolters Kluwer (no cita rivales);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CDP y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calificaciones ESG del informe anual 2025 (solo MSCI, ISS y Sustainalytics); 2) declaración de sostenibilidad del informe anual 2025 (cita CDP sin nota);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trae la guía de 2022, no la de 2021; 2) no hay en notas/docs ni el informe anual 2020 ni la nota de resultados de 2020; 3) no descargado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Maarten de Vries y presidencia de Auditoría y vicepresidencia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Orden del día de la junta de 2026: no lo dice; 2) informe semestral 2026 y presentación de la junta: no lo dicen; 3) web de inversores no consultada (Cloudflare)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(cifras de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solo gráficos en imagen; 2) MarketScreener, página de consenso: solo los últimos cambios de recomendación y precio objetivo, sin cifras de estimaciones anteriores; 3) Investing, consenso: solo la foto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(texto cualitativo con los cambios de recomendación)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 de múltiplos de los próximos 12 meses gratis; 2) Stock Analysis: solo el múltiplo actual; 3) cálculo propio: no hay consenso histórico gratuito con el que hacerlo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usa los de los últimos 12 meses con el precio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LSEG/Refinitiv y de las compras de Wolters (RASi, Brightflag, Marosa)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LSEG de 2019 (la dirección da 404); 2) búsqueda de texto completo en EDGAR: solo aparece el 6-K de Thomson Reuters, sin los múltiplos; 3) informe anual 2025 de Wolters, nota 8: precio y empleados, sin ventas ni EBITDA de lo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Refinitiv; RASi, Brightflag y Marosa incluidas sin múltiplo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2025 Full-Year Report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https://assets.contenthub.wolterskluwer.com/api/public/content/3118646-2026-02-25-wolters-kluwer-2025-full-year-results-7391945524?v=2c966da9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2024 Full-Year Report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https://assets.contenthub.wolterskluwer.com/api/public/content/2621178-2025-02-26-wolters-kluwer-2024-full-year-results-910a3f1b88?v=acc4926f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Annual Report (informe anual con cuentas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https://assets.contenthub.wolterskluwer.com/api/public/content/3210406-wolters-kluwer-2025-annual-report-pdf-8bb01b4e47?v=ddef685b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https://assets.contenthub.wolterskluwer.com/api/public/content/2630611-wolters-kluwer-2024-annual-report-cd216d4be7?v=7a259453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https://assets.contenthub.wolterskluwer.com/api/public/content/2190891-wolters-kluwer-2023-annual-report-3ff32c52c4?v=f6d1aeee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https://assets.contenthub.wolterskluwer.com/api/public/content/7ecf79d725094df588fddb8b58370a0c?v=0723f0d6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2021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https://assets.contenthub.wolterskluwer.com/api/public/content/dcdbbde666bc48f2a8fd19fbfeeb9a4d?v=be16ae17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2026 Half-Year Report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https://assets.contenthub.wolterskluwer.com/api/public/content/3775537-2026-08-05-wolters-kluwer-2026-half-year-results-7d85c04c6c?v=15135ed1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https://assets.contenthub.wolterskluwer.com/api/public/content/2889175-2025-07-30-wolters-kluwer-2025-half-year-results-859cfb3b56?v=8876f75e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https://assets.contenthub.wolterskluwer.com/api/public/content/2363214--wolters-kluwer-2024-half-year-results-0fc01d8188?v=ce3d4d2f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https://assets.contenthub.wolterskluwer.com/api/public/content/3316098-2026-05-06-wolters-kluwer-first-quarter-2026-trading-update-a6a04158be?v=9092ad42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https://assets.contenthub.wolterskluwer.com/api/public/content/3027635-wolters-kluwer-2025-nine-month-trading-update-828d0c7655?v=9d2a32f2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https://assets.contenthub.wolterskluwer.com/api/public/content/2721261-wolters-kluwer-first-quarter-2025-trading-update-29258f91b0?v=10880624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https://assets.contenthub.wolterskluwer.com/api/public/content/2453143-2024-10-30---wolters-kluwer-2024-nine-month-trading-update-c715197273?v=1caa1139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financials 2024 – business unit transfer (FRR de CP&amp;ESG a FCC)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https://assets.contenthub.wolterskluwer.com/api/public/content/2780837-wolters-kluwer-pro-forma-2024-financials-business-unit-transfer-5ae7e4a04a?v=419631e0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https://assets.contenthub.wolterskluwer.com/api/public/content/3118800-wolters-kluwer-full-year-2025-presentation-1e296e76b9?v=2f4e289e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https://assets.contenthub.wolterskluwer.com/api/public/content/3777688-wolters-kluwer-half-year-2026-presentation-42bee5991d?v=38780039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UpToDate: presentación a inversores (Clinical Decision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https://assets.contenthub.wolterskluwer.com/api/public/content/2971261-2025-09-11-wolters-kluwer-uptodate-presentation-f335034a04?v=147fabc2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Intelligence Teach-in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https://assets.contenthub.wolterskluwer.com/api/public/content/3060139-wolters-kluwer-artificial-intelligence-teach-in-ed993f4be7?v=f79f45bf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https://assets.contenthub.wolterskluwer.com/api/public/content/3336093-2026-wolters-kluwer-annual-general-meeting-19ca124c1b?v=4c128a37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https://en.wikipedia.org/wiki/Wolters_Kluwer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WKL.AS, REL.L, TRI, INTU, LSEG.L, EXPN.L, VRSK y WK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https://finance.yahoo.com/quote/WKL.AS/history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Claude Crash Impact On Thomson Reuters + LexisNexis Is Irrational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https://www.artificiallawyer.com/2026/02/04/claude-crash-impact-on-thomson-reuters-lexisnexis-is-irrational/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OpenEvidence doubles valuation to $12bn as physician adoption accelerates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https://hlth.com/insights/news/openevidence-doubles-valuation-to-12bn-as-physician-adoption-accelerates-2026-01-22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Harvey's valuation soars to $15.5bn in latest funding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Nonbillable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https://www.nonbillable.co.uk/news/harvey-15-billion-valuation-funding-round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99.1 del Form 40-F)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https://www.sec.gov/Archives/edgar/data/1075124/000119312526094222/tri-ex99_1.htm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2026 (a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Workiva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https://data.sec.gov/api/xbrl/companyfacts/CIK0001445305.json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https://www.sec.gov/Archives/edgar/data/1516513/000151651326000025/docs-20260331.htm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31-12-2025, 31-3-2026 y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AI Act Omnibus Agreement: Postponed High-Risk Deadlines and Other Key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Gibson Dunn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https://www.gibsondunn.com/eu-ai-act-omnibus-agreement-postponed-high-risk-deadlines-and-other-key-changes/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Decision Support Systems (CDSS)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https://www.towardshealthcare.com/insights/clinical-decision-support-systems-cdss-market-sizing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Giant Wolters Kluwer Hit by Malware Attack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https://www.securityweek.com/information-services-giant-wolters-kluwer-hit-malware-attack/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Key Takeaways from FDA's Revised Clinical Decision Support (CDS) Software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Covington &amp; Burling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https://www.cov.com/en/news-and-insights/insights/2026/01/5-key-takeaways-from-fdas-revised-clinical-decision-support-cds-software-guidance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AI startup OpenEvidence secures $250M led by Andreessen Horowitz at $15B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https://af.net/realtime/clinical-ai-startup-openevidence-secures-250m-led-by-andreessen-horowitz-at-15b-valuation/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resultados de las votaciones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https://assets.contenthub.wolterskluwer.com/api/public/content/3329199-wolters-kluwer-n-v-2026-agm-voting-results-be2bd32100?v=714b44a4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resultados de las votaciones (15-may-2025)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https://assets.contenthub.wolterskluwer.com/api/public/content/2735794-wolters-kluwer-n-v-agm-2025---voting-results-9a8cedd183?v=fcd58744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resultados de las votaciones (8-may-2024)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https://assets.contenthub.wolterskluwer.com/api/public/content/2293287-wolters-kluwer-2024-agm-voting-results-dc129639ca?v=266afa0f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orden del día y explicación del cambio de estatutos (punto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https://assets.contenthub.wolterskluwer.com/api/public/content/3244121-wolters-kluwer-n-v-agm-agenda-2026-4426c985ef?v=aa60cf76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notificaciones sobre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 e histórico), Wolters Kluwer N.V. (NL0000395903)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https://www.afm.nl/en/sector/registers/meldingenregisters/netto-shortposities-historie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notificaciones de miembros del Executive Board y del Supervisory Board (bestuurders en commissarissen),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1,1814 el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17-23,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https://www.wolterskluwer.com/en/news/share-buyback-transaction-details-september-17-23-2026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completes capital reduction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https://www.wolterskluwer.com/en/news/wolters-kluwer-completes-capital-reduction-2026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June 18-24,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https://www.wolterskluwer.com/en/news/share-buyback-transaction-details-june-18-24-2026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(WKL)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https://stockanalysis.com/quote/ams/WKL/statistics/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https://www.investing.com/equities/wolters-kluwer-consensus-estimates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(Svensson), vencimiento residual de 10 años, datos diarios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https://www.afm.nl/en/sector/registers/meldingenregisters/netto-shortposities-actueel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REN.AS, LSEG.L, TRI, IMAE.AS y EXSA.DE (betas y caídas de los pares)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https://www.marketscreener.com/quote/stock/RELX-PLC-22837336/finances/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 REL)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 LSEG)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 EXPN)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from Thoma Bravo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enters into definitive agreement to be acquired by Clearlake Capital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fourth quarter and full year 2024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to be acquired by Thoma Bravo for $10.7 billion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https://www.sec.gov/Archives/edgar/data/1540755/000119312522079976/d243192dex99.htm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fourth quarter and fiscal 2022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https://www.sec.gov/Archives/edgar/data/1540755/000154075522000007/plan-20220302x8kexhibit991.htm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https://www.wolterskluwer.com/en/investors/calendar-faq/investor-calendar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acciones ordinarias en Euronext Ámsterdam (WKL); el ADR (WTKWY) no se usa. Precio de cierre del 8-oct-2026 (la sesión ya había cerrado). La actualización de nueve meses se publica el 4-nov-2026: el último periodo con cuentas es el primer semestre de 2026 (balance a 30-jun-2026); el puente resta lo pagado después (dividendo a cuenta, recompras y la compra de Marosa). Wolters Kluwer gestiona y guía con cifras ajustadas: beneficio operativo antes de amortizar intangibles adquiridos y sin partidas no recurrentes. El informe usa las cifras NIIF y devuelve al EBITDA solo los resultados de desinversiones (2025: plusvalía de 231 M por FRR); los costes de adquisición y de reestructuración se quedan dentro porque se repiten cada año. Segmentos: en 2025 la empresa traspasó unidades entre divisiones y solo reexpresó 2024; los años anteriores no se muestran por división. Publica semestres completos y avances trimestrales sin cuenta, así que la serie reciente va por semestres. La web de inversores bloquea las descargas automáticas; los documentos se bajaron de su repositorio público de archivos.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Wolters Kluwer N.V. (WKL)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Health</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1584</c:v>
                </c:pt>
                <c:pt idx="1">
                  <c:v>1596</c:v>
                </c:pt>
              </c:numCache>
            </c:numRef>
          </c:val>
        </c:ser>
        <c:ser>
          <c:idx val="1"/>
          <c:order val="1"/>
          <c:tx>
            <c:strRef>
              <c:f>Hoja1!$C$1</c:f>
              <c:strCache>
                <c:ptCount val="1"/>
                <c:pt idx="0">
                  <c:v>Tax &amp; Accounting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1561</c:v>
                </c:pt>
                <c:pt idx="1">
                  <c:v>1660</c:v>
                </c:pt>
              </c:numCache>
            </c:numRef>
          </c:val>
        </c:ser>
        <c:ser>
          <c:idx val="2"/>
          <c:order val="2"/>
          <c:tx>
            <c:strRef>
              <c:f>Hoja1!$D$1</c:f>
              <c:strCache>
                <c:ptCount val="1"/>
                <c:pt idx="0">
                  <c:v>Financial &amp; Corporate Compliance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1228</c:v>
                </c:pt>
                <c:pt idx="1">
                  <c:v>1239</c:v>
                </c:pt>
              </c:numCache>
            </c:numRef>
          </c:val>
        </c:ser>
        <c:ser>
          <c:idx val="3"/>
          <c:order val="3"/>
          <c:tx>
            <c:strRef>
              <c:f>Hoja1!$E$1</c:f>
              <c:strCache>
                <c:ptCount val="1"/>
                <c:pt idx="0">
                  <c:v>Legal &amp; Regulatory</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946</c:v>
                </c:pt>
                <c:pt idx="1">
                  <c:v>1005</c:v>
                </c:pt>
              </c:numCache>
            </c:numRef>
          </c:val>
        </c:ser>
        <c:ser>
          <c:idx val="4"/>
          <c:order val="4"/>
          <c:tx>
            <c:strRef>
              <c:f>Hoja1!$F$1</c:f>
              <c:strCache>
                <c:ptCount val="1"/>
                <c:pt idx="0">
                  <c:v>Corporate Performance &amp; ESG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597</c:v>
                </c:pt>
                <c:pt idx="1">
                  <c:v>625</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Health</c:v>
                </c:pt>
                <c:pt idx="1">
                  <c:v>Tax &amp; Accounting</c:v>
                </c:pt>
                <c:pt idx="2">
                  <c:v>Financial &amp; Corporate Compliance</c:v>
                </c:pt>
                <c:pt idx="3">
                  <c:v>Legal &amp; Regulatory</c:v>
                </c:pt>
                <c:pt idx="4">
                  <c:v>Corporate Performance &amp; ESG</c:v>
                </c:pt>
                <c:pt idx="5">
                  <c:v>Corporativo</c:v>
                </c:pt>
              </c:strCache>
            </c:strRef>
          </c:cat>
          <c:val>
            <c:numRef>
              <c:f>Hoja1!$B$2:$B$7</c:f>
              <c:numCache>
                <c:formatCode>General</c:formatCode>
                <c:ptCount val="6"/>
                <c:pt idx="0">
                  <c:v>26.1</c:v>
                </c:pt>
                <c:pt idx="1">
                  <c:v>27.1</c:v>
                </c:pt>
                <c:pt idx="2">
                  <c:v>20.2</c:v>
                </c:pt>
                <c:pt idx="3">
                  <c:v>16.4</c:v>
                </c:pt>
                <c:pt idx="4">
                  <c:v>10.2</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y Canadá</c:v>
                </c:pt>
                <c:pt idx="1">
                  <c:v>Europa (sin Países Bajos)</c:v>
                </c:pt>
                <c:pt idx="2">
                  <c:v>Países Bajos</c:v>
                </c:pt>
                <c:pt idx="3">
                  <c:v>Asia-Pacífico</c:v>
                </c:pt>
                <c:pt idx="4">
                  <c:v>Resto del mundo</c:v>
                </c:pt>
              </c:strCache>
            </c:strRef>
          </c:cat>
          <c:val>
            <c:numRef>
              <c:f>Hoja1!$B$2:$B$6</c:f>
              <c:numCache>
                <c:formatCode>0"%"</c:formatCode>
                <c:ptCount val="5"/>
                <c:pt idx="0">
                  <c:v>63</c:v>
                </c:pt>
                <c:pt idx="1">
                  <c:v>25</c:v>
                </c:pt>
                <c:pt idx="2">
                  <c:v>4.3</c:v>
                </c:pt>
                <c:pt idx="3">
                  <c:v>5.8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Wolters Kluwer</c:v>
                </c:pt>
                <c:pt idx="1">
                  <c:v>Thomson Reuters</c:v>
                </c:pt>
                <c:pt idx="2">
                  <c:v>RELX (LexisNexis, Elsevier)</c:v>
                </c:pt>
                <c:pt idx="3">
                  <c:v>Intuit (ProTax: Lacerte, ProSeries, ProConnect)</c:v>
                </c:pt>
                <c:pt idx="4">
                  <c:v>Workiva</c:v>
                </c:pt>
                <c:pt idx="5">
                  <c:v>Doximity</c:v>
                </c:pt>
                <c:pt idx="6">
                  <c:v>OpenEvidence</c:v>
                </c:pt>
                <c:pt idx="7">
                  <c:v>Harvey</c:v>
                </c:pt>
              </c:strCache>
            </c:strRef>
          </c:cat>
          <c:val>
            <c:numRef>
              <c:f>Hoja1!$B$2:$B$9</c:f>
              <c:numCache>
                <c:formatCode>0.0"%"</c:formatCode>
                <c:ptCount val="8"/>
                <c:pt idx="0">
                  <c:v>24.6</c:v>
                </c:pt>
                <c:pt idx="1">
                  <c:v>28.5</c:v>
                </c:pt>
                <c:pt idx="2">
                  <c:v>34.8</c:v>
                </c:pt>
                <c:pt idx="3">
                  <c:v>27.4</c:v>
                </c:pt>
                <c:pt idx="4">
                  <c:v>-4.8</c:v>
                </c:pt>
                <c:pt idx="5">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Hoja1!$B$2:$B$11</c:f>
              <c:numCache>
                <c:formatCode>#,##0</c:formatCode>
                <c:ptCount val="10"/>
                <c:pt idx="0">
                  <c:v>4771</c:v>
                </c:pt>
                <c:pt idx="1">
                  <c:v>5453</c:v>
                </c:pt>
                <c:pt idx="2">
                  <c:v>5584</c:v>
                </c:pt>
                <c:pt idx="3">
                  <c:v>5916</c:v>
                </c:pt>
                <c:pt idx="4">
                  <c:v>6125</c:v>
                </c:pt>
                <c:pt idx="5">
                  <c:v>6278</c:v>
                </c:pt>
                <c:pt idx="6">
                  <c:v>6561</c:v>
                </c:pt>
                <c:pt idx="7">
                  <c:v>6856</c:v>
                </c:pt>
                <c:pt idx="8">
                  <c:v>7130</c:v>
                </c:pt>
                <c:pt idx="9">
                  <c:v>7415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Hoja1!$C$2:$C$11</c:f>
              <c:numCache>
                <c:formatCode>#,##0</c:formatCode>
                <c:ptCount val="10"/>
                <c:pt idx="0">
                  <c:v>1505</c:v>
                </c:pt>
                <c:pt idx="1">
                  <c:v>1724</c:v>
                </c:pt>
                <c:pt idx="2">
                  <c:v>1764</c:v>
                </c:pt>
                <c:pt idx="3">
                  <c:v>1923</c:v>
                </c:pt>
                <c:pt idx="4">
                  <c:v>1981</c:v>
                </c:pt>
                <c:pt idx="5">
                  <c:v>2078</c:v>
                </c:pt>
                <c:pt idx="6">
                  <c:v>2191</c:v>
                </c:pt>
                <c:pt idx="7">
                  <c:v>2310</c:v>
                </c:pt>
                <c:pt idx="8">
                  <c:v>2424</c:v>
                </c:pt>
                <c:pt idx="9">
                  <c:v>2536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71.2</c:v>
                </c:pt>
                <c:pt idx="1">
                  <c:v>71.1</c:v>
                </c:pt>
                <c:pt idx="2">
                  <c:v>71.8</c:v>
                </c:pt>
                <c:pt idx="3">
                  <c:v>72.5</c:v>
                </c:pt>
                <c:pt idx="4">
                  <c:v>73.5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31.5</c:v>
                </c:pt>
                <c:pt idx="1">
                  <c:v>31.6</c:v>
                </c:pt>
                <c:pt idx="2">
                  <c:v>31.6</c:v>
                </c:pt>
                <c:pt idx="3">
                  <c:v>32.5</c:v>
                </c:pt>
                <c:pt idx="4">
                  <c:v>32.3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23.1</c:v>
                </c:pt>
                <c:pt idx="2">
                  <c:v>23.6</c:v>
                </c:pt>
                <c:pt idx="3">
                  <c:v>24.4</c:v>
                </c:pt>
                <c:pt idx="4">
                  <c:v>24.6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18.8</c:v>
                </c:pt>
                <c:pt idx="2">
                  <c:v>18</c:v>
                </c:pt>
                <c:pt idx="3">
                  <c:v>18.2</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6.1</c:v>
                </c:pt>
                <c:pt idx="3">
                  <c:v>5.8</c:v>
                </c:pt>
                <c:pt idx="4">
                  <c:v>5.6</c:v>
                </c:pt>
                <c:pt idx="5">
                  <c:v>1.6</c:v>
                </c:pt>
                <c:pt idx="6">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6</c:v>
                </c:pt>
                <c:pt idx="2">
                  <c:v>6</c:v>
                </c:pt>
                <c:pt idx="4">
                  <c:v>5</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c:v>
                </c:pt>
                <c:pt idx="1">
                  <c:v>73</c:v>
                </c:pt>
                <c:pt idx="2">
                  <c:v>71</c:v>
                </c:pt>
                <c:pt idx="3">
                  <c:v>70</c:v>
                </c:pt>
                <c:pt idx="4">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18</c:v>
                </c:pt>
                <c:pt idx="2">
                  <c:v>19</c:v>
                </c:pt>
                <c:pt idx="3">
                  <c:v>18</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38</c:v>
                </c:pt>
                <c:pt idx="3">
                  <c:v>36</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984</c:v>
                </c:pt>
                <c:pt idx="1">
                  <c:v>1215</c:v>
                </c:pt>
                <c:pt idx="2">
                  <c:v>1157</c:v>
                </c:pt>
                <c:pt idx="3">
                  <c:v>1279</c:v>
                </c:pt>
                <c:pt idx="4">
                  <c:v>1307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728</c:v>
                </c:pt>
                <c:pt idx="1">
                  <c:v>1027</c:v>
                </c:pt>
                <c:pt idx="2">
                  <c:v>1007</c:v>
                </c:pt>
                <c:pt idx="3">
                  <c:v>1079</c:v>
                </c:pt>
                <c:pt idx="4">
                  <c:v>1308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22.2</c:v>
                </c:pt>
                <c:pt idx="2">
                  <c:v>22.9</c:v>
                </c:pt>
                <c:pt idx="3">
                  <c:v>25.1</c:v>
                </c:pt>
                <c:pt idx="4">
                  <c:v>25.4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30.1</c:v>
                </c:pt>
                <c:pt idx="1">
                  <c:v>43.5</c:v>
                </c:pt>
                <c:pt idx="2">
                  <c:v>49.6</c:v>
                </c:pt>
                <c:pt idx="3">
                  <c:v>65.5</c:v>
                </c:pt>
                <c:pt idx="4">
                  <c:v>111.7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1.32</c:v>
                </c:pt>
                <c:pt idx="2">
                  <c:v>1.48</c:v>
                </c:pt>
                <c:pt idx="3">
                  <c:v>1.62</c:v>
                </c:pt>
                <c:pt idx="4">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722</c:v>
                </c:pt>
                <c:pt idx="1">
                  <c:v>557</c:v>
                </c:pt>
                <c:pt idx="2">
                  <c:v>543</c:v>
                </c:pt>
                <c:pt idx="3">
                  <c:v>599</c:v>
                </c:pt>
                <c:pt idx="4">
                  <c:v>997</c:v>
                </c:pt>
                <c:pt idx="5">
                  <c:v>1337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92</c:v>
                </c:pt>
                <c:pt idx="2">
                  <c:v>61</c:v>
                </c:pt>
                <c:pt idx="3">
                  <c:v>335</c:v>
                </c:pt>
                <c:pt idx="4">
                  <c:v>871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373</c:v>
                </c:pt>
                <c:pt idx="1">
                  <c:v>424</c:v>
                </c:pt>
                <c:pt idx="2">
                  <c:v>467</c:v>
                </c:pt>
                <c:pt idx="3">
                  <c:v>521</c:v>
                </c:pt>
                <c:pt idx="4">
                  <c:v>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410</c:v>
                </c:pt>
                <c:pt idx="1">
                  <c:v>1000</c:v>
                </c:pt>
                <c:pt idx="2">
                  <c:v>1000</c:v>
                </c:pt>
                <c:pt idx="3">
                  <c:v>1000</c:v>
                </c:pt>
                <c:pt idx="4">
                  <c:v>1096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Massachusetts Financial Services (MFS)</c:v>
                </c:pt>
                <c:pt idx="2">
                  <c:v>Independent Franchise Partners LLP</c:v>
                </c:pt>
                <c:pt idx="3">
                  <c:v>UBS Group AG</c:v>
                </c:pt>
                <c:pt idx="4">
                  <c:v>JP Morgan Chase &amp; Co</c:v>
                </c:pt>
                <c:pt idx="5">
                  <c:v>Amundi Asset Management</c:v>
                </c:pt>
                <c:pt idx="6">
                  <c:v>Wolters Kluwer N.V. (autocartera)</c:v>
                </c:pt>
              </c:strCache>
            </c:strRef>
          </c:cat>
          <c:val>
            <c:numRef>
              <c:f>Hoja1!$B$2:$B$8</c:f>
              <c:numCache>
                <c:formatCode>0.0"%"</c:formatCode>
                <c:ptCount val="7"/>
                <c:pt idx="0">
                  <c:v>8.01</c:v>
                </c:pt>
                <c:pt idx="1">
                  <c:v>2.33</c:v>
                </c:pt>
                <c:pt idx="2">
                  <c:v>2.79</c:v>
                </c:pt>
                <c:pt idx="3">
                  <c:v>2.94</c:v>
                </c:pt>
                <c:pt idx="4">
                  <c:v>2.83</c:v>
                </c:pt>
                <c:pt idx="5">
                  <c:v>2.96</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12.2</c:v>
                </c:pt>
                <c:pt idx="1">
                  <c:v>29</c:v>
                </c:pt>
                <c:pt idx="2">
                  <c:v>21.3</c:v>
                </c:pt>
                <c:pt idx="3">
                  <c:v>27.9</c:v>
                </c:pt>
                <c:pt idx="4">
                  <c:v>8.2</c:v>
                </c:pt>
                <c:pt idx="5">
                  <c:v>52.6</c:v>
                </c:pt>
                <c:pt idx="6">
                  <c:v>-4</c:v>
                </c:pt>
                <c:pt idx="7">
                  <c:v>33.9</c:v>
                </c:pt>
                <c:pt idx="8">
                  <c:v>26.5</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11.8</c:v>
                </c:pt>
                <c:pt idx="1">
                  <c:v>16</c:v>
                </c:pt>
                <c:pt idx="2">
                  <c:v>-8</c:v>
                </c:pt>
                <c:pt idx="3">
                  <c:v>27.7</c:v>
                </c:pt>
                <c:pt idx="4">
                  <c:v>5</c:v>
                </c:pt>
                <c:pt idx="5">
                  <c:v>30.2</c:v>
                </c:pt>
                <c:pt idx="6">
                  <c:v>-12.1</c:v>
                </c:pt>
                <c:pt idx="7">
                  <c:v>16.7</c:v>
                </c:pt>
                <c:pt idx="8">
                  <c:v>14.2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19.4</c:v>
                </c:pt>
                <c:pt idx="6">
                  <c:v>15.8</c:v>
                </c:pt>
                <c:pt idx="7">
                  <c:v>19.4</c:v>
                </c:pt>
                <c:pt idx="8">
                  <c:v>21.5</c:v>
                </c:pt>
                <c:pt idx="9">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Wolters Kluwer</c:v>
                </c:pt>
                <c:pt idx="1">
                  <c:v>RELX</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0">
                  <c:v>9.3</c:v>
                </c:pt>
                <c:pt idx="1">
                  <c:v>12.5</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5.7</c:v>
                </c:pt>
              </c:numCache>
            </c:numRef>
          </c:xVal>
          <c:yVal>
            <c:numRef>
              <c:f>Hoja1!$C$2</c:f>
              <c:numCache>
                <c:formatCode>0.0"x"</c:formatCode>
                <c:ptCount val="1"/>
                <c:pt idx="0">
                  <c:v>9.3</c:v>
                </c:pt>
              </c:numCache>
            </c:numRef>
          </c:yVal>
          <c:smooth val="0"/>
        </c:ser>
        <c:ser>
          <c:idx val="1"/>
          <c:order val="1"/>
          <c:tx>
            <c:strRef>
              <c:f>Hoja1!$A$3</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12.5</c:v>
                </c:pt>
              </c:numCache>
            </c:numRef>
          </c:yVal>
          <c:smooth val="0"/>
        </c:ser>
        <c:ser>
          <c:idx val="2"/>
          <c:order val="2"/>
          <c:tx>
            <c:strRef>
              <c:f>Hoja1!$A$4</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13.3</c:v>
                </c:pt>
              </c:numCache>
            </c:numRef>
          </c:yVal>
          <c:smooth val="0"/>
        </c:ser>
        <c:ser>
          <c:idx val="3"/>
          <c:order val="3"/>
          <c:tx>
            <c:strRef>
              <c:f>Hoja1!$A$5</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6.4</c:v>
                </c:pt>
              </c:numCache>
            </c:numRef>
          </c:xVal>
          <c:yVal>
            <c:numRef>
              <c:f>Hoja1!$C$5</c:f>
              <c:numCache>
                <c:formatCode>0.0"x"</c:formatCode>
                <c:ptCount val="1"/>
                <c:pt idx="0">
                  <c:v>10</c:v>
                </c:pt>
              </c:numCache>
            </c:numRef>
          </c:yVal>
          <c:smooth val="0"/>
        </c:ser>
        <c:ser>
          <c:idx val="4"/>
          <c:order val="4"/>
          <c:tx>
            <c:strRef>
              <c:f>Hoja1!$A$6</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14</c:v>
                </c:pt>
              </c:numCache>
            </c:numRef>
          </c:yVal>
          <c:smooth val="0"/>
        </c:ser>
        <c:ser>
          <c:idx val="5"/>
          <c:order val="5"/>
          <c:tx>
            <c:strRef>
              <c:f>Hoja1!$A$7</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8.1</c:v>
                </c:pt>
              </c:numCache>
            </c:numRef>
          </c:xVal>
          <c:yVal>
            <c:numRef>
              <c:f>Hoja1!$C$7</c:f>
              <c:numCache>
                <c:formatCode>0.0"x"</c:formatCode>
                <c:ptCount val="1"/>
                <c:pt idx="0">
                  <c:v>10.2</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7.7</c:v>
                </c:pt>
              </c:numCache>
            </c:numRef>
          </c:yVal>
          <c:smooth val="0"/>
        </c:ser>
        <c:ser>
          <c:idx val="7"/>
          <c:order val="7"/>
          <c:tx>
            <c:strRef>
              <c:f>Hoja1!$A$9</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13.5</c:v>
                </c:pt>
              </c:numCache>
            </c:numRef>
          </c:xVal>
          <c:yVal>
            <c:numRef>
              <c:f>Hoja1!$C$9</c:f>
              <c:numCache>
                <c:formatCode>0.0"x"</c:formatCode>
                <c:ptCount val="1"/>
                <c:pt idx="0">
                  <c:v>21.6</c:v>
                </c:pt>
              </c:numCache>
            </c:numRef>
          </c:yVal>
          <c:smooth val="0"/>
        </c:ser>
        <c:ser>
          <c:idx val="8"/>
          <c:order val="8"/>
          <c:tx>
            <c:strRef>
              <c:f>Hoja1!$A$10</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1.9</c:v>
                </c:pt>
              </c:numCache>
            </c:numRef>
          </c:xVal>
          <c:yVal>
            <c:numRef>
              <c:f>Hoja1!$C$10</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IHS Markit</c:v>
                </c:pt>
                <c:pt idx="1">
                  <c:v>Anaplan</c:v>
                </c:pt>
                <c:pt idx="2">
                  <c:v>Adenza</c:v>
                </c:pt>
                <c:pt idx="3">
                  <c:v>Dun &amp; Bradstreet</c:v>
                </c:pt>
                <c:pt idx="4">
                  <c:v>Registered Agent Solutions (RASi)</c:v>
                </c:pt>
                <c:pt idx="5">
                  <c:v>Brightflag</c:v>
                </c:pt>
                <c:pt idx="6">
                  <c:v>Marosa</c:v>
                </c:pt>
              </c:strCache>
            </c:strRef>
          </c:cat>
          <c:val>
            <c:numRef>
              <c:f>Hoja1!$B$2:$B$8</c:f>
              <c:numCache>
                <c:formatCode>0.0"x"</c:formatCode>
                <c:ptCount val="7"/>
                <c:pt idx="0">
                  <c:v>24</c:v>
                </c:pt>
                <c:pt idx="2">
                  <c:v>30.7</c:v>
                </c:pt>
                <c:pt idx="3">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2026e</c:v>
                </c:pt>
                <c:pt idx="1">
                  <c:v>2027e</c:v>
                </c:pt>
                <c:pt idx="2">
                  <c:v>2028e</c:v>
                </c:pt>
                <c:pt idx="3">
                  <c:v>2029e</c:v>
                </c:pt>
                <c:pt idx="4">
                  <c:v>2030e</c:v>
                </c:pt>
              </c:strCache>
            </c:strRef>
          </c:cat>
          <c:val>
            <c:numRef>
              <c:f>Hoja1!$B$2:$B$6</c:f>
              <c:numCache>
                <c:formatCode>#,##0</c:formatCode>
                <c:ptCount val="5"/>
                <c:pt idx="0">
                  <c:v>1301</c:v>
                </c:pt>
                <c:pt idx="1">
                  <c:v>1378</c:v>
                </c:pt>
                <c:pt idx="2">
                  <c:v>1458</c:v>
                </c:pt>
                <c:pt idx="3">
                  <c:v>1531</c:v>
                </c:pt>
                <c:pt idx="4">
                  <c:v>1606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5440</c:v>
                </c:pt>
                <c:pt idx="1">
                  <c:v>5646</c:v>
                </c:pt>
                <c:pt idx="2">
                  <c:v>21116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58.85</c:v>
                </c:pt>
                <c:pt idx="1">
                  <c:v>124.42</c:v>
                </c:pt>
                <c:pt idx="2">
                  <c:v>160.1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