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Sunbelt Rentals Holdings, Inc. (antes Ashtead Group plc)</w:t>
      </w:r>
    </w:p>
    <w:p>
      <w:pPr>
        <w:spacing w:after="60"/>
        <w:rPr>
          <w:color w:val="52514E"/>
          <w:sz w:val="22"/>
          <w:szCs w:val="22"/>
        </w:rPr>
      </w:pPr>
      <w:r>
        <w:rPr>
          <w:color w:val="52514E"/>
          <w:sz w:val="22"/>
          <w:szCs w:val="22"/>
        </w:rPr>
        <w:t xml:space="preserve">SUNB · Bolsa de Nueva York (principal desde el 2-mar-2026); línea secundaria en Londres (SUNB)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75,17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72,46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41,22 USD · mercado 50,31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30.820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Sunbelt Rentals Holdings, Inc. (antes Ashtead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SUNB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(principal desde el 2-mar-2026); línea secundaria en Londres (SUNB)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Russell 1000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Empresas de alquiler y leasing (Trading Companies &amp; Distributors)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Fort Mill, Carolina del Sur (EE. UU.) · 1947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ir.sunbeltrentals.com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61,03 – 86,68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30.820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39.420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de acciones/día (9-oct-2026), ≈ 200 M USD/día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72,46 USD</w:t>
      </w:r>
      <w:r>
        <w:t xml:space="preserve"> frente a 75,17 · Rentabilidad a 12 meses </w:t>
      </w:r>
      <w:r>
        <w:rPr>
          <w:b/>
          <w:bCs/>
        </w:rPr>
        <w:t xml:space="preserve">-2,1 % (base +5,4 %)</w:t>
      </w:r>
      <w:r>
        <w:t xml:space="preserve"> · Valor intrínseco 41,22 USD · con la prima implícita del mercado: 50,31 (-33,1 %) · Alcista / bajista -21,0 % / -69,8 %</w:t>
      </w:r>
    </w:p>
    <w:p>
      <w:pPr>
        <w:spacing w:after="100"/>
      </w:pPr>
      <w:r>
        <w:rPr>
          <w:b/>
        </w:rPr>
        <w:t xml:space="preserve">La recomendación y por qué.</w:t>
      </w:r>
      <w:r>
        <w:t xml:space="preserve"> Mantener, con convicción baja. Nuestro objetivo a 12 meses es de 72,46 USD frente a un precio de 75,17 (9-oct-2026): rentabilidad ponderada del −2,1 % y del 5,4 % en el escenario base, ambas con dividendo. El valor intrínseco (41,22 USD) queda un 45,2 % por debajo del precio, y el objetivo medio de los analistas (84,80 USD) está por encima de nuestro base (78,12). La regla a 12 meses da Mantener; el valor intrínseco daría Vender. La convicción es baja, y no media como sugiere el motor, porque el balance, los flujos y la deuda neta del informe son incompletos o estimados: la subiría leer el 10-K completo y el resultado del 2T27 (diciembre).</w:t>
      </w:r>
    </w:p>
    <w:p>
      <w:pPr>
        <w:spacing w:after="100"/>
      </w:pPr>
      <w:r>
        <w:rPr>
          <w:b/>
        </w:rPr>
        <w:t xml:space="preserve">El negocio.</w:t>
      </w:r>
      <w:r>
        <w:t xml:space="preserve"> Sunbelt (antes Ashtead) es el segundo alquilador de maquinaria de Norteamérica, con un margen EBITDA ajustado del 41,9 % en FY2026 [1] y una cuota estimada del 12 % [19]. Su ventaja es la escala, no un foso amplio: el ROIC es del 11,5 % frente a un WACC del 10,59 %, apenas 0,9 puntos. La sostenibilidad del crecimiento es «En parte»: la reinversión proyectada (32 % del NOPAT) al ROIC actual solo financia un 3,7 % anual, así que rebajamos el caso base del 4,9 % al 3,6 % de crecimiento medio y subimos la inversión al 24,5-28,5 % de las ventas.</w:t>
      </w:r>
    </w:p>
    <w:p>
      <w:pPr>
        <w:spacing w:after="100"/>
      </w:pPr>
      <w:r>
        <w:rPr>
          <w:b/>
        </w:rPr>
        <w:t xml:space="preserve">Sector y ciclo.</w:t>
      </w:r>
      <w:r>
        <w:t xml:space="preserve"> El alquiler de EE. UU. crece un 2,9 % en 2026 según la ARA [19]; Sunbelt crece más (+12,5 % en el alquiler del 1T27) gracias a los grandes proyectos y a las compras [3]. La construcción local no residencial está estable tras dos años de moderación: estamos en la madurez del ciclo.</w:t>
      </w:r>
    </w:p>
    <w:p>
      <w:pPr>
        <w:spacing w:after="100"/>
      </w:pPr>
      <w:r>
        <w:rPr>
          <w:b/>
        </w:rPr>
        <w:t xml:space="preserve">Finanzas.</w:t>
      </w:r>
      <w:r>
        <w:t xml:space="preserve"> FY2026 cerró con 11.154 M USD de ingresos (+3,4 % en alquiler), 1.325 M de beneficio neto y 2.055 M de flujo libre en un año de poca inversión [1]. El 1T27 cambió el tono: ingresos +11,2 %, guía de EBITDA elevada a 4.920-5.120 M, pero solo 70 M de flujo libre por la vuelta de la inversión [3, 13]. Deuda neta de ≈8.600 M (1,8x), dentro del objetivo de 1-2x.</w:t>
      </w:r>
    </w:p>
    <w:p>
      <w:pPr>
        <w:spacing w:after="100"/>
      </w:pPr>
      <w:r>
        <w:rPr>
          <w:b/>
        </w:rPr>
        <w:t xml:space="preserve">Equipo y gobierno.</w:t>
      </w:r>
      <w:r>
        <w:t xml:space="preserve"> Consejero delegado de la casa y capital disperso. No hemos podido leer el proxy de 2026: gobierno sin puntuar.</w:t>
      </w:r>
    </w:p>
    <w:p>
      <w:pPr>
        <w:spacing w:after="100"/>
      </w:pPr>
      <w:r>
        <w:rPr>
          <w:b/>
        </w:rPr>
        <w:t xml:space="preserve">Valoración.</w:t>
      </w:r>
      <w:r>
        <w:t xml:space="preserve"> El DCF da 41,28 USD (WACC del 10,59 %; 63 % del valor en el terminal); con la prima de riesgo que pide hoy el mercado, 50,31 USD. El DCF inverso dice que el precio descuenta un crecimiento del 9,1 % anual durante diez años, frente al 3,7 % de nuestro base y al 3,5 % previsto para el mercado: es exigente. Por múltiplos no está cara (7,9x EV/EBITDA y 17,6x PER de los próximos 12 meses) porque el mercado paga la flota y la caja, no el crecimiento. Nuestro BPA FY2028e (4,20 USD) está cerca del consenso en base contable; la diferencia con los analistas es de múltiplo.</w:t>
      </w:r>
    </w:p>
    <w:p>
      <w:pPr>
        <w:spacing w:after="100"/>
      </w:pPr>
      <w:r>
        <w:rPr>
          <w:b/>
        </w:rPr>
        <w:t xml:space="preserve">Riesgos y catalizadores.</w:t>
      </w:r>
      <w:r>
        <w:t xml:space="preserve"> Una recesión de la construcción local llevaría el precio a 43,76 USD (bajista a 12 meses, −40,3 %); un coste de flota y combustible por encima de las tarifas recorta ≈6 % del BPA por punto de margen. Catalizadores: resultados del 2T27 en diciembre y la recompra de 1.500 M. El sentimiento de los foros está dividido y mejora tras el 1T27, sin euforia.</w:t>
      </w:r>
    </w:p>
    <w:p>
      <w:pPr>
        <w:spacing w:after="100"/>
      </w:pPr>
      <w:r>
        <w:rPr>
          <w:b/>
        </w:rPr>
        <w:t xml:space="preserve">Qué cambiaría la decisión.</w:t>
      </w:r>
      <w:r>
        <w:t xml:space="preserve"> Compraríamos por debajo de 41,22 USD (los tres requisitos: ponderada ≥ 15 %, base ≥ 12 % y valor intrínseco ≥ precio) y venderíamos por encima de 81,76 USD. También pasaríamos a Vender si el margen EBITDA ajustado baja del 40 % en dos trimestres o el alquiler orgánico crece menos del 3 %.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72,46 USD</w:t>
      </w:r>
      <w:r>
        <w:t xml:space="preserve"> (rentabilidad -2,1 % (base +5,4 %)) · Valor intrínseco: 41,22 USD (-45,2 % sobre 75,17) · con la prima implícita del mercado: 50,31 (-33,1 %)</w:t>
      </w:r>
    </w:p>
    <w:p>
      <w:pPr>
        <w:spacing w:after="100"/>
      </w:pPr>
      <w:r>
        <w:t xml:space="preserve">Sunbelt Rentals es el antiguo Ashtead: el segundo alquilador de maquinaria de Norteamérica, con 11.154 M USD de ingresos en FY2026, margen EBITDA ajustado del 41,9 % y 2.055 M de flujo libre [1]. Desde marzo cotiza en Nueva York y crece de nuevo: alquiler +12,5 % en el 1T27 y guía elevada [3].</w:t>
      </w:r>
    </w:p>
    <w:p>
      <w:pPr>
        <w:spacing w:after="100"/>
      </w:pPr>
      <w:r>
        <w:t xml:space="preserve">El precio (75,17 USD) descuenta un crecimiento del 9,1 % anual durante diez años según el DCF inverso, frente al 3,7 % de nuestro base. En múltiplos parece razonable (7,9x EV/EBITDA de los próximos 12 meses), pero con un ROIC del 11,5 % y un WACC del 10,59 % crecer apenas crea valor.</w:t>
      </w:r>
    </w:p>
    <w:p>
      <w:pPr>
        <w:spacing w:after="100"/>
      </w:pPr>
      <w:r>
        <w:t xml:space="preserve">El mercado acierta en que el ciclo de los grandes proyectos sostiene los próximos dos años y en que la recompra apoya el BPA; se equivoca, a nuestro juicio, en pagar 18-19x un beneficio cíclico con un ROIC tan ajustado. Para invertir hay que creer que el capital nuevo rinde muy por encima del 11,5 % y que la construcción local se recupera con tipos más bajos.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2,86 = 43,76 · 18,6x × 4,20 = 78,12 · 19,4x × 4,63 = 89,82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84,80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-69,8 %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10,6 %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41,22 y 81,76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81,76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41,22 USD: pasaría los tres requisitos de compra (Comprar).</w:t>
      </w:r>
    </w:p>
    <w:p>
      <w:pPr>
        <w:pStyle w:val="ListParagraph"/>
        <w:numPr>
          <w:ilvl w:val="0"/>
          <w:numId w:val="2"/>
        </w:numPr>
        <w:spacing w:after="60"/>
      </w:pPr>
      <w:r>
        <w:t xml:space="preserve">Precio por encima de 81,76 USD: rentabilidad ponderada a 12 meses ≤ −10 % (Vender).</w:t>
      </w:r>
    </w:p>
    <w:p>
      <w:pPr>
        <w:pStyle w:val="ListParagraph"/>
        <w:numPr>
          <w:ilvl w:val="0"/>
          <w:numId w:val="2"/>
        </w:numPr>
        <w:spacing w:after="60"/>
      </w:pPr>
      <w:r>
        <w:t xml:space="preserve">Margen EBITDA ajustado por debajo del 40 % en dos trimestres seguidos: Vender.</w:t>
      </w:r>
    </w:p>
    <w:p>
      <w:pPr>
        <w:pStyle w:val="ListParagraph"/>
        <w:numPr>
          <w:ilvl w:val="0"/>
          <w:numId w:val="2"/>
        </w:numPr>
        <w:spacing w:after="60"/>
      </w:pPr>
      <w:r>
        <w:t xml:space="preserve">Guía de EBITDA FY2027 por encima de 5.200 M con alquiler orgánico &gt; 6 %: revisar al alza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de grandes proyectos (centros de datos, fábricas, GNL) que sostiene un crecimiento cercano al 9 % anual y márgenes del 42-43 %, con el PER volviendo a la mediana de 18-19x y la recompra empujando el BPA.</w:t>
      </w:r>
    </w:p>
    <w:p>
      <w:pPr>
        <w:keepNext/>
        <w:spacing w:after="100"/>
      </w:pPr>
      <w:r>
        <w:rPr>
          <w:b/>
          <w:bCs/>
        </w:rPr>
        <w:t xml:space="preserve">Lo que creemos nosotros.</w:t>
      </w:r>
    </w:p>
    <w:p>
      <w:pPr>
        <w:spacing w:after="100"/>
      </w:pPr>
      <w:r>
        <w:t xml:space="preserve">Crecimiento del 3,6 % medio en diez años, el que financia la reinversión al ROIC actual, y márgenes estables del 42-43 %. El BPA FY2028e de 4,20 USD vale 78 USD a la mediana de su PER: poco recorrido.</w:t>
      </w:r>
    </w:p>
    <w:p>
      <w:pPr>
        <w:keepNext/>
        <w:spacing w:after="100"/>
      </w:pPr>
      <w:r>
        <w:rPr>
          <w:b/>
          <w:bCs/>
        </w:rPr>
        <w:t xml:space="preserve">Por qué podemos tener razón.</w:t>
      </w:r>
    </w:p>
    <w:p>
      <w:pPr>
        <w:spacing w:after="100"/>
      </w:pPr>
      <w:r>
        <w:t xml:space="preserve">El ROIC del 11,5 % solo supera en 0,9 puntos al WACC: crecer exige invertir 25-28 % de las ventas y el capital nuevo no rinde mucho más que el coste del dinero. La historia reciente (FY2025-FY2026 con beneficio a la baja) muestra lo rápido que se enfría el ciclo local.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Vuelve a crecer</w:t>
      </w:r>
      <w:r>
        <w:t xml:space="preserve">: alquiler +12,5 % e ingresos +11,2 % en el 1T27, con la guía de EBITDA elevada a 4.920-5.120 M [3].</w:t>
      </w:r>
    </w:p>
    <w:p>
      <w:pPr>
        <w:pStyle w:val="ListParagraph"/>
        <w:numPr>
          <w:ilvl w:val="0"/>
          <w:numId w:val="2"/>
        </w:numPr>
        <w:spacing w:after="60"/>
      </w:pPr>
      <w:r>
        <w:rPr>
          <w:b/>
        </w:rPr>
        <w:t xml:space="preserve">Caja abundante en la parte baja del ciclo</w:t>
      </w:r>
      <w:r>
        <w:t xml:space="preserve">: 2.055 M de flujo libre en FY2026 [1].</w:t>
      </w:r>
    </w:p>
    <w:p>
      <w:pPr>
        <w:pStyle w:val="ListParagraph"/>
        <w:numPr>
          <w:ilvl w:val="0"/>
          <w:numId w:val="2"/>
        </w:numPr>
        <w:spacing w:after="60"/>
      </w:pPr>
      <w:r>
        <w:rPr>
          <w:b/>
        </w:rPr>
        <w:t xml:space="preserve">Balance holgado</w:t>
      </w:r>
      <w:r>
        <w:t xml:space="preserve">: deuda neta de 1,8x el EBITDA, dentro del objetivo de 1-2x.</w:t>
      </w:r>
    </w:p>
    <w:p>
      <w:pPr>
        <w:pStyle w:val="ListParagraph"/>
        <w:numPr>
          <w:ilvl w:val="0"/>
          <w:numId w:val="2"/>
        </w:numPr>
        <w:spacing w:after="60"/>
      </w:pPr>
      <w:r>
        <w:rPr>
          <w:b/>
        </w:rPr>
        <w:t xml:space="preserve">Specialty crece al 25 %</w:t>
      </w:r>
      <w:r>
        <w:t xml:space="preserve"> y diversifica fuera de la construcción [8].</w:t>
      </w:r>
    </w:p>
    <w:p>
      <w:pPr>
        <w:pStyle w:val="ListParagraph"/>
        <w:numPr>
          <w:ilvl w:val="0"/>
          <w:numId w:val="2"/>
        </w:numPr>
        <w:spacing w:after="60"/>
      </w:pPr>
      <w:r>
        <w:rPr>
          <w:b/>
        </w:rPr>
        <w:t xml:space="preserve">Recompra de 1.500 M</w:t>
      </w:r>
      <w:r>
        <w:t xml:space="preserve"> en curso (≈5 % del capital) [11].</w:t>
      </w:r>
    </w:p>
    <w:p>
      <w:pPr>
        <w:pStyle w:val="Heading2"/>
      </w:pPr>
      <w:r>
        <w:t xml:space="preserve">En contra</w:t>
      </w:r>
    </w:p>
    <w:p>
      <w:pPr>
        <w:pStyle w:val="ListParagraph"/>
        <w:numPr>
          <w:ilvl w:val="0"/>
          <w:numId w:val="2"/>
        </w:numPr>
        <w:spacing w:after="60"/>
      </w:pPr>
      <w:r>
        <w:rPr>
          <w:b/>
        </w:rPr>
        <w:t xml:space="preserve">ROIC del 11,5 % frente a un WACC del 10,59 %</w:t>
      </w:r>
      <w:r>
        <w:t xml:space="preserve">: crecer apenas crea valor.</w:t>
      </w:r>
    </w:p>
    <w:p>
      <w:pPr>
        <w:pStyle w:val="ListParagraph"/>
        <w:numPr>
          <w:ilvl w:val="0"/>
          <w:numId w:val="2"/>
        </w:numPr>
        <w:spacing w:after="60"/>
      </w:pPr>
      <w:r>
        <w:rPr>
          <w:b/>
        </w:rPr>
        <w:t xml:space="preserve">El precio descuenta un 9,1 % de crecimiento anual</w:t>
      </w:r>
      <w:r>
        <w:t xml:space="preserve">, frente al 3,7 % de nuestro base.</w:t>
      </w:r>
    </w:p>
    <w:p>
      <w:pPr>
        <w:pStyle w:val="ListParagraph"/>
        <w:numPr>
          <w:ilvl w:val="0"/>
          <w:numId w:val="2"/>
        </w:numPr>
        <w:spacing w:after="60"/>
      </w:pPr>
      <w:r>
        <w:rPr>
          <w:b/>
        </w:rPr>
        <w:t xml:space="preserve">Márgenes a la baja</w:t>
      </w:r>
      <w:r>
        <w:t xml:space="preserve">: 42,2 % en el 1T27 frente al 43,2 % por mezcla y combustible [3].</w:t>
      </w:r>
    </w:p>
    <w:p>
      <w:pPr>
        <w:pStyle w:val="ListParagraph"/>
        <w:numPr>
          <w:ilvl w:val="0"/>
          <w:numId w:val="2"/>
        </w:numPr>
        <w:spacing w:after="60"/>
      </w:pPr>
      <w:r>
        <w:rPr>
          <w:b/>
        </w:rPr>
        <w:t xml:space="preserve">Inversión de vuelta</w:t>
      </w:r>
      <w:r>
        <w:t xml:space="preserve">: solo 70 M de flujo libre en el 1T27 [13].</w:t>
      </w:r>
    </w:p>
    <w:p>
      <w:pPr>
        <w:pStyle w:val="ListParagraph"/>
        <w:numPr>
          <w:ilvl w:val="0"/>
          <w:numId w:val="2"/>
        </w:numPr>
        <w:spacing w:after="60"/>
      </w:pPr>
      <w:r>
        <w:rPr>
          <w:b/>
        </w:rPr>
        <w:t xml:space="preserve">Datos incompletos</w:t>
      </w:r>
      <w:r>
        <w:t xml:space="preserve">: balance, flujos y gobierno sin documento primario completo.</w:t>
      </w:r>
    </w:p>
    <w:p>
      <w:pPr>
        <w:pStyle w:val="Heading2"/>
      </w:pPr>
      <w:r>
        <w:t xml:space="preserve">Qué tiene que pasar para que la tesis funcione</w:t>
      </w:r>
    </w:p>
    <w:p>
      <w:pPr>
        <w:spacing w:after="100"/>
      </w:pPr>
      <w:r>
        <w:t xml:space="preserve">La tesis depende de que el capital nuevo (2.750-3.150 M de inversión en FY2027 y las compras de Specialty) rinda por encima del 11,5 % actual. La señal en contra sería un alquiler orgánico por debajo del 3 % con la inversión bruta por encima del 25 % de las ventas, o un margen EBITDA ajustado por debajo del 40 %.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alquiler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y la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flota y combustible frente a tarifas.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del rango objetivo frenaría la recompra.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bruta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de 2.750-3.150 M (≈25 %)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28 % con 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Reinversión que no rinde.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Ashtead nació en el Reino Unido en 1947 y entró en EE. UU. con la compra de Sunbelt Rentals en 1990. Sobrevivió a la crisis de 2008-2009 con fuertes recortes de inversión y desde 2010 creció con aperturas de locales y cientos de compras complementarias hasta ser el segundo alquilador de Norteamérica [15]. En diciembre de 2024 anunció el traslado de su cotización principal a EE. UU.; desde el 2-mar-2026 la dominante es Sunbelt Rentals Holdings, Inc. (NYSE: SUNB), con la línea de Londres como secundaria, y reporta en US GAAP [16, 17]. Su plan «Sunbelt 4.0» (abril de 2024) apunta a más de 14.000 M USD de ingresos en Norteamérica en FY2029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Ashtead en el Reino Unido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Sunbelt Rentals en EE. UU.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inversión en la crisis; la empresa sale de ella con la flota más joven del sector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Sunbelt 4.0: 300-400 locales nuevos y ≈20.000 M USD de inversión en cinco años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traslado de la cotización principal a EE. UU. (diciembre)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Inc. sustituye a Ashtead Group plc; cotiza en la NYSE desde el 2 de marzo y pasa a US GAAP [16,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Reliant Asset Management (Aries, módulos), cerrada el 1 de mayo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Sunbelt Rentals Holdings (antes Ashtead Group plc) alquila maquinaria y equipos a constructoras, industria, eventos y administraciones en EE. UU., Canadá y Reino Unido. Desde el 2-mar-2026 la sociedad dominante es estadounidense y la cotización principal está en la Bolsa de Nueva York (SUNB), con una línea secundaria en Londres [1, 4]. Reporta dos negocios en Norteamérica: General Tool (equipo generalista, el 61 % del alquiler del 1T27: 1.648 M USD) y Specialty (energía temporal, climatización, bombeo, encofrados, módulos y otros nichos: 1.070 M USD, +25,3 %), además del Reino Unido [8, 9]. Abrió 13 locales nuevos en el 1T27 y prevé unos 55 en el ejercicio [13].</w:t>
      </w:r>
    </w:p>
    <w:p>
      <w:pPr>
        <w:pStyle w:val="Heading2"/>
      </w:pPr>
      <w:r>
        <w:t xml:space="preserve">Cómo gana dinero</w:t>
      </w:r>
    </w:p>
    <w:p>
      <w:pPr>
        <w:spacing w:after="100"/>
      </w:pPr>
      <w:r>
        <w:t xml:space="preserve">Compra flota, la alquila durante 7-10 años y la vende de segunda mano. El margen depende de tres cosas: la utilización de la flota, la tarifa y el coste de servicio (transporte, combustible, mano de obra). El 1T27 dejó un margen EBITDA ajustado del 42,2 % (43,2 % un año antes): la dirección atribuye unas tres cuartas partes de la caída al mayor peso de ingresos accesorios y de Specialty y el resto al combustible [3, 13]. La amortización de la flota (1.851 M USD en 2026) se come cerca de la mitad del EBITDA, de modo que el beneficio es muy sensible a la utilización: en una recesión la empresa recorta inversión y genera mucha caja (flujo libre de 2.055 M en 2026 con inversión bruta de 2.194 M) [1, 2].</w:t>
      </w:r>
    </w:p>
    <w:p>
      <w:pPr>
        <w:pStyle w:val="Heading2"/>
      </w:pPr>
      <w:r>
        <w:t xml:space="preserve">Clientes, recurrencia y poder de precios</w:t>
      </w:r>
    </w:p>
    <w:p>
      <w:pPr>
        <w:spacing w:after="100"/>
      </w:pPr>
      <w:r>
        <w:t xml:space="preserve">Cartera muy atomizada de contratistas locales, grandes proyectos («mega projects»: fábricas, centros de datos, GNL), mantenimiento industrial y eventos. En el 3T26 el crecimiento vino de los grandes proyectos, que compensaron la moderación de la construcción local no residencial [4]; en el 1T27 la dirección cita grandes proyectos, energía, eventos, industria y mantenimiento no ligado a la construcción, con la construcción local estable [13]. El poder de precios es moderado: la dirección compensó con tarifas solo en parte la subida del combustible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alquiler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Reliant/Aries aporta ≈1 punto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(accesorios, Specialty) y combustible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Alquiler de Specialty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pb por Reliant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General Tool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Combustible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(DN/EBITDA)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(abr-26)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(669 M) e inversión del 1T [3, 13].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Alquiler de maquinaria de construcción e industria (CIE) y de herramienta general en EE. UU., según la Asociación Americana de Alquiler (ARA). Es el mercado que pesa en el beneficio de Sunbelt (el Reino Unido y Canadá son menores). Uso la cifra de la ARA, la única fuente con serie.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80.900 M USD en 2025 (63.800 M de CIE y 17.100 M de herramienta general), con un +2,9 % previsto para 2026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(fábricas, centros de datos, GNL, infraestructuras)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Sostuvieron el alquiler de Sunbelt en el 3T26 frente a la construcción local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local no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Moderación en 2025-2026 citada por la dirección; «estable» en el 1T27 [8,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propiedad al alquiler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alquiladores crecen más que el mercado: Sunbelt +12,5 % en alquiler en el 1T27 frente a +2,9 % del mercado previsto por la ARA [8,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bono a 10 años de EE. UU. en el 5,2 % encarece la financiación de los proyectos y la de la propia flota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(United Rentals, Sunbelt, Herc tras comprar H&amp;E) y miles de locales pequeños; disciplina de precios en los últimos años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los grandes proyectos negocian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de maquinaria diversos; la escala da descuentos de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de locales, flota y crédito barato.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compra de equipo propio es el sustituto y pierde peso.</w:t>
            </w:r>
          </w:p>
        </w:tc>
      </w:tr>
    </w:tbl>
    <w:p>
      <w:pPr>
        <w:spacing w:after="160" w:before="0"/>
      </w:pPr>
    </w:p>
    <w:p>
      <w:pPr>
        <w:pStyle w:val="Heading2"/>
      </w:pPr>
      <w:r>
        <w:t xml:space="preserve">Ciclo</w:t>
      </w:r>
    </w:p>
    <w:p>
      <w:pPr>
        <w:spacing w:after="100"/>
      </w:pPr>
      <w:r>
        <w:t xml:space="preserve">La construcción local se ha moderado desde 2024 y los grandes proyectos sostienen la demanda; el alquiler de Sunbelt pasó de crecer un 2,6 % en el 3T26 a un 12,5 % en el 1T27 (con compras) [8, 20]. En 2009 la empresa recortó la inversión casi a cero y mantuvo caja positiva; en 2020 el alquiler cayó a un dígito y se recuperó en un año. El sector es cíclico en ingresos y muy defensivo en caja.</w:t>
      </w:r>
    </w:p>
    <w:p>
      <w:pPr>
        <w:pStyle w:val="Heading2"/>
      </w:pPr>
      <w:r>
        <w:t xml:space="preserve">Regulación</w:t>
      </w:r>
    </w:p>
    <w:p>
      <w:pPr>
        <w:spacing w:after="100"/>
      </w:pPr>
      <w:r>
        <w:t xml:space="preserve">Sin regulación específica que fije precios. Afectan las normas de emisiones de motores diésel, los incentivos de la ley de infraestructuras y la de chips e IRA a la construcción industrial, y los aranceles a la maquinaria importada (encarecen la flota nueva).</w:t>
      </w:r>
    </w:p>
    <w:p>
      <w:pPr>
        <w:pStyle w:val="Heading2"/>
      </w:pPr>
      <w:r>
        <w:t xml:space="preserve">Tendencias y disrupción</w:t>
      </w:r>
    </w:p>
    <w:p>
      <w:pPr>
        <w:spacing w:after="100"/>
      </w:pPr>
      <w:r>
        <w:t xml:space="preserve">Electrificación de equipos y telemática, mayor peso de los nichos especializados (energía temporal, climatización, módulos) y de los grandes proyectos; Sunbelt gana con su escala en Specialty (+25,3 % en el 1T27) [8].</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alquilador de Norteamérica tras United Rentals (estimación propia de cuota: ≈9.700 M USD de alquiler en Norteamérica sobre ≈81.000 M del mercado de la ARA)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Rentals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guía 2026 de 17.500-17.800 M USD de ingresos y 7.975-8.125 M de EBITDA ajustado (≈45 %)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Herc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tras comprar H&amp;E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EquipmentShare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rápido con tecnología propia.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locales: más flota disponible en cada mercado y mejor utilización.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alquilador con facilidad.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sin precio superior demostrado.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y márgenes EBITDA del 42 % en US GAAP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grandes con ≈30 % del mercado y miles de pequeños; consolidación continua [10, 11].</w:t>
            </w:r>
          </w:p>
        </w:tc>
      </w:tr>
    </w:tbl>
    <w:p>
      <w:pPr>
        <w:spacing w:after="160" w:before="0"/>
      </w:pPr>
    </w:p>
    <w:p>
      <w:pPr>
        <w:pStyle w:val="Heading2"/>
      </w:pPr>
      <w:r>
        <w:t xml:space="preserve">Amenazas</w:t>
      </w:r>
    </w:p>
    <w:p>
      <w:pPr>
        <w:spacing w:after="100"/>
      </w:pPr>
      <w:r>
        <w:t xml:space="preserve">La rivalidad con United Rentals en grandes proyectos y la entrada de alquiladores con tecnología (EquipmentShare) presionan el precio; una recesión de la construcción baja la utilización y destapa el exceso de flota del sector.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FY2022-FY2026: ingresos </w:t>
      </w:r>
      <w:r>
        <w:rPr>
          <w:b/>
          <w:bCs/>
        </w:rPr>
        <w:t xml:space="preserve">8,8 %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7.962 M USD (FY2022) a 11.154 M (FY2026): fuerte crecimiento en 2022-2024 (+21 % y +12 %, con compras y grandes proyectos) y estancamiento en FY2025 (−0,6 %) y FY2026 (+3,4 %) por la moderación de la construcción local y la menor actividad de huracanes [1, 4, 5, 6, 7]. El 1T27 (may-jul 2026) vuelve a crecer un 11,2 % (Reliant/Aries aporta ≈1 punto) [3]. El beneficio neto cayó de 1.618 M (FY2023) a 1.325 M (FY2026) por la mayor amortización de flota y 134 M de costes no recurrentes del traslado de la cotización y de reestructuración [1, 2]. FY2022-FY2024 están en NIIF y FY2025-FY2026 en US GAAP: el EBITDA no es comparable entre los dos bloques.</w:t>
      </w:r>
    </w:p>
    <w:p>
      <w:pPr>
        <w:pStyle w:val="Heading2"/>
      </w:pPr>
      <w:r>
        <w:t xml:space="preserve">Ajustes y partidas no recurrentes</w:t>
      </w:r>
    </w:p>
    <w:p>
      <w:pPr>
        <w:spacing w:after="100"/>
      </w:pPr>
      <w:r>
        <w:t xml:space="preserve">La empresa publica EBITDA ajustado (4.677 M en FY2026; 41,9 %) y BPA ajustado (3,72 USD frente a 3,15 contables) [1]. La diferencia del BPA es la amortización de intangibles de compras (≈130 M, estimación propia por diferencia entre el resultado operativo ajustado de 2.500 M y el EBITDA ajustado menos amortizaciones), 134 M de costes no recurrentes de traslado de cotización y reestructuración (15 M en FY2025) y otros ajustes menores [1, 2]. Uso las cifras contables y devuelvo al EBITDA los costes no recurrentes.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1T27 (9-sep-2026) la dirección subió la guía del ejercicio: ingresos +6-9 % (antes +4,5-7,5 %), alquiler +7-10 % (antes +5-8 %), EBITDA ajustado 4.920-5.120 M USD (antes 4.850-5.050) e inversión bruta 2.750-3.150 M [3, 9, 13]. Los motores citados: grandes proyectos, energía, eventos, industria y mantenimiento, con la construcción local «estable» [13]. El director financiero atribuyó cerca de la mitad de la caída del margen de General Tool al combustible, compensado solo en parte con precio [13]. En el 3T26 (12-mar-2026) el mensaje era más defensivo: alquiler +2,6 %, margen del 41,0 % frente al 43,5 %, y un crecimiento que se apoyaba en los grandes proyectos frente a una construcción local que se moderaba [4]. El cambio de discurso entre las dos conferencias es claro: de defender márgenes a crecer con inversión y compras. Lo que la dirección no cuantificó: el margen del capital nuevo de Specialty y la integración de Reliant más allá de los contactos comerciales [13]. Nota: 1T26 y LTM son derivados (1T27 ÷ (1 + crecimiento)); 2T26 es de Ashtead en NIIF (EBITDA no comparable).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Cambio de normas: FY2022-FY2024 en NIIF (Ashtead Group plc); FY2025-FY2026 en US GAAP (10-K de Sunbelt Rentals Holdings). En US GAAP el gasto de arrendamientos operativos va dentro del EBITDA (≈300 M USD menos de EBITDA que en NIIF) y los pasivos por arrendamiento operativo no son deuda.). Los ratios de balance de ese año (días, circulante, deuda neta / EBITDA, ROIC) y los indicadores de calidad contable no son comparables con los anteriores.</w:t>
      </w:r>
    </w:p>
    <w:p>
      <w:pPr>
        <w:spacing w:after="100"/>
      </w:pPr>
      <w:r>
        <w:t xml:space="preserve">La deuda neta (sin arrendamientos) rondaba 7.500 M USD a 30-abr-2026 (1,6x el EBITDA ajustado) y subió a ≈8.600 M a 31-jul-2026 (1,8x el EBITDA de los últimos 12 meses, estimación propia) por las compras de 669 M y la inversión estacional del 1T [1, 3, 13]. Está en el rango objetivo de 1-2x. El coste medio de la deuda (≈5,2 %) sale de 387 M de intereses sobre ≈7.500 M (estimación propia). Activo total de 21.970 M y fondo de comercio de 3.348 M a 30-abr-2025 (sin patrimonio ni deuda de ese cierre en US GAAP) [10].</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FY2026-FY2026: FCF </w:t>
      </w:r>
      <w:r>
        <w:rPr>
          <w:b/>
          <w:bCs/>
        </w:rPr>
        <w:t xml:space="preserve">1.590</w:t>
      </w:r>
      <w:r>
        <w:t xml:space="preserve">, conversión </w:t>
      </w:r>
      <w:r>
        <w:rPr>
          <w:b/>
          <w:bCs/>
        </w:rPr>
        <w:t xml:space="preserve">120 %</w:t>
      </w:r>
      <w:r>
        <w:t xml:space="preserve"> del beneficio neto; adquisiciones 0, dividendos 464, recompras 1.413.</w:t>
      </w:r>
    </w:p>
    <w:p>
      <w:pPr>
        <w:spacing w:after="100"/>
      </w:pPr>
      <w:r>
        <w:t xml:space="preserve">En FY2026 el flujo operativo fue de 3.784 M USD y el flujo libre de 2.055 M tras 2.194 M de inversión bruta y ≈465 M de ventas de flota usada (1.729 M netos) [1]. Es un año de cosecha: la inversión neta (15,5 % de ventas) quedó por debajo de la amortización (20,7 %). Para FY2027 la guía de inversión bruta sube a 2.750-3.150 M y el 1T27 dejó solo 70 M de flujo libre (468 M un año antes) por la inversión y el calendario de pagos [3, 13]. Devolvió 1.877 M a los accionistas en FY2026 (1.413 M de recompras y 464 M de dividendos) [1].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acceso al 10-K completo no se pueden calcular con fiabilidad Altman, Piotroski ni Beneish (balance y flujos incompletos). Señales revisadas: el cambio de NIIF a US GAAP en FY2026 rompe la serie del EBITDA (≈300 M menos en US GAAP por los arrendamientos operativos) [4]; los costes no recurrentes subieron a 134 M en FY2026 (15 M en FY2025) por el traslado de la cotización y la reestructuración [2]; y el BPA ajustado se separa ya un 18 % del contable (3,72 frente a 3,15)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normas contables (NIIF → US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Rompe la comparación del EBITDA y de la deuda con los años anteriores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Distancia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3,72 frente a 3,15 USD en FY2026 por intangibles y costes de traslado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10,6 %.</w:t>
      </w:r>
    </w:p>
    <w:p>
      <w:pPr>
        <w:spacing w:after="100"/>
      </w:pPr>
      <w:r>
        <w:t xml:space="preserve">El ROIC de FY2026 sale del 11,5 % con el capital invertido completo (patrimonio de 7.410 M más ≈7.500 M de deuda neta) [10], apenas 0,9 puntos por encima del WACC del 10,59 %: con un bono a 10 años del 5,22 % y una beta de 1,31, alquilar maquinaria ya no crea mucho valor. En NIIF y con la flota de 2022-2024 el ROIC era mayor (márgenes EBITDA del 45 % y crecimiento de dos dígitos [5, 6, 7]), pero el beneficio operativo cayó de 2.654 M (FY2024, NIIF) a 2.188 M (FY2026, US GAAP con 134 M no recurrentes) mientras el fondo de comercio subía a 3.476 M: el ROIC incremental de los últimos años es negativo. United Rentals tiene márgenes EBITDA de ≈45 % sobre una base de ingresos un 60 % mayor [22]. La serie del motor solo tiene FY2026 porque falta el balance de los años anteriores.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29 M USD a 30-abr-2026 [10]; vencimientos a corto de 550 M [10]. Emitió 1.200 M USD de bonos sénior en el 1T27 [13]. Línea de crédito ABL sin cifra confirmada.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Arrendamientos operativos de 2.864 M USD (287 corrientes y 2.577 no corrientes) y 3.035 M con los financieros a 30-abr-2026 [10]: en US GAAP su gasto ya está dentro del EBITDA, así que no van al puente. Sin pensiones relevantes ni accionistas de control. Deuda financiera bruta de FY2026 = apalancamiento de 1,6x × EBITDA ajustado de 4.677 M + caja (estimación propia) [1].</w:t>
      </w:r>
    </w:p>
    <w:p>
      <w:pPr>
        <w:pStyle w:val="Heading1"/>
      </w:pPr>
      <w:r>
        <w:t xml:space="preserve">12. Asignación de capital</w:t>
      </w:r>
    </w:p>
    <w:p>
      <w:pPr>
        <w:pStyle w:val="Confianza"/>
        <w:spacing w:after="100"/>
      </w:pPr>
      <w:r>
        <w:t xml:space="preserve">Confianza: Media</w:t>
      </w:r>
    </w:p>
    <w:p>
      <w:pPr>
        <w:spacing w:after="100"/>
      </w:pPr>
      <w:r>
        <w:t xml:space="preserve">Prioridades declaradas: crecimiento orgánico (flota y locales nuevos), compras complementarias, dividendo progresivo y recompras, con un apalancamiento de 1-2x DN/EBITDA [1, 13]. Desde el FY2027 paga dividendo trimestral (0,30 USD por trimestre) [3]. En marzo de 2026 arrancó un programa de recompra de 1.500 M USD (hasta unos 65 M de acciones en 18 meses)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Reliant Asset Management (Aries, módulos) y otra compra complementaria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de 1.200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agosto de 2026; aporta ≈1 punto al crecimiento del alquiler del 1T27 [3,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compras complementarias en Norteamérica (113 locales)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[7].</w:t>
            </w:r>
          </w:p>
        </w:tc>
      </w:tr>
    </w:tbl>
    <w:p>
      <w:pPr>
        <w:spacing w:after="160" w:before="0"/>
      </w:pPr>
    </w:p>
    <w:p>
      <w:pPr>
        <w:spacing w:after="100"/>
      </w:pPr>
      <w:r>
        <w:t xml:space="preserve">Ashtead ha sido un comprador en serie disciplinado: cientos de compras pequeñas y aperturas de locales, sin deterioros publicados del fondo de comercio (3.476 M USD en FY2026) [7, 10]. El ROIC incremental de los últimos dos años es bajo porque el ciclo se aplanó justo cuando la flota había crecido mucho. Las recompras de 1.413 M en FY2026 se hicieron a precios de 55-75 USD por acción (estimación propia por el rango de cotización), en un año de beneficio a la baja.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Brendan Horgan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como consejero delegado los comunicados de FY2026 y del 1T27 [1, 3]. Llevó el plan Sunbelt 4.0 y el traslado de la cotización a Nueva York.</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+0-4 % y flujo libre de 2.200-2.500 M USD (guía de dic-2025) [24]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+3,4 % y flujo libre de 2.055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FY2029 (Sunbelt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14.000 M USD de ingresos en Norteamérica [25]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11.154 M del grupo en FY2026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con un consejero delegado que viene de la casa. La credibilidad se resintió en FY2025-FY2026 (dos años de beneficio a la baja y flujo libre por debajo de la guía de diciembre) y se recupera con la subida de la guía del 1T27 [1, 3, 24]. Sin datos verificados de participaciones de directivos ni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Dodge &amp; Cox</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accionista según un agregador de 13F (sin confirmar en el proxy) [27]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proxy de 2026 (presentado el 21-jul-2026) incluye el informe de remuneración, pero los extractos de búsqueda no dan cifras ni métricas [26]. La junta fue virtual el 1-sep-2026 [26].</w:t>
      </w:r>
    </w:p>
    <w:p>
      <w:pPr>
        <w:pStyle w:val="Heading2"/>
      </w:pPr>
      <w:r>
        <w:t xml:space="preserve">Operaciones vinculadas, estructura de control y defensas</w:t>
      </w:r>
    </w:p>
    <w:p>
      <w:pPr>
        <w:spacing w:after="100"/>
      </w:pPr>
      <w:r>
        <w:t xml:space="preserve">Capital disperso, sin accionista de control y con una sola clase de acciones. El traslado a una sociedad de Delaware (o del estado que fije la escritura, no confirmado) cambia las defensas respecto al régimen británico (ya no rige el Takeover Code): hay que revisar en el proxy si hay consejo escalonado o «poison pill» [26].</w:t>
      </w:r>
    </w:p>
    <w:p>
      <w:pPr>
        <w:pStyle w:val="Heading2"/>
      </w:pPr>
      <w:r>
        <w:t xml:space="preserve">Señales de alerta</w:t>
      </w:r>
    </w:p>
    <w:p>
      <w:pPr>
        <w:pStyle w:val="ListParagraph"/>
        <w:numPr>
          <w:ilvl w:val="0"/>
          <w:numId w:val="2"/>
        </w:numPr>
        <w:spacing w:after="60"/>
      </w:pPr>
      <w:r>
        <w:t xml:space="preserve">Revisión incompleta: no se leyó el proxy de 2026 ni el 8-K con el resultado de la junta del 1-sep-2026.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(ejercicio a abril de 2027), elevada el 9-sep-2026: ingresos +6-9 %, alquiler +7-10 %, EBITDA ajustado de 4.920-5.120 M USD e inversión bruta de 2.750-3.150 M [3, 9]. Plan Sunbelt 4.0: más de 14.000 M USD de ingresos en Norteamérica en FY2029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WallStreetZen (BPA ajustado; Stockalarm da 4,16); EBITDA = punto medio de la guía [3, 28,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 (BPA ajustado; Stockalarm da 4,70) [28,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62,00 – 90,00</w:t>
            </w:r>
          </w:p>
        </w:tc>
      </w:tr>
    </w:tbl>
    <w:p>
      <w:pPr>
        <w:spacing w:after="160" w:before="0"/>
      </w:pPr>
    </w:p>
    <w:p>
      <w:pPr>
        <w:pStyle w:val="Heading2"/>
      </w:pPr>
      <w:r>
        <w:t xml:space="preserve">Revisiones de estimaciones</w:t>
      </w:r>
    </w:p>
    <w:p>
      <w:pPr>
        <w:spacing w:after="100"/>
      </w:pPr>
      <w:r>
        <w:t xml:space="preserve">Las estimaciones de BPA subieron tras el 1T27 (guía elevada; el BPA ajustado del trimestre, 1,18 USD, batió lo esperado) [9, 30]. En julio Bank of America puso «vender» con 62 USD, RBC «mantener» con 80 y Citi «comprar» con 90; Wells Fargo inició con «sobreponderar» en agosto [31]. Objetivo medio: 84,80 USD (TickFlow, 8 analistas, 5-ago) [32]; WallStreetZen da 80,33 [28]. El BPA del consenso es ajustado (sin amortización de intangibles ni costes no recurrentes): ≈0,3-0,4 USD por encima del contable.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Cotiza en Nueva York desde el 2-mar-2026: en marzo tocó 61-67 USD (salida de índices británicos y venta de fondos del Reino Unido) y luego subió hasta un máximo de 86,68 USD; el 9-oct cerró en 75,17, un 13 % por debajo del máximo [33, 34]. Beta de 5 años mensual de 1,29-1,31 en la línea de Londres (Yahoo, 2024); las betas de SUNB (1,54-1,72) se calculan con muy poca historia en EE. UU. [35].</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Precios de cierre de FY2022-FY2025 en USD reconstruidos con el PER de cierre de ejercicio de Stock Analysis (31,1x FY2021; 18,6x FY2022; 15,6x FY2023; 20,0x FY2024; 15,3x FY2025) por el BPA contable de cada año: estimación propia, porque la cotización era en peniques en Londres [36]. FY2026: 73,28 USD de la tabla de liquidación del 30-abr-2026 (Equibles) [37].</w:t>
      </w:r>
    </w:p>
    <w:p>
      <w:pPr>
        <w:pStyle w:val="Heading1"/>
      </w:pPr>
      <w:r>
        <w:t xml:space="preserve">18. Comparables cotizados</w:t>
      </w:r>
    </w:p>
    <w:p>
      <w:pPr>
        <w:pStyle w:val="Confianza"/>
        <w:spacing w:after="100"/>
      </w:pPr>
      <w:r>
        <w:t xml:space="preserve">Confianza: Baja</w:t>
      </w:r>
    </w:p>
    <w:p>
      <w:pPr>
        <w:spacing w:after="100"/>
      </w:pPr>
      <w:r>
        <w:t xml:space="preserve">Solo alquiladores de maquinaria cotizados en EE. UU.: United Rentals (el líder, mismo modelo y clientes), Herc (tercero, más endeudado tras H&amp;E) y McGrath RentCorp (módulos y equipos especiales, como Aries). Las europeas (Loxam, Boels) no cotizan. Fechas y proveedores distintos: múltiplos orientativos.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Sunbelt (Ashtead)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Rentals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Herc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McGrath RentCorp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8"/>
        <w:gridCol w:w="1188"/>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United Rentals (agosto de 2026): 23,9x PER y 10,3x EV/EBITDA sobre 2026e, tras subir un 36 % en el año [38]; Herc (julio): 14,8x PER [39]; McGrath (mayo): 9,3x EV/EBITDA de los últimos 12 meses y ≈7,8x estimado [40]. La mediana de PER de los dos con dato es 19,4x, en base ajustada.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H&amp;E Equipment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Herc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7,4x EBITDA con beneficios fiscales; 6,3x con sinergias de costes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H&amp;E Equipment Services (oferta no consumada)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 Rentals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6,9x el EBITDA ajustado de 12 meses a sep-2024; superada por Herc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Reliant Asset Management (Aries) y otra compra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no publicado [3].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Las compras de alquiladores cotizados se pagan a 7-7,5x EBITDA, por debajo de lo que cotiza hoy Sunbelt (≈7,9x el EBITDA ajustado de la guía FY2027, estimación propia). No hay comprador natural para una empresa de ≈39.000 M USD de valor: la tesis no puede apoyarse en una OPA.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+7,5 %: el punto medio de la guía (+6-9 %), con ≈1 punto de Reliant/Aries [3]. Después baja al 4,0 % en FY2028e y al 3,0-3,5 % hasta FY2036e. El mercado de la ARA crece un 2,9 % en 2026 [19]; Sunbelt creció un 12 % en FY2024 y un 3,4 % en FY2026 [1, 7]. El base está rebajado desde una primera versión (4,9 % medio) porque la reinversión al ROIC actual no lo financiaba (prueba de sostenibilidad).</w:t>
      </w:r>
    </w:p>
    <w:p>
      <w:pPr>
        <w:keepNext/>
        <w:spacing w:after="100"/>
      </w:pPr>
      <w:r>
        <w:rPr>
          <w:b/>
          <w:bCs/>
        </w:rPr>
        <w:t xml:space="preserve">Márgenes.</w:t>
      </w:r>
    </w:p>
    <w:p>
      <w:pPr>
        <w:spacing w:after="100"/>
      </w:pPr>
      <w:r>
        <w:t xml:space="preserve">Margen EBITDA (US GAAP, sin no recurrentes) del 41,9 % en FY2027e, en línea con la guía de 4.920-5.120 M [3], y del 42,5-43 % después: por debajo del 43,2 % del 1T26 y del ≈45 % de United Rentals [22]. La amortización se mantiene en el 20,5 % de las ventas (20,7 % en FY2026) [1].</w:t>
      </w:r>
    </w:p>
    <w:p>
      <w:pPr>
        <w:keepNext/>
        <w:spacing w:after="100"/>
      </w:pPr>
      <w:r>
        <w:rPr>
          <w:b/>
          <w:bCs/>
        </w:rPr>
        <w:t xml:space="preserve">Inversión y circulante.</w:t>
      </w:r>
    </w:p>
    <w:p>
      <w:pPr>
        <w:spacing w:after="100"/>
      </w:pPr>
      <w:r>
        <w:t xml:space="preserve">Inversión neta de ventas de flota usada más compras: 28,5 % de las ventas en FY2027e (guía bruta de 2.950 M menos ≈500 M de ventas de flota y 669 M de compras [1, 3]) y bajando al 24,5 % en FY2035e-FY2036e. Con la amortización al 20,5 %, la inversión neta financia el crecimiento con una intensidad de capital de ≈1,1 veces las ventas, la de la flota y los locales sin fondo de comercio. El circulante se deja en cero por falta de balance (efecto pequeño).</w:t>
      </w:r>
    </w:p>
    <w:p>
      <w:pPr>
        <w:keepNext/>
        <w:spacing w:after="100"/>
      </w:pPr>
      <w:r>
        <w:rPr>
          <w:b/>
          <w:bCs/>
        </w:rPr>
        <w:t xml:space="preserve">Coste del capital.</w:t>
      </w:r>
    </w:p>
    <w:p>
      <w:pPr>
        <w:spacing w:after="100"/>
      </w:pPr>
      <w:r>
        <w:t xml:space="preserve">Tasa libre del 5,22 % (bono a 10 años de EE. UU. del 13-oct [21]); beta de 1,31 (5 años mensual de la línea de Londres [35]; las de SUNB, 1,54-1,72, salen de pocos meses en EE. UU.); prima de mercado del 5,5 %; coste de la deuda del 5,5 % antes de impuestos (387 M de intereses sobre ≈7.500 M, más los bonos nuevos [1, 13]); peso de la deuda del 22 % a valor de mercado. WACC: 10,59 %. Con la prima implícita de Damodaran (4,2 %) el WACC baja al 9,3 %.</w:t>
      </w:r>
    </w:p>
    <w:p>
      <w:pPr>
        <w:keepNext/>
        <w:spacing w:after="100"/>
      </w:pPr>
      <w:r>
        <w:rPr>
          <w:b/>
          <w:bCs/>
        </w:rPr>
        <w:t xml:space="preserve">Valor terminal.</w:t>
      </w:r>
    </w:p>
    <w:p>
      <w:pPr>
        <w:spacing w:after="100"/>
      </w:pPr>
      <w:r>
        <w:t xml:space="preserve">Media de Gordon con un crecimiento del 3,0 % (2 % real más inflación en USD, por debajo de la tasa libre menos medio punto) y de un múltiplo de salida de 8,5x EBITDA, entre las transacciones (6,9-7,4x [23, 41]) y United Rentals (10,3x [38]).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 M (32 %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(ROIC 11,5 %)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(hoy: 12,0 %)</w:t>
            </w:r>
          </w:p>
        </w:tc>
      </w:tr>
    </w:tbl>
    <w:p>
      <w:pPr>
        <w:spacing w:after="160" w:before="0"/>
      </w:pPr>
    </w:p>
    <w:p>
      <w:pPr>
        <w:spacing w:after="100"/>
      </w:pPr>
      <w:r>
        <w:t xml:space="preserve">La proyección reinvierte el 32 % del NOPAT. Con el ROIC del último ejercicio (11,5 %), eso financia un crecimiento del 3,7 % anual, frente al 3,6 % de ingresos proyectado. Supone que el capital nuevo rinde un 12,4 %; la cuota de mercado pasaría al 14,5 % desde el 12,0 %.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(grandes proyectos y 55 locales nuevos), precio +1,5 % y otros +3 % (Reliant/Aries y otra compra de 669 M)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con el ciclo local estable, precio +1,5 % y otros +1 %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+1,5 % y otros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FY2029e: crecimiento en línea con el mercado y algo de cuota en Specialty.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+1 %, precio +1,5 %, otros +0,5 %.</w:t>
            </w:r>
          </w:p>
        </w:tc>
      </w:tr>
    </w:tbl>
    <w:p>
      <w:pPr>
        <w:spacing w:after="160" w:before="0"/>
      </w:pPr>
    </w:p>
    <w:p>
      <w:pPr>
        <w:spacing w:after="100"/>
      </w:pPr>
      <w:r>
        <w:t xml:space="preserve">En parte. El ROIC del 11,5 % apenas supera al WACC y el ROIC incremental de FY2024-FY2026 es negativo (más flota y fondo de comercio con menos beneficio). La primera versión del caso base (4,9 % de crecimiento medio) no pasaba la prueba: la reinversión al ROIC actual solo financiaba un 3,6 %. Rebajamos el crecimiento (FY2028e +4 % y 3-3,5 % después) y subimos la inversión: ahora la reinversión (32 % del NOPAT) financia un 3,7 % frente al 3,6 % proyectado, el capital nuevo rinde un 12,4 % y la cuota sube del 12 % al 14,5 %, coherente con la ganancia de cuota de la última década. El poder de precios es limitado (el combustible no se trasladó entero en el 1T27 [13]).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 (base: 42,5 %)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10,6 %)</w:t>
            </w:r>
          </w:p>
        </w:tc>
      </w:tr>
    </w:tbl>
    <w:p>
      <w:pPr>
        <w:spacing w:after="160" w:before="0"/>
      </w:pPr>
    </w:p>
    <w:p>
      <w:pPr>
        <w:spacing w:after="100"/>
      </w:pPr>
      <w:r>
        <w:t xml:space="preserve">El DCF base da 41,28 USD por acción, un 45,1 % por debajo del precio, con el 63 % del valor en el terminal. Las sensibilidades van de 34,66 USD (WACC del 11,6 %, crecimiento del 2 %) a 50,87 USD (9,6 % y 4 %): ninguna combinación razonable llega al precio. El DCF inverso explica por qué: para justificar 75,17 USD con nuestro margen hace falta un crecimiento del 9,1 % anual durante diez años, o un margen EBITDA del 54,1 % con nuestro crecimiento; la rentabilidad anual implícita en el precio es del 7,0 %, por debajo del WACC del 10,59 % y del 9,3 % que pide el mercado. Es una expectativa exigente frente a la historia: Sunbelt creció a dos dígitos en FY2022-FY2024 pero un 0-3 % en FY2025-FY2026 [1, 7]. La diferencia con el precio es sobre todo de tasa de descuento: con la prima implícita del mercado el valor sube a 50,31 USD, todavía un tercio por debajo.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local cae en 2027 como en 2009-2010 o 2020: el alquiler baja un 3,5 % en FY2028e y el margen pierde 5 puntos ese año; después el crecimiento queda 2 puntos por debajo del base y el margen 1,5 puntos. Ya pasó en FY2025-FY2026, con ingresos planos y beneficio a la baja.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el crecimiento se normaliza al 3-4 % con márgenes del 42-43 % e inversión del 25-28 %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grandes proyectos y Specialty sostienen un crecimiento 2 puntos por encima del base y un margen 1 punto mayor, con la salida a 9,5x 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41,16 USD (-45,2 %).</w:t>
      </w:r>
    </w:p>
    <w:p>
      <w:pPr>
        <w:spacing w:after="100"/>
      </w:pPr>
      <w:r>
        <w:t xml:space="preserve">La asimetría del valor intrínseco es desfavorable: incluso el alcista (59,40 USD) queda un 21,0 % por debajo del precio, y el bajista (22,69 USD) un 69,8 %. Con la prima del mercado todo sube unos 9 USD, sin cambiar la conclusión. A 12 meses la asimetría es mejor (alcista 89,82 USD, +21,0 %; bajista 43,76, −40,3 %) porque el precio cotiza al múltiplo histórico, no al DCF: es esa lectura la que manda en la recomendación.</w:t>
      </w:r>
    </w:p>
    <w:p>
      <w:pPr>
        <w:pStyle w:val="Heading1"/>
      </w:pPr>
      <w:r>
        <w:t xml:space="preserve">22. Suma de partes</w:t>
      </w:r>
    </w:p>
    <w:p>
      <w:pPr>
        <w:pStyle w:val="Confianza"/>
        <w:spacing w:after="100"/>
      </w:pPr>
      <w:r>
        <w:t xml:space="preserve">Confianza: Media</w:t>
      </w:r>
    </w:p>
    <w:p>
      <w:pPr>
        <w:spacing w:after="100"/>
      </w:pPr>
      <w:r>
        <w:t xml:space="preserve">No aplica: General Tool y Specialty comparten flota, clientes y red de locales, y no hay cifras de resultado por segmento para valorarlos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USD) · precio actual 7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41,22 USD (-45,2 % sobre 75,17).</w:t>
      </w:r>
    </w:p>
    <w:p>
      <w:pPr>
        <w:spacing w:after="100"/>
      </w:pPr>
      <w:r>
        <w:t xml:space="preserve">Pesos: 50 % DCF y 50 % escenarios. Los comparables no pesan: solo hay tres con datos parciales y fechas distintas. Las transacciones (6,9-7,4x EBITDA) tampoco: no hay comprador posible para una empresa de ≈39.000 M de valor. La dispersión entre métodos es amplia: el DCF (41,28) y los escenarios (22,69-59,40) quedan muy por debajo de la cotización de 52 semanas (61,03-86,68) y del rango de los analistas (62-90). El mercado valora a Sunbelt por múltiplos de beneficio de mitad de ciclo, no por el flujo descontado con un coste de capital del 10,6 %.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spacing w:after="100"/>
      </w:pPr>
      <w:r>
        <w:rPr>
          <w:b/>
          <w:bCs/>
        </w:rPr>
        <w:t xml:space="preserve">Objetivo a 12 meses (ponderado):</w:t>
      </w:r>
      <w:r>
        <w:t xml:space="preserve"> 72,46 USD · rentabilidad -2,1 % (base +5,4 %) · señal Mantener.</w:t>
      </w:r>
    </w:p>
    <w:p>
      <w:pPr>
        <w:keepNext/>
        <w:spacing w:after="100"/>
      </w:pPr>
      <w:r>
        <w:rPr>
          <w:b/>
          <w:bCs/>
        </w:rPr>
        <w:t xml:space="preserve">Frente al consenso (solo contraste).</w:t>
      </w:r>
    </w:p>
    <w:p>
      <w:pPr>
        <w:spacing w:after="100"/>
      </w:pPr>
      <w:r>
        <w:t xml:space="preserve">Nuestro BPA FY2028e (4,20 USD) queda un 8 % por debajo del consenso (4,57; 4,70 según otra fuente) [28, 29], pero el consenso es ajustado: sin la amortización de intangibles (≈130 M, ≈0,24 USD tras impuestos) la diferencia baja a ≈3 %. Nuestro precio base (78,12) queda un 7,9 % por debajo del objetivo medio (84,80), por el múltiplo: usamos la mediana de cinco años (18,6x) y los analistas pagan ≈19-20x el BPA ajustado.</w:t>
      </w:r>
    </w:p>
    <w:p>
      <w:pPr>
        <w:keepNext/>
        <w:spacing w:after="100"/>
      </w:pPr>
      <w:r>
        <w:rPr>
          <w:b/>
          <w:bCs/>
        </w:rPr>
        <w:t xml:space="preserve">Del valor intrínseco al objetivo a 12 meses.</w:t>
      </w:r>
    </w:p>
    <w:p>
      <w:pPr>
        <w:spacing w:after="100"/>
      </w:pPr>
      <w:r>
        <w:t xml:space="preserve">El valor intrínseco (41,22 USD) está un 43 % por debajo del objetivo a 12 meses (72,46): el mercado paga un múltiplo de mitad de ciclo que nuestro DCF no justifica con un WACC del 10,6 %. Cerrar esa distancia exigiría tipos de interés más bajos (un WACC del 9 % sube el DCF a ≈50 USD) o un crecimiento muy superior, financiado con un capital nuevo que rinda mucho más que el 11,5 % actual. La tesis de valor, si la hay, es a más de un año y depende del ciclo.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(ago-oct)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el alquiler +7-10 % y el margen tras el combustible; la guía de EBITDA es de 4.920-5.120 M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entrada en el S&amp;P 500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fondos indexados tras la salida de los índices británicos; sin fecha ni confirmación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USD iniciada en marzo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del capital al precio actual; frenada en el 1T27 (56 M) por la inversión [3,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y primeros indicios de la guía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a 12 meses depende del BPA de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bono a 10 años por debajo del 4,5 % bajaría el WACC y animaría la construcción local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 la construcción local no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a 12 meses: 43,76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proyectos y Specialty; la empresa recorta inversión y genera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Alquiler del trimestre por debajo del +3 %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flota y del combustible por encima de las tarifas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−6 % del BPA FY2028e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precios de los dos grandes.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41 %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altos: WACC y demanda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0,5 puntos de WACC mueven el DCF ≈ ±3 USD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en bonos.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el precio ya descuenta un 9,1 % de crecimiento anual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PER de 15,3x (mínimo de 5 años) sobre el BPA base da 64 USD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del próximo ejercicio por encima de 20x sin subida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compras y exceso de inversión en Specialty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cientos de compras pequeñas sin deterioros publicados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Specialty a la baja con crecimiento comprado.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Geográfico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(peso pequeño en el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en curso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en el segmento.</w:t>
            </w:r>
          </w:p>
        </w:tc>
      </w:tr>
    </w:tbl>
    <w:p>
      <w:pPr>
        <w:spacing w:after="160" w:before="0"/>
      </w:pPr>
    </w:p>
    <w:p>
      <w:pPr>
        <w:pStyle w:val="Heading2"/>
      </w:pPr>
      <w:r>
        <w:t xml:space="preserve">Pre-mortem</w:t>
      </w:r>
    </w:p>
    <w:p>
      <w:pPr>
        <w:spacing w:after="100"/>
      </w:pPr>
      <w:r>
        <w:t xml:space="preserve">Octubre de 2029: la acción vale 45 USD. En 2027 la construcción local no residencial cayó por los tipos al 5 % y el fin de los incentivos a las fábricas; los grandes proyectos se retrasaron y la utilización de la flota bajó del 70 %. Sunbelt, que había vuelto a invertir 3.000 M al año en FY2027, se encontró con flota de sobra: recortó tarifas para llenarla y el margen EBITDA cayó al 38 %. El BPA de FY2028 se quedó en 2,9 USD y el mercado, que pagaba 19x, volvió al 15x de sus mínimos. La recompra se detuvo para proteger el rating y el dividendo quedó plano. La señal que lo anticipaba: el alquiler orgánico (sin compras) creciendo menos del 3 % mientras la inversión bruta subía por encima del 25 % de las ventas, y el apalancamiento por encima de 2x.</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laboral (transporte y montaje de equipos), emisiones de la flota diésel y de los camiones de reparto, y la electrificación de la flota que piden los grandes clientes. Sin cifras confirmadas en esta revisión.</w:t>
      </w:r>
    </w:p>
    <w:p>
      <w:pPr>
        <w:pStyle w:val="Heading2"/>
      </w:pPr>
      <w:r>
        <w:t xml:space="preserve">Controversias</w:t>
      </w:r>
    </w:p>
    <w:p>
      <w:pPr>
        <w:spacing w:after="100"/>
      </w:pPr>
      <w:r>
        <w:t xml:space="preserve">No se han encontrado sanciones ni litigios relevantes en las búsquedas de esta revisión.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capital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la inversión de 2.750-3.150 M de FY2027 y de las compras de Specialty, frente al 11,5 %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apenas supera al WACC: crecer solo crea valor si el capital nuevo rinde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+12,5 % del alquiler del 1T27 es orgánico en mismos locales, sin compras ni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la ARA crece un 2,9 %; nuestro base supone ganar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coste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tarifas frente a la inflación del coste de la flota y del combustible?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margen al 42,2 %.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frenar la recompra (56 M en el 1T27) si el apalancamiento está en 1,8x y el objetivo es 1-2x?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es la principal palanca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partidas recurrentes quedan dentro del EBITDA ajustado (pagos en acciones, costes de traslado) y se repetirán?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se separa un 18 % del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defensas antiopa incorpora la nueva sociedad estadounidense y cómo se votó la remuneración en la junta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pudo leer el proxy.</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particulares entre 62 y 106,50 USD: los alcistas ven años de flota ocupada en centros de datos, fábricas de chips y GNL; los bajistas, inflación del coste de la flota con tarifas planas y un rendimiento por flujo libre del 6,6 % que no hace barata la acción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(caso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Specialty como motor de crecimiento y apalancamiento de 1,6x dentro del rango; riesgos en la integración de Reliant, la debilidad del Reino Unido y la complejidad operativa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y Google Finance (seguimiento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«mantener»: 5 comprar, 4 mantener y 2 vender, con objetivos de 62 a 96 USD; Wells Fargo inicia con «sobreponderar» en agosto [31,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de inversión británica (interactive investor, Twelfth Magpie)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paso a Nueva York los comentarios británicos destacan que la acción sube y que la salida del FTSE 100 fue una venta forzosa de fondos, no un cambio del negocio [24,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(TIKR, 24/7 Wall St.) tras el 1T27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Leen el 1T27 como cambio de ciclo: alquiler creciendo cinco veces más que la amortización y guía elevada; la acción subió un 3 % el día de resultados [46,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 (centros de datos, chips, GNL) como motor plurianual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en parte: la dirección los cita como motor del 3T26 y del 1T27, pero el mercado de alquiler de EE. UU. solo crece un 2,9 % en 2026 según la ARA; el crecimiento de Sunbelt depende de ganar cuota y de las compras [46, 47].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combustible, mezcla y coste de la flota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margen EBITDA ajustado bajó al 42,2 % (43,2 %) en el 1T27 y al 38,7 % en el 4T26 [46].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United Rentals y Herc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cotiza a ≈18,6x el BPA ajustado FY2027e frente a 23,9x United Rentals y 14,8x Herc: en medio, sin descuento claro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cotización y flujos de índices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posible entrada en el S&amp;P 500 es un catalizador que comentan los particulares, sin fecha ni confirmación en las fuentes [24, 45].</w:t>
            </w:r>
          </w:p>
        </w:tc>
      </w:tr>
    </w:tbl>
    <w:p>
      <w:pPr>
        <w:spacing w:after="160" w:before="0"/>
      </w:pPr>
    </w:p>
    <w:p>
      <w:pPr>
        <w:spacing w:after="100"/>
      </w:pPr>
      <w:r>
        <w:t xml:space="preserve">El sentimiento es dividido y mejora desde el 1T27: los particulares compran la historia de los grandes proyectos y los analistas siguen en «mantener» con objetivos de 62 a 96 USD. No hay euforia ni capitulación: la acción está un 13 % por debajo del máximo. Lo útil para la decisión es el riesgo que repiten los bajistas, la presión sobre el margen por el coste de la flota y el combustible, que el informe recoge en el bajista; y que nadie defiende que esté barata en múltiplos, igual que concluye este análisis.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47 (10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12,4 % frente a un ROIC de 11,5 %: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14,5 % en FY2036e frente al 12,0 %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comparables. Explicación: Solo hay tres alquiladores de maquinaria cotizados en EE. UU. con datos accesibles (United Rentals, Herc, McGrath); los europeos no cotizan. Peso de los comparables en la síntesis: 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(serie de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10-K FY2026 (nota de segmentos): el extracto no da la tabla; 2) búsqueda de ingresos por segmento en comunicados trimestrales: solo el 1T27; 3) búsqueda de proveedores (Chartrow, Stock Analysis):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KPI recogen el 1T27 por segmento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(FY2022-FY2024 y partidas de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balance del 10-K: solo activo total, fondo de comercio, caja, arrendamientos y deuda a corto; 2) proveedores (Fintel, EDGAR Tools): pasivo y patrimonio de FY2026; 3) informes anuales de Ashtead: sin extractos del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deuda de FY2026 calculada con el apalancamiento publicado y marcada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estado de flujos del 10-K; 2) comunicados de Ashtead (flujo libre de 2023 y 2024 solo en prensa, sin cuadrar); 3) proveedores: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proxy 2026; 3) informe anual de Ashtead 2025: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bonos de 1.200 M; 2) 10-K; 3) prensa: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ARA (previsión trimestral): solo 2025-2026; 2) RER/Forconstructionpros: cifras de años anteriores no homogéneas; 3) búsqueda de cuotas (ARA Rentalytics, IRN 100):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 EBIT y cuotas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United Rentals: solo guía de EBITDA; 2) Herc: sin cuentas en los extractos; 3) IRN 100: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CEO y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proxy DEF 14A 2026: extractos sin tablas; 2) búsqueda del 8-K de resultados de la junta del 1-sep-2026: no aparece; 3) búsqueda del presidente y del director financiero en prensa: sin confirmación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no funciona sin red; 2) búsqueda de compras y ventas de directivos de SUNB; 3) agregadores (InsiderTrades):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no funciona sin red; 2) búsqueda del cierre del 13-oct en Stock Analysis y Robinhood; 3) búsqueda de cotización de octubre: último cierre encontrado el 9-oct (75,17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 usa el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Chartrow (rentabilidades mensuales): sin extracto con cifras; 3) Stock Analysis: solo precios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6-10 comparables a la misma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de URI, HRI y MGRC: fotos de mayo-agosto; 2) WillScot y Custom Truck: sin resultados; 3) europeos (Loxam, Boels, Kiloutou): no cotizan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tres comparables con datos parciales y peso bajo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LSE Chat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SUNB en Reddit y Stocktwits; 2) búsqueda de foros británicos tras el cambio de cotización; 3) búsqueda de comentarios de septiembre-octubre: solo páginas automáticas sin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sentimiento con agregadores y prensa de inversión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catalizadores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2T27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(sin acceso); 2) búsqueda del aviso de resultados del 2T27; 3) calendario de MarketBeat: sin fecha confirmada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ventana (diciembre de 2026) por la costumbre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Reports Fiscal Fourth Quarter and Full-Year 2026 Results (8-K, 23-jun-2026).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https://www.sec.gov/Archives/edgar/data/0002083785/000162828026044797/sunbeltpressrelease-fy26q4.htm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cerrado el 30-abr-2026.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https://www.sec.gov/Archives/edgar/data/0002083785/000162828026044888/snblt-20260430.htm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first quarter fiscal 2027 results (8-K, 9-sep-2026). Extractos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https://www.sec.gov/Archives/edgar/data/0002083785/000162828026061014/sunbeltpressrelease-q1fy27.htm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Announces Fiscal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https://businesswire.com/news/home/20260312609554/en/Sunbelt-Rentals-Announces-Fiscal-Third-Quarter-2026-Results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2022 results (RNS, 14-jun-2022)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https://lse.co.uk/rns/AHT/q4-2022-results-c8buyyygkql8rkj.html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press release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https://www.ashtead-group.com/files/downloads/InvestorCentre/2023/Ashtead_Group-Q4-presss_release.pdf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Q4 2024 results (RNS, 18-jun-2024)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https://www.investegate.co.uk/announcement/rns/ashtead-group--aht/q4-2024-results/8264126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Posts Double Digit Rental Revenue Jump in Fiscal First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https://www.rermag.com/news-analysis/headline-news/article/55403931/sunbelt-rentals-posts-double-digit-rental-revenue-jump-in-fiscal-first-quarter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Q1 Revenue Rises 11% To Record $3.12 Billion, Raises Fiscal 2027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https://pulse2.com/sunbelt-rentals-q1-revenue-rises-11-to-record-3-12-billion-raises-fiscal-2027-guidance/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balance consolidado y nota de arrendamientos (datos XBRL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https://app.edgar.tools/companies/SUNB/disclosures/leases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launches buyback amid FTSE 100 departure / ii view: Ashtead results mixed ahead of switch to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 / 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https://www.cityam.com/?p=2290804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net income (GAAP) por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https://www.roic.ai/quote/AHT.L/classic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(SUNB) Q1 2027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https://www.webull.com/news/15551770232205312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Sunbelt Rentals plans to become a $14-billion company in five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Rental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https://internationalrentalnews.com/news/how-sunbelt-rentals-plans-to-become-a-14-billion-company-in-five-years/8037054.article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https://en.wikipedia.org/wiki/Ashtead_Group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Begins Trading Today on New York Stock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https://rermag.com/news-analysis/headline-news/news/55360160/sunbelt-rentals-to-begin-trading-on-new-york-stock-exchange-march-2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delists from London, Sunbelt Holdings begins dual trading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https://stockti.com/ashtead-delists-from-london-sunbelt-holdings-begins-dual-trading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(SUNB) Q1 2027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https://quartr.com/events/sunbelt-rentals-holdings-inc-sunb-q1-2027_3YZTNkdW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updates economic forecast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Heavy Equipment Guide / American Rental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https://www.heavyequipmentguide.ca/article/44867/ara-updates-economic-forecast-for-2026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Posts Modest Increases in Fiscal Third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Rental Equipment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https://www.rermag.com/news-analysis/headline-news/news/55367257/sunbelt-rentals-posts-modest-increases-in-fiscal-third-quarter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2T26: guía 2026 elevada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https://www.sec.gov/Archives/edgar/data/0001067701/000106770126000028/uri-6302026xex991.htm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Confirms Superior Proposal to Acquire H&amp;E Equipment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https://www.businesswire.com/news/home/20250217058592/en/Herc-Holdings-Confirms-Superior-Proposal-to-Acquire-HE-Equipment-Services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Ashtead results mixed ahead of switch to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https://www.ii.co.uk/analysis-commentary/ii-view-ashtead-results-mixed-ahead-switch-wall-street-ii537505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unveils ‘Sunbelt 4.0’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https://www.khl.com/ashtead-unveils-sunbelt-40-plan/8037048.article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Form DEF 14A (proxy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https://www.sec.gov/Archives/edgar/data/0002083785/000119312526310387/d63647ddef14a.htm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institutional 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https://mcp.holdingsintel.com/stocks/SUNB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https://www.wallstreetzen.com/stocks/us/nyse/sunb/stock-forecast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analyst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https://pro.stockalarm.io/quote/SUNB/analysts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beats Q1 2027 estimates and raises its full-year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https://247wallst.com/cards/sunbelt-rentals-holdings-inc-q1-2027-earnings-sunb-01m22y0ckqjv479kmkkc6r9fzd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notas de analistas (Citi, Bank of America,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https://www.google.com/finance/quote/SUNB%3ANYSE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Inc (SUNB)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https://tickflow.io/stock/SUNB/forecast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Holdings, Inc. (SUNB)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https://stockanalysis.com/stocks/sunb/history/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overview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https://www.marketbeat.com/stocks/NYSE/SUNB/options/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(AHT.L): beta de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https://sg.finance.yahoo.com/quote/AHT.L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Ashtead Group plc: PE ratio por ejercicio (FRA:0LC)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https://stockanalysis.com/quote/fra/0LC/financials/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 fails-to-deliver (precio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https://equibles.com/stocks/sunb/ftd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valoración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https://www.marketscreener.com/quote/stock/UNITED-RENTALS-INC-40311160/valuation/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Herc Holdings: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McGrath RentCorp EV/EBITDA multiples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https://www.valueinvesting.io/MGRC/valuation/ev_ebitda-multiples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Rentals buying H&amp;E Equipment Services for $4.8B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Equipment Finance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https://equipmentfinancenews.com/news/rentals/united-rentals-buying-he-equipment-services-for-5b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(NYSE:SUNB):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https://simplywall.st/stock/nyse/sunb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SUNB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https://walnutinvest.com/stocks/sunb/is-it-a-buy-or-sell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Ex-FTSE 100 stock Ashtead Group is now Sunbelt Rentals: its share price is rising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https://www.twelfthmagpie.com/2026/03/09/ex-ftse-100-stock-ashtead-group-is-now-sunbelt-rentals-its-share-price-is-rising/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Sunbelt's Q1 earnings show rental revenue growing 5x faster than depreciation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https://www.tikr.com/blog/sunbelts-q1-earnings-show-rental-revenue-growing-5x-faster-than-depreciation-heres-what-investors-need-to-know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Sunbelt Rentals shares rise 3% after Q1 results and higher fiscal 2027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https://finviz.com/news/390237/sunbelt-rentals-shares-rise-3-after-q1-results-and-higher-fiscal-2027-guidance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74,6 %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Ashtead Group plc ya no es la cotizada: desde el 2-mar-2026 la dominante es Sunbelt Rentals Holdings, Inc., con cotización principal en la Bolsa de Nueva York (SUNB, en USD) y una línea secundaria en Londres; el análisis usa la de Nueva York [16, 17]. Ejercicio a 30 de abril, etiquetado por el año en que termina (FY2026 = mayo de 2025 a abril de 2026). FY2022-FY2024 están en NIIF (Ashtead) y FY2025-FY2026 en US GAAP (10-K): en US GAAP el gasto de arrendamientos operativos resta en el EBITDA y sus pasivos no son deuda. Entorno sin acceso a documentos: todas las cifras salen de extractos de búsqueda de los comunicados, del 10-K y de proveedores; precio del 9-oct-2026 (último cierre encontrado); la deuda neta del puente es una estimación propia (apalancamiento publicado × EBITDA de 12 meses); balance y flujos solo de FY2026; precios de cierre de FY2022-FY2025 reconstruidos con el PER de Stock Analysis.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Sunbelt Rentals Holdings, Inc. (antes Ashtead Group plc) (SUNB)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Hoja1!$B$2:$B$7</c:f>
              <c:numCache>
                <c:formatCode>#,##0.0</c:formatCode>
                <c:ptCount val="6"/>
                <c:pt idx="0">
                  <c:v>61.03</c:v>
                </c:pt>
                <c:pt idx="1">
                  <c:v>62</c:v>
                </c:pt>
                <c:pt idx="2">
                  <c:v>37.72</c:v>
                </c:pt>
                <c:pt idx="3">
                  <c:v>22.69</c:v>
                </c:pt>
                <c:pt idx="4">
                  <c:v>46.65</c:v>
                </c:pt>
                <c:pt idx="5">
                  <c:v>74.79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Hoja1!$C$2:$C$7</c:f>
              <c:numCache>
                <c:formatCode>#,##0.0</c:formatCode>
                <c:ptCount val="6"/>
                <c:pt idx="0">
                  <c:v>25.650000000000006</c:v>
                </c:pt>
                <c:pt idx="1">
                  <c:v>28</c:v>
                </c:pt>
                <c:pt idx="2">
                  <c:v>7.829999999999998</c:v>
                </c:pt>
                <c:pt idx="3">
                  <c:v>36.709999999999994</c:v>
                </c:pt>
                <c:pt idx="4">
                  <c:v>7.890000000000001</c:v>
                </c:pt>
                <c:pt idx="5">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2026e</c:v>
                </c:pt>
              </c:strCache>
            </c:strRef>
          </c:cat>
          <c:val>
            <c:numRef>
              <c:f>Hoja1!$B$2:$B$3</c:f>
              <c:numCache>
                <c:formatCode>#,##0</c:formatCode>
                <c:ptCount val="2"/>
                <c:pt idx="0">
                  <c:v>80900</c:v>
                </c:pt>
                <c:pt idx="1">
                  <c:v>83246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Sunbelt (Ashtead)</c:v>
                </c:pt>
                <c:pt idx="1">
                  <c:v>United Rentals</c:v>
                </c:pt>
                <c:pt idx="2">
                  <c:v>Herc Holdings</c:v>
                </c:pt>
                <c:pt idx="3">
                  <c:v>EquipmentShare</c:v>
                </c:pt>
              </c:strCache>
            </c:strRef>
          </c:cat>
          <c:val>
            <c:numRef>
              <c:f>Hoja1!$B$2:$B$5</c:f>
              <c:numCache>
                <c:formatCode>0.0"%"</c:formatCode>
                <c:ptCount val="4"/>
                <c:pt idx="0">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7962</c:v>
                </c:pt>
                <c:pt idx="1">
                  <c:v>9667</c:v>
                </c:pt>
                <c:pt idx="2">
                  <c:v>10859</c:v>
                </c:pt>
                <c:pt idx="3">
                  <c:v>10791</c:v>
                </c:pt>
                <c:pt idx="4">
                  <c:v>11154</c:v>
                </c:pt>
                <c:pt idx="5">
                  <c:v>11991</c:v>
                </c:pt>
                <c:pt idx="6">
                  <c:v>12470</c:v>
                </c:pt>
                <c:pt idx="7">
                  <c:v>12907</c:v>
                </c:pt>
                <c:pt idx="8">
                  <c:v>13358</c:v>
                </c:pt>
                <c:pt idx="9">
                  <c:v>13759</c:v>
                </c:pt>
                <c:pt idx="10">
                  <c:v>14172</c:v>
                </c:pt>
                <c:pt idx="11">
                  <c:v>14597</c:v>
                </c:pt>
                <c:pt idx="12">
                  <c:v>15035</c:v>
                </c:pt>
                <c:pt idx="13">
                  <c:v>15486</c:v>
                </c:pt>
                <c:pt idx="14">
                  <c:v>15951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3609</c:v>
                </c:pt>
                <c:pt idx="1">
                  <c:v>4412</c:v>
                </c:pt>
                <c:pt idx="2">
                  <c:v>4893</c:v>
                </c:pt>
                <c:pt idx="3">
                  <c:v>4761</c:v>
                </c:pt>
                <c:pt idx="4">
                  <c:v>4631</c:v>
                </c:pt>
                <c:pt idx="5">
                  <c:v>5024</c:v>
                </c:pt>
                <c:pt idx="6">
                  <c:v>5300</c:v>
                </c:pt>
                <c:pt idx="7">
                  <c:v>5550</c:v>
                </c:pt>
                <c:pt idx="8">
                  <c:v>5744</c:v>
                </c:pt>
                <c:pt idx="9">
                  <c:v>5916</c:v>
                </c:pt>
                <c:pt idx="10">
                  <c:v>6094</c:v>
                </c:pt>
                <c:pt idx="11">
                  <c:v>6248</c:v>
                </c:pt>
                <c:pt idx="12">
                  <c:v>6405</c:v>
                </c:pt>
                <c:pt idx="13">
                  <c:v>6582</c:v>
                </c:pt>
                <c:pt idx="14">
                  <c:v>6779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45.3</c:v>
                </c:pt>
                <c:pt idx="1">
                  <c:v>45.6</c:v>
                </c:pt>
                <c:pt idx="2">
                  <c:v>45.1</c:v>
                </c:pt>
                <c:pt idx="3">
                  <c:v>44.1</c:v>
                </c:pt>
                <c:pt idx="4">
                  <c:v>41.5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24.5</c:v>
                </c:pt>
                <c:pt idx="1">
                  <c:v>26.1</c:v>
                </c:pt>
                <c:pt idx="2">
                  <c:v>24.4</c:v>
                </c:pt>
                <c:pt idx="3">
                  <c:v>23.3</c:v>
                </c:pt>
                <c:pt idx="4">
                  <c:v>20.8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15.7</c:v>
                </c:pt>
                <c:pt idx="1">
                  <c:v>16.7</c:v>
                </c:pt>
                <c:pt idx="2">
                  <c:v>14.7</c:v>
                </c:pt>
                <c:pt idx="3">
                  <c:v>14.4</c:v>
                </c:pt>
                <c:pt idx="4">
                  <c:v>11.9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1T26</c:v>
                </c:pt>
                <c:pt idx="1">
                  <c:v>2T26</c:v>
                </c:pt>
                <c:pt idx="2">
                  <c:v>3T26</c:v>
                </c:pt>
                <c:pt idx="3">
                  <c:v>4T26</c:v>
                </c:pt>
                <c:pt idx="4">
                  <c:v>1T27</c:v>
                </c:pt>
              </c:strCache>
            </c:strRef>
          </c:cat>
          <c:val>
            <c:numRef>
              <c:f>Hoja1!$B$2:$B$6</c:f>
              <c:numCache>
                <c:formatCode>0.0"%"</c:formatCode>
                <c:ptCount val="5"/>
                <c:pt idx="1">
                  <c:v>1</c:v>
                </c:pt>
                <c:pt idx="2">
                  <c:v>2.7</c:v>
                </c:pt>
                <c:pt idx="4">
                  <c:v>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FY2026</c:v>
                </c:pt>
              </c:strCache>
            </c:strRef>
          </c:cat>
          <c:val>
            <c:numRef>
              <c:f>Hoja1!$B$2</c:f>
              <c:numCache>
                <c:formatCode>#,##0</c:formatCode>
                <c:ptCount val="1"/>
                <c:pt idx="0">
                  <c:v>1590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FY2026</c:v>
                </c:pt>
              </c:strCache>
            </c:strRef>
          </c:cat>
          <c:val>
            <c:numRef>
              <c:f>Hoja1!$C$2</c:f>
              <c:numCache>
                <c:formatCode>#,##0</c:formatCode>
                <c:ptCount val="1"/>
                <c:pt idx="0">
                  <c:v>1325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11.5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10.6</c:v>
                </c:pt>
                <c:pt idx="1">
                  <c:v>10.6</c:v>
                </c:pt>
                <c:pt idx="2">
                  <c:v>10.6</c:v>
                </c:pt>
                <c:pt idx="3">
                  <c:v>10.6</c:v>
                </c:pt>
                <c:pt idx="4">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0.0"x"</c:formatCode>
                <c:ptCount val="1"/>
                <c:pt idx="0">
                  <c:v>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464</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1413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Sunbelt (Ashtead)</c:v>
                </c:pt>
                <c:pt idx="1">
                  <c:v>United Rentals</c:v>
                </c:pt>
                <c:pt idx="2">
                  <c:v>Herc Holdings</c:v>
                </c:pt>
                <c:pt idx="3">
                  <c:v>McGrath RentCorp</c:v>
                </c:pt>
              </c:strCache>
            </c:strRef>
          </c:cat>
          <c:val>
            <c:numRef>
              <c:f>Hoja1!$B$2:$B$5</c:f>
              <c:numCache>
                <c:formatCode>0.0"x"</c:formatCode>
                <c:ptCount val="4"/>
                <c:pt idx="0">
                  <c:v>7.9</c:v>
                </c:pt>
                <c:pt idx="1">
                  <c:v>10.3</c:v>
                </c:pt>
                <c:pt idx="3">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H&amp;E Equipment Services</c:v>
                </c:pt>
                <c:pt idx="1">
                  <c:v>H&amp;E Equipment Services (oferta no consumada)</c:v>
                </c:pt>
                <c:pt idx="2">
                  <c:v>Reliant Asset Management (Aries) y otra compra</c:v>
                </c:pt>
              </c:strCache>
            </c:strRef>
          </c:cat>
          <c:val>
            <c:numRef>
              <c:f>Hoja1!$B$2:$B$4</c:f>
              <c:numCache>
                <c:formatCode>0.0"x"</c:formatCode>
                <c:ptCount val="3"/>
                <c:pt idx="0">
                  <c:v>7.4</c:v>
                </c:pt>
                <c:pt idx="1">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952</c:v>
                </c:pt>
                <c:pt idx="1">
                  <c:v>1233</c:v>
                </c:pt>
                <c:pt idx="2">
                  <c:v>1389</c:v>
                </c:pt>
                <c:pt idx="3">
                  <c:v>1504</c:v>
                </c:pt>
                <c:pt idx="4">
                  <c:v>1550</c:v>
                </c:pt>
                <c:pt idx="5">
                  <c:v>1667</c:v>
                </c:pt>
                <c:pt idx="6">
                  <c:v>1768</c:v>
                </c:pt>
                <c:pt idx="7">
                  <c:v>1799</c:v>
                </c:pt>
                <c:pt idx="8">
                  <c:v>1919</c:v>
                </c:pt>
                <c:pt idx="9">
                  <c:v>1976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9377</c:v>
                </c:pt>
                <c:pt idx="1">
                  <c:v>16148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75,17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22.69</c:v>
                </c:pt>
                <c:pt idx="1">
                  <c:v>41.28</c:v>
                </c:pt>
                <c:pt idx="2">
                  <c:v>59.4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Hoja1!$B$2:$B$7</c:f>
              <c:numCache>
                <c:formatCode>#,##0.0</c:formatCode>
                <c:ptCount val="6"/>
                <c:pt idx="0">
                  <c:v>61.03</c:v>
                </c:pt>
                <c:pt idx="1">
                  <c:v>62</c:v>
                </c:pt>
                <c:pt idx="2">
                  <c:v>37.72</c:v>
                </c:pt>
                <c:pt idx="3">
                  <c:v>22.69</c:v>
                </c:pt>
                <c:pt idx="4">
                  <c:v>46.65</c:v>
                </c:pt>
                <c:pt idx="5">
                  <c:v>74.79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(61,03 – 86,68)</c:v>
                </c:pt>
                <c:pt idx="1">
                  <c:v>Precio objetivo de los analistas (62,00 – 90,00)</c:v>
                </c:pt>
                <c:pt idx="2">
                  <c:v>DCF (WACC y g ± 0,5) (37,72 – 45,55)</c:v>
                </c:pt>
                <c:pt idx="3">
                  <c:v>Escenarios (bajista – alcista) (22,69 – 59,40)</c:v>
                </c:pt>
                <c:pt idx="4">
                  <c:v>DCF con la prima implícita del mercado (4,2 %)</c:v>
                </c:pt>
                <c:pt idx="5">
                  <c:v>Precio actual (75,17)</c:v>
                </c:pt>
              </c:strCache>
            </c:strRef>
          </c:cat>
          <c:val>
            <c:numRef>
              <c:f>Hoja1!$C$2:$C$7</c:f>
              <c:numCache>
                <c:formatCode>#,##0.0</c:formatCode>
                <c:ptCount val="6"/>
                <c:pt idx="0">
                  <c:v>25.650000000000006</c:v>
                </c:pt>
                <c:pt idx="1">
                  <c:v>28</c:v>
                </c:pt>
                <c:pt idx="2">
                  <c:v>7.829999999999998</c:v>
                </c:pt>
                <c:pt idx="3">
                  <c:v>36.709999999999994</c:v>
                </c:pt>
                <c:pt idx="4">
                  <c:v>7.890000000000001</c:v>
                </c:pt>
                <c:pt idx="5">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