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Marsh &amp; McLennan Companies, Inc. (marca comercial «Marsh»)</w:t>
      </w:r>
    </w:p>
    <w:p>
      <w:pPr>
        <w:spacing w:after="60"/>
        <w:rPr>
          <w:color w:val="52514E"/>
          <w:sz w:val="22"/>
          <w:szCs w:val="22"/>
        </w:rPr>
      </w:pPr>
      <w:r>
        <w:rPr>
          <w:color w:val="52514E"/>
          <w:sz w:val="22"/>
          <w:szCs w:val="22"/>
        </w:rPr>
        <w:t xml:space="preserve">MRSH · New York Stock Exchange · ISIN US5717481023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191,26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223,55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+18,9 % (base +20,9 %)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197,03 USD · mercado 216,17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91.518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Marsh &amp; McLennan Companies, Inc. (marca comercial «Marsh»)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MRSH / US5717481023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Corredores de seguros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(EE. UU.) · 1871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https://www.corporate.marsh.com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191,26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156,60 – 198,49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91.518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110.197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460 M USD/día (2,53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223,55 USD</w:t>
      </w:r>
      <w:r>
        <w:t xml:space="preserve"> frente a 191,26 · Rentabilidad a 12 meses </w:t>
      </w:r>
      <w:r>
        <w:rPr>
          <w:b/>
          <w:bCs/>
        </w:rPr>
        <w:t xml:space="preserve">+18,9 % (base +20,9 %)</w:t>
      </w:r>
      <w:r>
        <w:t xml:space="preserve"> · Valor intrínseco 197,03 USD · con la prima implícita del mercado: 216,17 (+13,0 %) · Alcista / bajista +30,4 % / -28,0 %</w:t>
      </w:r>
    </w:p>
    <w:p>
      <w:pPr>
        <w:spacing w:after="100"/>
      </w:pPr>
      <w:r>
        <w:rPr>
          <w:b/>
        </w:rPr>
        <w:t xml:space="preserve">La recomendación y por qué.</w:t>
      </w:r>
      <w:r>
        <w:t xml:space="preserve"> Mantener, con convicción baja. Al cierre del 20-oct (191,26 USD), cinco sesiones después del 3T26, el objetivo a 12 meses es de 223,55 USD: +18,9 % ponderado y +20,9 % en el base, con dividendo. El valor intrínseco es de 197,03 (+3,0 %) y el DCF, 206,23. La regla v3 daría Comprar, pero no aguanta las pruebas: la v2 da un 14,3 % y con un BPA un 10 % más bajo, un 7,2 %. Por eso esperamos a 178,36 USD (límite robusto) o a 186,47 (nivel B1). La convicción es baja porque la señal depende del múltiplo: subiría si el 4T26 y la guía de 2027 confirman un subyacente del 5 % con margen al alza, y bajaría si el reaseguro arrastra al grupo por debajo del 4 %.</w:t>
      </w:r>
    </w:p>
    <w:p>
      <w:pPr>
        <w:spacing w:after="100"/>
      </w:pPr>
      <w:r>
        <w:rPr>
          <w:b/>
        </w:rPr>
        <w:t xml:space="preserve">Qué ha cambiado con el 3T26 (15-oct).</w:t>
      </w:r>
      <w:r>
        <w:t xml:space="preserve"> Mejor de lo esperado: ingresos de 6.863 M (+8,1 %, subyacente del 5 %) y BPA ajustado de 2,03 USD (+10 %) frente a 1,97 esperado [A, D]. Marsh Risk crece un 5 % y consultoría un 8 %, pero el reaseguro cae un 6 % y el margen ajustado va plano (22,7 %) [B]. Greensill se cierra con acuerdos: 569 M de cargo en nueve meses y ningún cargo más previsto [A, C]. Thrive sube su ahorro previsto a 600 M. El BPA publicado del trimestre (1,69) lleva 126 M de plusvalía por Deasterra. La acción ha subido un 7,2 % desde los resultados [E].</w:t>
      </w:r>
    </w:p>
    <w:p>
      <w:pPr>
        <w:spacing w:after="100"/>
      </w:pPr>
      <w:r>
        <w:rPr>
          <w:b/>
        </w:rPr>
        <w:t xml:space="preserve">El negocio.</w:t>
      </w:r>
      <w:r>
        <w:t xml:space="preserve"> Primer corredor de seguros y reaseguros del mundo (≈ 6 % de un mercado de ≈ 276.500 M USD) y gran consultora [B]. Foso amplio: renovaciones, escala en grandes riesgos y 130 países. ROIC del 15,0 % frente a un WACC del 8,17 %; la calidad sostiene el crecimiento que proyectamos (veredicto «Sí»): 4,2 % anual, sin inversión neta.</w:t>
      </w:r>
    </w:p>
    <w:p>
      <w:pPr>
        <w:spacing w:after="100"/>
      </w:pPr>
      <w:r>
        <w:rPr>
          <w:b/>
        </w:rPr>
        <w:t xml:space="preserve">Sector y ciclo.</w:t>
      </w:r>
      <w:r>
        <w:t xml:space="preserve"> Seguro comercial en fase blanda: tarifas −5 % en el 3T26, noveno trimestre de bajadas, daños −10 %; el reaseguro espera bajadas del 7,5-15 % en enero [B]. Aon compra USI por 17.000 M.</w:t>
      </w:r>
    </w:p>
    <w:p>
      <w:pPr>
        <w:spacing w:after="100"/>
      </w:pPr>
      <w:r>
        <w:rPr>
          <w:b/>
        </w:rPr>
        <w:t xml:space="preserve">Finanzas.</w:t>
      </w:r>
      <w:r>
        <w:t xml:space="preserve"> 28.459 M de ingresos y 4.154 M de flujo libre en los últimos 12 meses. Deuda neta de 18.691 M a 30-sep (2,5 veces el EBITDA), con recompras financiadas en parte con pagarés [A].</w:t>
      </w:r>
    </w:p>
    <w:p>
      <w:pPr>
        <w:spacing w:after="100"/>
      </w:pPr>
      <w:r>
        <w:rPr>
          <w:b/>
        </w:rPr>
        <w:t xml:space="preserve">Valoración.</w:t>
      </w:r>
      <w:r>
        <w:t xml:space="preserve"> El DCF inverso dice que el precio descuenta un crecimiento del 2,8 % anual frente al 4,2 % de nuestro base, o un margen final del 27,4 % frente al 29,0 %. Cotiza a 18,8 veces nuestro BPA de 2027e, por debajo de toda su historia, y en la mediana de los corredores (19,9x).</w:t>
      </w:r>
    </w:p>
    <w:p>
      <w:pPr>
        <w:spacing w:after="100"/>
      </w:pPr>
      <w:r>
        <w:rPr>
          <w:b/>
        </w:rPr>
        <w:t xml:space="preserve">Riesgos y catalizadores.</w:t>
      </w:r>
      <w:r>
        <w:t xml:space="preserve"> El ciclo blando (bajista 137,63, −28,0 %), la IA en la intermediación de pymes y las compras caras. Catalizadores: los resultados de los rivales (26-29 de octubre), las renovaciones del 1-ene y la guía de 2027 a finales de enero.</w:t>
      </w:r>
    </w:p>
    <w:p>
      <w:pPr>
        <w:spacing w:after="100"/>
      </w:pPr>
      <w:r>
        <w:rPr>
          <w:b/>
        </w:rPr>
        <w:t xml:space="preserve">Qué cambiaría la decisión.</w:t>
      </w:r>
      <w:r>
        <w:t xml:space="preserve"> Compraríamos por debajo de 178,36 USD (186,47 en nivel B1); venderíamos por encima de 252,64. Pasaríamos a Vender si el subyacente de Marsh Risk baja del 3 % dos trimestres o si la guía de 2027 queda por debajo del 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223,55 USD</w:t>
      </w:r>
      <w:r>
        <w:t xml:space="preserve"> (rentabilidad +18,9 % (base +20,9 %)) · Valor intrínseco: 197,03 USD (+3,0 % sobre 191,26) · con la prima implícita del mercado: 216,17 (+13,0 %)</w:t>
      </w:r>
    </w:p>
    <w:p>
      <w:pPr>
        <w:spacing w:after="100"/>
      </w:pPr>
      <w:r>
        <w:t xml:space="preserve">Marsh es el mayor corredor de seguros y reaseguros del mundo y una de las grandes consultoras de recursos humanos: 28.459 M USD de ingresos en los últimos 12 meses, margen operativo del 23 % y un ROIC del 15,0 % que no necesita capital para crecer; la caja va a dividendo creciente y recompras [A].</w:t>
      </w:r>
    </w:p>
    <w:p>
      <w:pPr>
        <w:spacing w:after="100"/>
      </w:pPr>
      <w:r>
        <w:t xml:space="preserve">El 3T26 confirma que el subyacente aguanta en el 5 % con las tarifas cayendo y cierra Greensill. El precio (18,8 veces el BPA de 2027e) descuenta un crecimiento del 2,8 % anual: poco para su historia, pero el sector entero ha bajado de múltiplo por el ciclo blando y el miedo a la IA [B].</w:t>
      </w:r>
    </w:p>
    <w:p>
      <w:pPr>
        <w:spacing w:after="100"/>
      </w:pPr>
      <w:r>
        <w:t xml:space="preserve">Para invertir hay que creer que el ciclo blando es eso, un ciclo, y que la IA abarata la colocación más de lo que quita clientes. A 191 USD el margen de seguridad es estrecho: la rentabilidad a 12 meses depende de que el PER suba, no solo del beneficio.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9,80 = 161,70 · 20,7x × 10,99 = 227,49 · 23,4x × 11,86 = 277,52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 / 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205,38 (nuestro base +10,8 %)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 / -28,0 %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8,2 %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frente a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197,03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197,03 y 252,59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252,59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v3 da Comprar (+18,9 % a 12 meses), pero no es una compra robusta: la v2 da un 14,3 % y con un BPA un 10 % más bajo la v3 cae al 7,2 %, y el valor intrínseco (197,03) apenas supera el precio. Comprar por debajo de 178,36 USD (límite robusto) o de 186,47 (nivel B1).</w:t>
      </w:r>
    </w:p>
    <w:p>
      <w:pPr>
        <w:pStyle w:val="Heading2"/>
      </w:pPr>
      <w:r>
        <w:t xml:space="preserve">Qué cambiaría la recomendación</w:t>
      </w:r>
    </w:p>
    <w:p>
      <w:pPr>
        <w:pStyle w:val="ListParagraph"/>
        <w:numPr>
          <w:ilvl w:val="0"/>
          <w:numId w:val="2"/>
        </w:numPr>
        <w:spacing w:after="60"/>
      </w:pPr>
      <w:r>
        <w:t xml:space="preserve">Si el precio baja de 178,36 USD (186,47 en nivel B1) sin cambios en el negocio, pasaríamos a Comprar.</w:t>
      </w:r>
    </w:p>
    <w:p>
      <w:pPr>
        <w:pStyle w:val="ListParagraph"/>
        <w:numPr>
          <w:ilvl w:val="0"/>
          <w:numId w:val="2"/>
        </w:numPr>
        <w:spacing w:after="60"/>
      </w:pPr>
      <w:r>
        <w:t xml:space="preserve">Si el crecimiento subyacente de Marsh Risk baja del 3 % dos trimestres seguidos, pasaríamos a Vender.</w:t>
      </w:r>
    </w:p>
    <w:p>
      <w:pPr>
        <w:pStyle w:val="ListParagraph"/>
        <w:numPr>
          <w:ilvl w:val="0"/>
          <w:numId w:val="2"/>
        </w:numPr>
        <w:spacing w:after="60"/>
      </w:pPr>
      <w:r>
        <w:t xml:space="preserve">Si la guía de 2027 (enero) es inferior al 4 % de crecimiento subyacente, revisaríamos a la baja.</w:t>
      </w:r>
    </w:p>
    <w:p>
      <w:pPr>
        <w:pStyle w:val="ListParagraph"/>
        <w:numPr>
          <w:ilvl w:val="0"/>
          <w:numId w:val="2"/>
        </w:numPr>
        <w:spacing w:after="60"/>
      </w:pPr>
      <w:r>
        <w:t xml:space="preserve">Por encima de 252,64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2,8 % anual o un margen que deja de mejorar: 18,8 veces el BPA de 2027e. Los analistas están divididos (7 comprar, 15 mantener, 1 vender) y su objetivo medio es 205,38 [D].</w:t>
      </w:r>
    </w:p>
    <w:p>
      <w:pPr>
        <w:keepNext/>
        <w:spacing w:after="100"/>
      </w:pPr>
      <w:r>
        <w:rPr>
          <w:b/>
          <w:bCs/>
        </w:rPr>
        <w:t xml:space="preserve">Lo que creemos nosotros.</w:t>
      </w:r>
    </w:p>
    <w:p>
      <w:pPr>
        <w:spacing w:after="100"/>
      </w:pPr>
      <w:r>
        <w:t xml:space="preserve">Crecimiento del 4-5 % y medio punto de mejora anual del margen con Thrive; BPA de 10,99 USD en 2028e, por debajo del consenso (12,17).</w:t>
      </w:r>
    </w:p>
    <w:p>
      <w:pPr>
        <w:keepNext/>
        <w:spacing w:after="100"/>
      </w:pPr>
      <w:r>
        <w:rPr>
          <w:b/>
          <w:bCs/>
        </w:rPr>
        <w:t xml:space="preserve">Por qué podemos tener razón.</w:t>
      </w:r>
    </w:p>
    <w:p>
      <w:pPr>
        <w:spacing w:after="100"/>
      </w:pPr>
      <w:r>
        <w:t xml:space="preserve">El subyacente aguanta en el 5 % con nueve trimestres de bajadas de tarifas; la IA golpea primero a particulares y pymes, donde Marsh pesa menos. No suponemos recompras no anunciadas.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1,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18,8x</w:t>
      </w:r>
      <w:r>
        <w:t xml:space="preserve">, frente a una mediana de 23,2x en cinco años.</w:t>
      </w:r>
    </w:p>
    <w:p>
      <w:pPr>
        <w:pStyle w:val="ListParagraph"/>
        <w:numPr>
          <w:ilvl w:val="0"/>
          <w:numId w:val="2"/>
        </w:numPr>
        <w:spacing w:after="60"/>
      </w:pPr>
      <w:r>
        <w:rPr>
          <w:b/>
        </w:rPr>
        <w:t xml:space="preserve">ROIC del 15,0 %</w:t>
      </w:r>
      <w:r>
        <w:t xml:space="preserve"> frente a un WACC del 8,17 %, sin necesidad de capital.</w:t>
      </w:r>
    </w:p>
    <w:p>
      <w:pPr>
        <w:pStyle w:val="ListParagraph"/>
        <w:numPr>
          <w:ilvl w:val="0"/>
          <w:numId w:val="2"/>
        </w:numPr>
        <w:spacing w:after="60"/>
      </w:pPr>
      <w:r>
        <w:rPr>
          <w:b/>
        </w:rPr>
        <w:t xml:space="preserve">3T26 mejor de lo esperado</w:t>
      </w:r>
      <w:r>
        <w:t xml:space="preserve">: subyacente del 5 % y BPA ajustado +10 % con tarifas −5 % [A].</w:t>
      </w:r>
    </w:p>
    <w:p>
      <w:pPr>
        <w:pStyle w:val="ListParagraph"/>
        <w:numPr>
          <w:ilvl w:val="0"/>
          <w:numId w:val="2"/>
        </w:numPr>
        <w:spacing w:after="60"/>
      </w:pPr>
      <w:r>
        <w:rPr>
          <w:b/>
        </w:rPr>
        <w:t xml:space="preserve">Greensill cerrado</w:t>
      </w:r>
      <w:r>
        <w:t xml:space="preserve">: 569 M cargados y la empresa no espera más [A].</w:t>
      </w:r>
    </w:p>
    <w:p>
      <w:pPr>
        <w:pStyle w:val="ListParagraph"/>
        <w:numPr>
          <w:ilvl w:val="0"/>
          <w:numId w:val="2"/>
        </w:numPr>
        <w:spacing w:after="60"/>
      </w:pPr>
      <w:r>
        <w:rPr>
          <w:b/>
        </w:rPr>
        <w:t xml:space="preserve">Thrive</w:t>
      </w:r>
      <w:r>
        <w:t xml:space="preserve">: ahorro previsto de 600 M hasta 2028 (antes 400 M) [C].</w:t>
      </w:r>
    </w:p>
    <w:p>
      <w:pPr>
        <w:pStyle w:val="Heading2"/>
      </w:pPr>
      <w:r>
        <w:t xml:space="preserve">En contra</w:t>
      </w:r>
    </w:p>
    <w:p>
      <w:pPr>
        <w:pStyle w:val="ListParagraph"/>
        <w:numPr>
          <w:ilvl w:val="0"/>
          <w:numId w:val="2"/>
        </w:numPr>
        <w:spacing w:after="60"/>
      </w:pPr>
      <w:r>
        <w:rPr>
          <w:b/>
        </w:rPr>
        <w:t xml:space="preserve">Ciclo blando</w:t>
      </w:r>
      <w:r>
        <w:t xml:space="preserve">: noveno trimestre de bajadas de tarifas; reaseguro −6 % y peores renovaciones en enero [B].</w:t>
      </w:r>
    </w:p>
    <w:p>
      <w:pPr>
        <w:pStyle w:val="ListParagraph"/>
        <w:numPr>
          <w:ilvl w:val="0"/>
          <w:numId w:val="2"/>
        </w:numPr>
        <w:spacing w:after="60"/>
      </w:pPr>
      <w:r>
        <w:rPr>
          <w:b/>
        </w:rPr>
        <w:t xml:space="preserve">IA</w:t>
      </w:r>
      <w:r>
        <w:t xml:space="preserve">: el sector cayó un 9 % en un día (9-feb-2026) por la venta directa.</w:t>
      </w:r>
    </w:p>
    <w:p>
      <w:pPr>
        <w:pStyle w:val="ListParagraph"/>
        <w:numPr>
          <w:ilvl w:val="0"/>
          <w:numId w:val="2"/>
        </w:numPr>
        <w:spacing w:after="60"/>
      </w:pPr>
      <w:r>
        <w:rPr>
          <w:b/>
        </w:rPr>
        <w:t xml:space="preserve">Margen plano</w:t>
      </w:r>
      <w:r>
        <w:t xml:space="preserve"> en el 3T26 (22,7 %) pese a Thrive [A].</w:t>
      </w:r>
    </w:p>
    <w:p>
      <w:pPr>
        <w:pStyle w:val="ListParagraph"/>
        <w:numPr>
          <w:ilvl w:val="0"/>
          <w:numId w:val="2"/>
        </w:numPr>
        <w:spacing w:after="60"/>
      </w:pPr>
      <w:r>
        <w:rPr>
          <w:b/>
        </w:rPr>
        <w:t xml:space="preserve">Deuda neta de 2,5 veces el EBITDA</w:t>
      </w:r>
      <w:r>
        <w:t xml:space="preserve"> y recompras con pagarés [A].</w:t>
      </w:r>
    </w:p>
    <w:p>
      <w:pPr>
        <w:pStyle w:val="ListParagraph"/>
        <w:numPr>
          <w:ilvl w:val="0"/>
          <w:numId w:val="2"/>
        </w:numPr>
        <w:spacing w:after="60"/>
      </w:pPr>
      <w:r>
        <w:rPr>
          <w:b/>
        </w:rPr>
        <w:t xml:space="preserve">Directivos vendedores</w:t>
      </w:r>
      <w:r>
        <w:t xml:space="preserve">: 18,9 M en ventas y ninguna compra en 12 meses [C].</w:t>
      </w:r>
    </w:p>
    <w:p>
      <w:pPr>
        <w:pStyle w:val="Heading2"/>
      </w:pPr>
      <w:r>
        <w:t xml:space="preserve">Qué tiene que pasar para que la tesis funcione</w:t>
      </w:r>
    </w:p>
    <w:p>
      <w:pPr>
        <w:spacing w:after="100"/>
      </w:pPr>
      <w:r>
        <w:t xml:space="preserve">La tesis depende de que el crecimiento subyacente de Marsh Risk aguante en el 4 % o más mientras caen las tarifas. La señal de que no se cumple: dos trimestres por debajo del 3 %, o una guía de 2027 por debajo del 4 % para el grupo.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Marsh Risk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tarifas y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tarifas comerciales de Marsh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(9M26, plano)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Thrive debe ampliarlo.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Reinsurance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reaseguro.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se financian con pagarés.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19,3x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1871 como agencia de seguros en Chicago, Marsh &amp; McLennan nace en 1905 de la unión de Henry Marsh y Donald McLennan y cotiza en la Bolsa de Nueva York desde 1962 [1]. Se diversificó en consultoría de recursos humanos (Mercer, 1959), consultoría de dirección (Oliver Wyman, 2003) y reaseguro (Guy Carpenter). Tras el escándalo de las comisiones contingentes de 2004 se deshizo de Putnam y Kroll y se concentró en riesgo y consultoría. Con JLT (2019) y McGriff (2024) consolidó el primer puesto mundial en correduría [1]. En 2026 pasó a llamarse comercialmente «Marsh» (ticker MRSH desde el 14-ene-2026) y renombró sus unidades: Marsh Risk, Reinsurance (antes Guy Carpenter), People and Investments (antes Mercer) y Marsh Management Consulting (antes Oliver Wyman) [1, 13]. En el 3T26 cerró el litigio Greensill con 569 M de cargo neto en nueve meses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Unión de Henry Marsh y Donald McLennan.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Escándalo de las comisiones contingentes (demanda del fiscal de Nueva York); cambio de cúpula y de modelo de cobro.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Jardine Lloyd Thompson (≈5.600 M GBP).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Doyle, consejero delegado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McGriff por 7.750 M USD (cerrada en noviembre).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Thrive (500 M de coste, 400 M de ahorro al lanzarlo) y nueva marca única.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MRSH (14-ene); acuerdos con Greensill Bank (junio) y Credit Suisse que cierran el caso Greensill (569 M de cargo neto en 9M26); Thrive sube a 600 M de ahorro con unos 750 M de coste [14, 31].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Marsh es la mayor firma mundial de servicios profesionales de riesgo, seguros y recursos humanos: 26.981 M USD de ingresos en 2025, más de 95.000 empleados y clientes en 130 países [1]. Tiene dos segmentos. Risk &amp; Insurance Services (64 % de los ingresos de 2025) agrupa a Marsh Risk (54 %), primer corredor de seguros del mundo para empresas, administraciones y particulares de patrimonio alto, y a Reinsurance (antes Guy Carpenter, 10 %), corredor de reaseguro para aseguradoras. Consulting (36 %) agrupa a People and Investments (antes Mercer, 23 %; salud y beneficios, inversiones y jubilación, y retribución, con unos 650.000 M USD de activos bajo gestión) y a Marsh Management Consulting (13 %, antes Oliver Wyman) [1, 13]. En los nueve primeros meses de 2026 los ingresos fueron 21.864 M (+7 %; +5 % subyacente): Risk &amp; Insurance Services 14.074 M y Consulting 7.845 M [13].</w:t>
      </w:r>
    </w:p>
    <w:p>
      <w:pPr>
        <w:pStyle w:val="Heading2"/>
      </w:pPr>
      <w:r>
        <w:t xml:space="preserve">Cómo gana dinero</w:t>
      </w:r>
    </w:p>
    <w:p>
      <w:pPr>
        <w:spacing w:after="100"/>
      </w:pPr>
      <w:r>
        <w:t xml:space="preserve">En correduría cobra comisiones sobre la prima que coloca (y honorarios en grandes cuentas): el ingreso sube con las tarifas de los seguros, el valor asegurado de los clientes y los clientes nuevos, y no asume el riesgo del seguro. Una parte sale de los intereses del dinero de clientes que custodia (primas y siniestros en tránsito): 403 M en 2025 y 273 M en 9M26 frente a 311 M en 9M25; la empresa espera unos 94 M en el 4T26 [1, 13, 31]. La renovación anual es muy alta y estacional: el primer trimestre concentra las renovaciones de enero y es el de más margen (margen operativo ajustado del 22,7 % en el 3T26 frente al 28,1 % de los nueve meses) [13]. El coste es casi todo personal: compensación y beneficios = 56,5 % de los ingresos en 9M26 (12.349 M sobre 21.864 M; estimación propia sobre la cuenta publicada) [13]; el apalancamiento operativo viene de crecer más que la plantilla, y Thrive apunta a 600 M de ahorro hasta 2028 [31]. En People and Investments, parte de los ingresos dependen de los activos gestionados (Investments and Retirement +8 % subyacente en el 3T26 por entradas netas y mercados) y en consultoría de dirección, de la demanda de proyectos (+14 % en el 3T26) [13,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&amp; Insurance Services (Marsh Risk y Guy Carpenter)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 (Mercer y Marsh Management 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&amp; Insurance Services (Marsh Risk y Guy Carpenter)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 (Mercer y Marsh Management 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decenas de miles de clientes y ninguno relevante [1]. La renovación de las pólizas en correduría supera tradicionalmente el 90 % (dato del sector; la empresa no lo publica). El poder de precios es indirecto: la comisión sigue a la prima, y la prima comercial global bajó un 5 % en el 3T26 (daños −10 %) según la dirección, mientras el crecimiento subyacente de Marsh Risk subió al 5 % (EE. UU./Canadá 4 %, internacional 6 %) gracias a negocio nuevo y renovaciones [13, 14, 31]. La debilidad está en el reaseguro: Reinsurance −6 % subyacente en el 3T26 y −1 % en nueve meses, por las bajadas de tarifa en daños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ingresos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 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(3T26); 5 %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frente a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perímetro. La dirección mantiene para 2026 un crecimiento «similar» al de 2025 [13,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Marsh Risk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(3T26); 4 %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UU./Canadá 4 % e Internacional 6 % (EMEA 7 %) en el 3T26, con tarifas comerciales −5 % según el índice de la propia Marsh [13,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Reinsurance (antes Guy Carpenter)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(3T26); −1 %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 reaseguro de daños a la baja y una base exigente; la dirección dice estar «sobreponderada» en catástrofes de daños [13,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Consulting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 7 %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Consulting +14 % en el 3T26 (trabajo de IA y comisiones de éxito adelantadas del 4T); People and Investments +5 % [13,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 (9M25); 22,7 %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(9M26); 22,7 %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partidas destacadas y la amortización de intangibles adquiridos; la dirección sigue esperando ampliar el margen en 2026 [13,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M (2024); 311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M (2025); 273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con los tipos; la empresa espera unos 94 M en el 4T26 [1, 13,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intermediación de seguros y reaseguros en todo el mundo: corredores y agencias que colocan riesgos de empresas y particulares por una comisión u honorario. Las estimaciones varían mucho por perímetro: Global Market Insights lo sitúa en 276.500 M USD en 2025 (corredores y agentes) y Mordor Intelligence en 359.270 M en 2026 [20, 21]. Usamos la de Global Market Insights, más prudente y con el mismo perímetro que la cuota de Risk &amp; Insurance Services. Consulting (People and Investments y consultoría de dirección) es otro mercado y no entra en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276.500 M USD en 2025 (Global Market Insights) [20]; 359.270 M en 2026 según Mordor Intelligence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los seguros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dirección de Marsh, −5 % global en el 3T26 (−6 % en el 2T26, octavo trimestre seguido de bajadas en su índice): daños −10 %, responsabilidad civil +1 % (exceso de responsabilidad civil en EE. UU. +13 %), ciberriesgos −4 %, líneas financieras −3 %; EE. UU. −1 % [22,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Valores asegurados, negocio nuevo y economía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Marsh Risk del 5 % en el 3T26 y del 4 % en 9M26 pese a las tarifas, por negocio nuevo y renovaciones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del reaseguro de daños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Reinsurance −6 % subyacente en el 3T26; la dirección espera que sigan igual en la renovación del 1-ene-2027 [13, 31]; KBW prevé caídas de al menos el 10 % en el catastrófico de daños y la encuesta de Moody's, del 7,5-15 % en 2027 [38,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compras de corredurías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7.750-13.450 M en 2024-2025 (McGriff, AssuredPartners, Accession) [1] y Aon-USI por 17.000 M (31-ago-2026; 14,5 veces el EBITDA ajustado con sinergias)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(intereses fiduciarios)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fiduciarios de Marsh: 497 M en 2024, 403 M en 2025, 273 M en 9M26 (311 M en 9M25); unos 94 M previstos en el 4T26 [1, 13,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venta directa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media del 9 % de los corredores el 9-feb-2026 tras aplicaciones de cotización con ChatGPT en seguros personales; los analistas lo ven más en líneas personales que en comerciales [23, 24]. La dirección de Marsh dice que la IA «ya es un factor» en su negocio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globales (Marsh, Aon, WTW, Gallagher) y una larga cola regional que se consolida (Aon compra USI, décimo corredor de EE. UU., por 17.000 M) [32]; la competencia por talento es intensa: Marsh apuntó 30 M de gastos legales en el 3T26 por un pleito de pactos de no competencia contra un rival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cuentas negocian honorarios y pueden autoasegurarse; con tarifas a la baja (−5 % en el 3T26) compran más cobertura por la misma prima, pero la renovación sigue alta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aseguradoras dependen de los corredores para la distribución comercial; el «proveedor» crítico es el talento (56,5 % de los ingresos en personal en 9M26)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escala de datos y relaciones; los nuevos entran por capital privado comprando corredurías, no desde cero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y digital, ya clara en seguros personales; la IA podría extenderla a pymes; poco probable en grandes riesgos [23, 24].</w:t>
            </w:r>
          </w:p>
        </w:tc>
      </w:tr>
    </w:tbl>
    <w:p>
      <w:pPr>
        <w:spacing w:after="160" w:before="0"/>
      </w:pPr>
    </w:p>
    <w:p>
      <w:pPr>
        <w:pStyle w:val="Heading2"/>
      </w:pPr>
      <w:r>
        <w:t xml:space="preserve">Ciclo</w:t>
      </w:r>
    </w:p>
    <w:p>
      <w:pPr>
        <w:spacing w:after="100"/>
      </w:pPr>
      <w:r>
        <w:t xml:space="preserve">Las tarifas comerciales llevan nueve trimestres bajando: −6 % en el 2T26 en el índice de Marsh y −5 % en el 3T26 según su dirección (daños −10 %), por exceso de capacidad, beneficios altos de las aseguradoras y reaseguro más barato [22, 31]. La caída se modera algo, y el reaseguro de daños volverá a abaratarse en enero de 2027 (≈ −10 %) salvo grandes catástrofes en el segundo semestre [38, 39]. El crecimiento subyacente de Marsh pasó del 7 % de 2024 al 5 % de 9M26 [13]. En 2008-09 el sector sufrió por la caída de la actividad y las tarifas blandas (crecimiento cercano a cero); en 2020 apenas notó la pandemia y en 2022-23 el endurecimiento de tarifas lo aceleró.</w:t>
      </w:r>
    </w:p>
    <w:p>
      <w:pPr>
        <w:pStyle w:val="Heading2"/>
      </w:pPr>
      <w:r>
        <w:t xml:space="preserve">Regulación</w:t>
      </w:r>
    </w:p>
    <w:p>
      <w:pPr>
        <w:spacing w:after="100"/>
      </w:pPr>
      <w:r>
        <w:t xml:space="preserve">La correduría está regulada por los supervisores de seguros de cada país (estados de EE. UU., FCA en Reino Unido) y People and Investments por los de inversión (SEC, Departamento de Trabajo, banco central irlandés) [1]. Las comisiones contingentes y los ingresos de las aseguradoras siguen bajo vigilancia desde 2004; la FCA ha revisado la remuneración de los corredores mayoristas. Las sanciones internacionales y la normativa de IA y protección de datos añaden costes [1, 13]. El impuesto mínimo de la OCDE afecta al tipo efectivo [13].</w:t>
      </w:r>
    </w:p>
    <w:p>
      <w:pPr>
        <w:pStyle w:val="Heading2"/>
      </w:pPr>
      <w:r>
        <w:t xml:space="preserve">Tendencias y disrupción</w:t>
      </w:r>
    </w:p>
    <w:p>
      <w:pPr>
        <w:spacing w:after="100"/>
      </w:pPr>
      <w:r>
        <w:t xml:space="preserve">Tres cambios. La IA abarata el trabajo de colocación y de análisis (Marsh tiene 46.000 empleados formados en su academia de IA y una unidad central, Business Client Services, para automatizar; Thrive sube a 600 M de ahorro con unos 750 M de coste hasta 2028) [1, 14, 31], pero también abre la puerta a la venta directa en riesgos sencillos [23]. La consolidación sigue cara: el capital privado compra corredurías medianas a 14-22 veces el EBITDAC [1] y Aon paga 14,5 veces el EBITDA con sinergias por USI para ganar escala en el mercado medio de EE. UU. [32]. Y los mercados de capitales sustituyen parte del reaseguro (bonos catastróficos), lo que presiona a Reinsurance. Marsh gana con la escala y los datos en grandes cuentas y pierde algo en reaseguro.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correduría de seguros y reaseguros (≈6 % de un mercado de ≈276.500 M USD, con los 17.265 M de Risk &amp; Insurance Services en 2025); en consultoría de recursos humanos, People and Investments (antes Mercer) es de los tres primeros.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(corredor y reaseguro, consultoría de salud y patrimonio); 5 % orgánico en el 2T26 [33]; ingresos y margen de 2025 [25, 30]. Compra USI por 17.000 M (anunciada el 31-ago-2026) y suspende recompras para desapalancarse [32]. Publica el 3T26 el 28-oct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corredurías medianas; AssuredPartners por 13.450 M (2024-25) [27]. Correduría y gestión de riesgos +6 % orgánico en el 2T26 [35]. Ingresos y margen EBIT de 2025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Correduría (R&amp;B, +7 % orgánico en el 2T26) y consultoría de recursos humanos (HWC, +4 %); vendió Willis Re a Gallagher en 2021 [26, 34]. Cuota sobre sus ingresos totales, que incluyen consultoría. Publica el 3T26 el 29-oct [42]. Ingresos y margen EBIT de 2025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Corredor de pymes y mayorista; compró Accession por 9.825 M en 2025 [28]. Ingresos orgánicos −0,7 % en el 2T26 (+0,7 % con contingentes): el más castigado por las tarifas de daños [36]. Publica el 3T26 el 26-oct [41]. Ingresos y margen EBIT de 2025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Specialty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de riesgos especiales; 6,7 % orgánico en el 2T26 (7,1 % un año antes) [29, 37]. Ingresos y margen EBIT de 2025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USI (en compra por Aon)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Décimo corredor de EE. UU., unos 3.000 M de ingresos y 10.500 empleados; de KKR, pasa a Aon por 17.000 M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(capital privado); compradora agresiva en EE. UU.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primas colocadas dan más datos y más poder ante las aseguradoras (facilidades y programas propios); el reaseguro y los grandes riesgos exigen esa escala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seguro complejos y relaciones de años; renovaciones altas y crecimiento subyacente de Marsh Risk del 4-5 % durante nueve trimestres de tarifas a la baja [4, 12, 15,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150 años, licencias en 130 países y talento; 18 años seguidos de mejora del margen ajustado hasta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28,1 % en 9M26 (28,2 % en 9M25) y del 33,2 % en Risk &amp; Insurance Services, entre los más altos de los grandes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globales en grandes riesgos y reaseguro; un nuevo entrante no puede replicar la red en 130 países [1].</w:t>
            </w:r>
          </w:p>
        </w:tc>
      </w:tr>
    </w:tbl>
    <w:p>
      <w:pPr>
        <w:spacing w:after="160" w:before="0"/>
      </w:pPr>
    </w:p>
    <w:p>
      <w:pPr>
        <w:pStyle w:val="Heading2"/>
      </w:pPr>
      <w:r>
        <w:t xml:space="preserve">Amenazas</w:t>
      </w:r>
    </w:p>
    <w:p>
      <w:pPr>
        <w:spacing w:after="100"/>
      </w:pPr>
      <w:r>
        <w:t xml:space="preserve">La amenaza principal es que la IA reduzca el valor de la colocación en riesgos estandarizados (pymes y particulares) y empuje las comisiones a la baja; en grandes riesgos y reaseguro es menos probable en cinco años [23, 24]. La segunda es la escala de los rivales en el mercado medio de EE. UU. (Aon con NFP y USI, Gallagher con AssuredPartners) y la fuga de equipos, que ya acaba en pleitos [13, 32]. La tercera, un ciclo blando largo en daños y reaseguro: Reinsurance cae un 6 % en el 3T26 y el 1-ene-2027 traerá otra bajada [13, 39]. Probabilidad de erosión significativa del foso a cinco años: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8,4 %</w:t>
      </w:r>
      <w:r>
        <w:t xml:space="preserve">, EBITDA </w:t>
      </w:r>
      <w:r>
        <w:rPr>
          <w:b/>
          <w:bCs/>
        </w:rPr>
        <w:t xml:space="preserve">13,6 %</w:t>
      </w:r>
      <w:r>
        <w:t xml:space="preserve">, BPA </w:t>
      </w:r>
      <w:r>
        <w:rPr>
          <w:b/>
          <w:bCs/>
        </w:rPr>
        <w:t xml:space="preserve">16,3 %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16.652 M (2019) a 26.981 M (2025), un 8,4 % anual: unos 4-5 puntos son crecimiento subyacente y el resto compras (JLT en 2019, McGriff a finales de 2024, que aporta casi 10 puntos al crecimiento de Marsh Risk en 2025) [1, 4]. El crecimiento subyacente se frenó del 7 % de 2024 al 4 % de 2025 y ha repuntado al 5 % en los nueve meses de 2026 y en el 3T26, con la consultoría (+8 %) compensando a un reaseguro en caída (−6 %) [13]. El margen operativo publicado sube de 16,1 % en 2019 a 23,1 % en 2025 [7]. En los nueve meses de 2026 el resultado operativo baja un 3 % (4.868 M) pese a un +7 % de ingresos por 569 M de cargos de Greensill, netos de seguros; el ajustado sube un 7 % [13, 14]. El LTM a septiembre de 2026 (28.459 M de ingresos, 7.000 M de EBITDA) lleva esos 569 M y una plusvalía de 126 M por consolidar Deasterra, contabilizada como ingreso [13, 14]. El resultado financiero empeoró de −337 M a −684 M en 2025 por la deuda de McGriff (gasto por intereses de 700 M a 960 M) [1].</w:t>
      </w:r>
    </w:p>
    <w:p>
      <w:pPr>
        <w:pStyle w:val="Heading2"/>
      </w:pPr>
      <w:r>
        <w:t xml:space="preserve">Ajustes y partidas no recurrentes</w:t>
      </w:r>
    </w:p>
    <w:p>
      <w:pPr>
        <w:spacing w:after="100"/>
      </w:pPr>
      <w:r>
        <w:t xml:space="preserve">Se usan cifras publicadas (US GAAP). La empresa da un BPA ajustado que excluye la amortización de intangibles adquiridos (549 M en 2025; 417 M en 9M26) y las «partidas destacadas» (reestructuración, integración de McGriff, contraprestaciones contingentes y litigios): 9,75 USD en 2025 frente a 8,43 publicados, y 8,29 frente a 6,68 en 9M26 [7, 13]. Las partidas destacadas se repiten todos los años (Thrive, cuyo coste sube de 500 M a unos 750 M; integración de McGriff), así que no se tratan como no recurrentes [14]. Las excepciones son Greensill (569 M en 9M26: 425 M en el 1T26 y 144 M en el 3T26, ya cerrado) y la plusvalía de 126 M por revalorizar la participación previa en Deasterra (dentro de los ingresos del 3T26): en no_recurrentes_en_ebitda del LTM van 443 M netos (569 − 126) [13, 14]. Hasta 2021 el XBRL da la amortización total; desde 2022 se suma la de intangibles (338-549 M) a la de inmovilizado [1, 4]. Los dividendos por acción de 2019-2023 y los segmentos de 2021-2022 salen de los 10-K de 2021 y 2023 [2,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3T26 (15-oct-2026) batió el consenso: BPA ajustado de 2,03 USD (+10 %), 0,06 por encima de lo esperado, e ingresos de 6.863 M, 220 M por encima [11, 13]; en el 2T26 el margen había sido de 0,07 [11]. El BPA publicado (1,69) lleva 144 M más de Greensill y una plusvalía de 126 M por Deasterra [13]. En el 2T26 el mensaje había sido de «ejecución en un entorno dinámico», con un ahorro de Thrive de 400 M [10, 11]. Desde entonces cambian tres cosas. Primera, Greensill queda cerrado: tras los acuerdos con Greensill Bank (junio) y con los fondos de Credit Suisse (septiembre), la empresa «no espera más cargos» [14, 19]. Segunda, Thrive se amplía: ahorro de 600 M (antes 400 M) con un coste de unos 750 M (antes 500 M) [14, 19]. Tercera, el mensaje sobre el ciclo es más prudente: tarifas comerciales −5 % y daños −10 % en el trimestre, y Doyle espera que «estas condiciones sigan» en las renovaciones del 1 de enero [19]. Se mantienen la guía de 2026 (crecimiento subyacente parecido al de 2025, ampliación del margen y «sólido» crecimiento del BPA ajustado) y el despliegue de unos 5.500 M de capital en 2026 [19]. Los analistas preguntaron por la IA (márgenes, precios de la consultoría, exclusiones en pólizas), por el reaseguro (−6 %), por las comisiones de éxito adelantadas en consultoría y por el margen de 2026 por segmentos. La dirección no dio cifras de 2027 («I'm not going to speak to 2027») ni guía de margen por segmento [19]. Las cifras de cada trimestre salen de sus notas de resultados [5, 6, 7, 8, 13, 15,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(2019: Jardine Lloyd Thompson (JLT), consolidada desde el 1-abr-2019 (unos 5.600 M GBP de capital).; 2024: McGriff Insurance Services: compra de 7.750 M USD cerrada el 15-nov-2024; entra en el balance de 2024 y solo mes y medio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saltó de 13.463 M a 19.947 M en 2024 para pagar McGriff (8.170 M de bonos nuevos) y se ha mantenido: 20.533 M a 30-sep-26 (18.910 M de bonos e hipoteca y 1.623 M de pagarés), con una deuda neta de 18.691 M [1, 14]. En 2026 devolvió 600 M USD (marzo) y 550 M EUR (septiembre) y emitió 600 M al 4,95 % a 2036 [12]; los pagarés han financiado los 2.016 M de recompras de los nueve meses [14]. Los vencimientos son cómodos: 1.247 M en 2027 y 1.500 M en 2029; vida media estimada de unos 11,9 años (estimación propia: bonos ponderados por importe a mitad del año de vencimiento, con los pagarés a 0,1 años; la amortización anual de la hipoteca va en «2031+») [14]. Los 1.200 M EUR colocados el 20-oct alargan el plazo y probablemente sustituyen pagarés [18]. El circulante operativo es estacional: en 9M26 los cobros pendientes restaron 872 M (388 M en 9M25) y los bonus pagados 639 M [13]. El efectivo fiduciario (12.273 M) se excluye de la caja y de los pasivos de este informe.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23.908</w:t>
      </w:r>
      <w:r>
        <w:t xml:space="preserve">, conversión </w:t>
      </w:r>
      <w:r>
        <w:rPr>
          <w:b/>
          <w:bCs/>
        </w:rPr>
        <w:t xml:space="preserve">109 %</w:t>
      </w:r>
      <w:r>
        <w:t xml:space="preserve"> del beneficio neto; adquisiciones 16.477, dividendos 8.507, recompras 7.656.</w:t>
      </w:r>
    </w:p>
    <w:p>
      <w:pPr>
        <w:spacing w:after="100"/>
      </w:pPr>
      <w:r>
        <w:t xml:space="preserve">El flujo operativo pasa de 2.361 M (2019) a 5.292 M (2025), por encima del beneficio neto todos los años desde 2020 (1,25 veces en 2025) porque la amortización de intangibles (549 M) y los pagos en acciones (394 M) no son caja [1]. El capex es pequeño (291 M, 1,1 % de las ventas) y casi todo de mantenimiento (tecnología y oficinas); el arrendamiento de oficinas va dentro del flujo operativo (US GAAP) [1]. La inversión que hace crecer el negocio son las compras: 4.229 M en 2019 (JLT), 8.542 M en 2024 (McGriff) y 570-980 M el resto de años [1, 4]. En 9M26 el flujo operativo cae a 2.313 M desde 3.131 M: más cobros pendientes (−872 M frente a −388 M), 222 M de caja de reestructuración y, probablemente, parte del pago de Greensill (el 10-Q no lo cuantifica) [13, 14]. El FCF de los últimos doce meses baja así a unos 4.154 M (4.474 M de flujo operativo menos 320 M de capex) [13]. En el estado de flujos, el cambio de los pasivos fiduciarios va en financiación y no se toca aquí.</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US GAAP sin salvedades de Deloitte [1]. Cuatro asuntos que mirar. Primero, el beneficio ajustado de la empresa (9,75 USD de BPA en 2025; 8,29 en 9M26 frente a 6,68 publicados) excluye cada año «partidas destacadas» que se repiten: en 9M26 suman 821 M antes de impuestos, el 17 % del resultado operativo, aunque 569 M son Greensill [7, 13]. El coste de Thrive sube de 500 M a unos 750 M, así que la reestructuración seguirá en 2027 [14]. Segundo, la plusvalía de 126 M por revalorizar la participación previa en Deasterra entra en los ingresos del 3T26 y rebaja 2,8 puntos el tipo impositivo del trimestre: infla el BPA publicado del 3T26, no el ajustado [13, 14]. Tercero, la remuneración en acciones es de 394 M (9,5 % del beneficio neto), moderada para una firma de servicios profesionales [1]. Cuarto, el balance es casi todo fondo de comercio e intangibles (29.117 M frente a 14.910 M de patrimonio) por las compras; no ha habido deterioros relevantes de JLT ni de McGriff [1, 13]. El efectivo fiduciario se presenta en balance desde 2022 con un pasivo igual: se excluye de los ratios. La lectura de Altman, Piotroski y Beneish del motor se da en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«destacadas» recurrentes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Thrive (coste elevado a unos 750 M), integración de McGriff y contraprestaciones contingentes: 378 M en 9M26 sin contar Greensill ni Deasterra [13,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contable en ingresos (Deasterra)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 M en el 3T26 por revalorizar el 40 % que ya tenía al comprar el 60 % restante; la empresa la excluye del crecimiento subyacente y del BPA ajustado [13,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Greensill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569 M de cargos en 9M26 netos de seguros; cerrado con los acuerdos de junio y septiembre de 2026, sin más cargos esperados. Queda por saber cuánto se ha pagado ya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 en ingresos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403 M en 2025 (1,5 % de los ingresos, casi todo margen) y 273 M en 9M26 (−12 %), que bajan con los tipos [1, 13].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24.337 M en 2025 (el 75 % del capital invertido medio); ha subido más de un 5 % en 4 de 6 años: comprador en serie. ROIC publicado 15,0 %; sin fondo de comercio, 60,8 %.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24,0 % · </w:t>
      </w:r>
      <w:r>
        <w:rPr>
          <w:b/>
          <w:bCs/>
        </w:rPr>
        <w:t xml:space="preserve">WACC</w:t>
      </w:r>
      <w:r>
        <w:t xml:space="preserve">: 8,2 %.</w:t>
      </w:r>
    </w:p>
    <w:p>
      <w:pPr>
        <w:spacing w:after="100"/>
      </w:pPr>
      <w:r>
        <w:t xml:space="preserve">Marsh crea valor con holgura: el ROIC del motor es del 15,0 % en 2025 frente a un WACC del 8,17 %, unos 6,8 puntos por encima, y ha estado entre el 15,0 % y el 18,4 % desde 2021 [1]. Lo que lo mueve es el margen (la rotación del capital es de 0,58 veces): el margen operativo pasó del 16,1 % al 23,1 % entre 2019 y 2025. El capital invertido es casi todo fondo de comercio de compras, así que el ROIC cae cada vez que compra caro: bajó del 18,4 % (2023) al 15,0 % (2025) por McGriff, comprada a unas 21 veces el EBITDAC [56]. Frente a los rivales (estimación propia con EBIT y capital invertido de Yahoo de 2025): Aon 17,9 %, WTW 13,0 %, Ryan 9,4 %, Brown &amp; Brown 6,5 % y Gallagher 5,6 %; Marsh es la segunda más rentable [55].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1.842 M a 30-sep-26 (2.687 M al cierre de 2025), de la que unos 1.700 M están en filiales extranjeras y 572 M son fondos regulatorios o de garantía [13, 14]. Línea de crédito comprometida de 4.250 M hasta junio de 2031, sin disponer, y programa de pagarés de 4.250 M con 1.623 M emitidos al 4,13 % [14]. Después del cierre, el 20-oct-2026 colocó 1.200 M EUR en bonos (600 M al 4,250 % a 2032 y 600 M al 4,625 % a 2036), que se liquidan el 27-oct [18]. No incluye 12.273 M de efectivo fiduciario, que pertenece a clientes y aseguradoras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A3 (estable), Fitch A- (estable); corto plazo A-2/P-2/F-2 [14,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activos de pensiones de 2.301 M frente a pasivos de 693 M a 30-sep-26, un superávit neto de unos 1.608 M que genera «otros créditos netos por pensiones» (148 M en 9M26) fuera del resultado operativo; en el Reino Unido no habrá aportaciones por déficit hasta 2029 como pronto [13, 14]. Greensill: cargo de 569 M en 9M26 neto de seguros (425 M en el 1T26 y 144 M en el 3T26); los acuerdos con Greensill Bank y con los fondos de Credit Suisse cierran el caso y la empresa no espera más cargos, pero el 10-Q no dice cuánto queda por pagar del pasivo registrado [14]. Pasivo por errores y omisiones de 281 M [13]. Pagos contingentes de compras de 248 M y aplazados de 85 M [14]. Arrendamientos operativos de 1.799 M (US GAAP: su coste ya está en el EBITDA, no van al puente) [13]. Avales y cartas de crédito de 141 M [14].</w:t>
      </w:r>
    </w:p>
    <w:p>
      <w:pPr>
        <w:pStyle w:val="Heading1"/>
      </w:pPr>
      <w:r>
        <w:t xml:space="preserve">12. Asignación de capital</w:t>
      </w:r>
    </w:p>
    <w:p>
      <w:pPr>
        <w:pStyle w:val="Confianza"/>
        <w:spacing w:after="100"/>
      </w:pPr>
      <w:r>
        <w:t xml:space="preserve">Confianza: Alta</w:t>
      </w:r>
    </w:p>
    <w:p>
      <w:pPr>
        <w:spacing w:after="100"/>
      </w:pPr>
      <w:r>
        <w:t xml:space="preserve">Prioridades declaradas: dividendo creciente (subido un 10 % en julio de 2026 a 0,99 USD trimestrales; 3,78 USD declarados en 9M26 frente a 3,43), compras de corredurías y consultoras, y recompras con el resto [1, 14]. En 2025 recompró 10,1 millones de acciones por 2.012 M y en 9M26 otros 11,4 millones por unos 2.000 M (500 M en el 3T26), financiados en parte con pagarés; le quedan 3.700 M de la autorización de 6.000 M de noviembre de 2025 [7, 13, 14]. Para 2026 prevé desplegar unos 5.500 M de capital, y las recompras dependerán de las compras que salgan [19]. Mantiene el rating A-/A3 como límite al endeudamiento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Jardine Lloyd Thompson (JLT), corredor británico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costes de integración elevaron los gastos de 2019-2020;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McGriff Insurance Services (EE. UU., mediana empresa)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8.170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completada en 2025 según la empresa; aporta unos 1.280 M de ingresos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entre ellas AltamarCAM (España), TriBridge Partners y el 60 % restante de Deasterra Partners (corredor español)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Recientes; Deasterra deja una plusvalía contable de 126 M por la participación previa [9, 14].</w:t>
            </w:r>
          </w:p>
        </w:tc>
      </w:tr>
    </w:tbl>
    <w:p>
      <w:pPr>
        <w:spacing w:after="160" w:before="0"/>
      </w:pPr>
    </w:p>
    <w:p>
      <w:pPr>
        <w:spacing w:after="100"/>
      </w:pPr>
      <w:r>
        <w:t xml:space="preserve">Desde 2019 ha dedicado unos 16.400 M a compras, 8.900 M a dividendos y 7.650 M a recompras [4]. Las dos grandes (JLT y McGriff) se pagaron caras (21 veces el EBITDAC en McGriff, según una nota de analistas) y llevan el fondo de comercio a más de 24.000 M, lo que limita el ROIC sobre el capital total; pero el ROIC operativo sigue muy por encima del coste de capital y la dilución es negativa: las acciones diluidas bajan de 511 M (2019) a 479 M (3T26) [1, 13]. En 2026 la mezcla se inclina a las recompras (unos 2.000 M en nueve meses frente a 263 M en compras), pagadas en parte con pagarés: es razonable con la acción en mínimos de múltiplo, pero eleva la deuda neta. El veredicto: buena asignadora, aunque el retorno incremental de McGriff aún no se ha probado y la ampliación de Thrive (250 M más de coste) tendrá que demostrar los 600 M de ahorro [14, 19].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Q. Doyle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2016 desde AIG (presidente de seguros generales); dirigió Marsh y fue director de operaciones del grupo en 2021-22. Como consejero delegado: ingresos de 22.736 M (2023) a 26.981 M (2025), compra e integración de McGriff y programa Thrive, cuyo objetivo de ahorro subió en octubre de 2026 de 400 a 600 M; en el 3T26, crecimiento subyacente del 5 % y BPA ajustado +10 % [7, 13, 43,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C. McGivney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desde abril de 2026,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(Mercer, Marsh); director financiero desde 2016. Desde el 15-abr-2026 es además director de operaciones (firma el 10-Q del 3T26 como EVP, COO y CFO) y dirige la estrategia de compras y la ejecución de prioridades [14,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Nick Studer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Marsh Risk</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30 años en Oliver Wyman, que dirigió cinco años con fuerte crecimiento; sustituye a Martin South en Marsh Risk desde el 1-abr-2026 [48]. En su segundo trimestre completo, Risk creció un 5 % subyacente (4 % en los nueve meses)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South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clientes (Chief Client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Marsh Risk; ahora coordina clientes entre negocios y la aplicación de la IA a la experiencia del cliente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 Edward Hanway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CIGNA; consejero desde 2010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medio de un dígito, expansión del margen ajustado y crecimiento sólido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4 %, margen ajustado al alza (18.º año), BPA ajustado +9 % a 9,75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subyacente parecido al de 2025 (4 %), más margen ajustado y BPA ajustado sólido; Thrive: 400 M de ahorro (subido a 600 M en oct-2026, con 750 M de costes y casi todo hecho a finales de 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en curso: subyacente 5 % en los nueve meses (5 % en el 3T26) y BPA ajustado de 8,29 USD (+9 %); la dirección reitera la guía en octubre [13,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el consejero delegado lleva tres años, el director financiero diez, y los relevos de 2026 (Studer a Marsh Risk, South a clientes, McGivney a director de operaciones) son internos y ordenados [47, 48]. No ha habido cambios en la cúpula desde el 14-oct: ningún 8-K de nombramientos y la conferencia del 3T26 la dieron los mismos directivos [49]. La dirección ha cumplido de forma sistemática su promesa de mejorar el margen ajustado (18 años) [7] y en octubre subió el objetivo de ahorro de Thrive de 400 a 600 M, a cambio de unos 750 M de costes hasta 2028 [49, 50]: más margen, pero con cargos que el BPA ajustado excluye. El punto débil sigue siendo el crecimiento: el subyacente pasó del 7 % al 4-5 % y la guía de 2026 es poco exigente. Sucesión: McGivney gana peso como número dos.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Edward Hanway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Q. Doyle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K. Anderson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Broussard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Hartmann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C. Hopkins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Tamara Ingram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empresarial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H. Lute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A. Mills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Morton O. Schapiro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Siegmund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M. Yates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Finanzas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18,56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ene-2024)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en conjunto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75,8 millones de acciones a 31-dic-2025 (69,2 un año 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Q. Doyle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Lloyd M. Yates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Jude Jones (marketing)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South (clientes)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Nick Studer (Marsh Risk)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25,05 M USD en 2025 (22,81 M en 2024): 1,5 M de fijo, 5,55 M de bonus anual y 17,58 M en acciones y opciones, 329 veces el empleado mediano (76.092 USD) [43]. El variable a largo plazo son opciones y unidades de acciones por rendimiento (PSU) que dependen del crecimiento del BPA ajustado a tres años y del TSR relativo frente al S&amp;P 500: las PSU de 2023 pagaron el 200 % por BPA (12,7 % anual frente al 8 % objetivo) pese a un TSR en el percentil 38 [43]. Premia el BPA ajustado, que excluye la amortización de compras: incentiva comprar. Hay cláusula de recuperación y obligación de mantener acciones (seis veces el sueldo) [43]. Voto consultivo: 88,0 % a favor en 2026 y 90,6 % en 2025 [44, 45].</w:t>
      </w:r>
    </w:p>
    <w:p>
      <w:pPr>
        <w:pStyle w:val="Heading2"/>
      </w:pPr>
      <w:r>
        <w:t xml:space="preserve">Operaciones vinculadas, estructura de control y defensas</w:t>
      </w:r>
    </w:p>
    <w:p>
      <w:pPr>
        <w:spacing w:after="100"/>
      </w:pPr>
      <w:r>
        <w:t xml:space="preserve">Capital disperso sin accionista de control: Vanguard (9,0 %) y BlackRock (8,4 %) son los mayores [43]. Una acción, un voto; consejo de 13 con 12 independientes, presidente independiente separado del consejero delegado y elección anual de todos los consejeros [43, 44]. No hay operaciones vinculadas relevantes ni blindajes conocidos. Las ventas de directivos de los últimos 12 meses suman 18,9 M USD (12,9 M con planes 10b5-1, casi todas del consejero delegado tras ejercer opciones) y no hay compras en mercado; tras los resultados del 3T26 no se ha presentado ningún Form 4 [46]. Dos consejeros con más de 15 años (Schapiro desde 2002, Hanway desde 2010) recibieron los mayores votos en contra (7,6 % y 5,5 %) [44].</w:t>
      </w:r>
    </w:p>
    <w:p>
      <w:pPr>
        <w:pStyle w:val="Heading2"/>
      </w:pPr>
      <w:r>
        <w:t xml:space="preserve">Señales de alerta</w:t>
      </w:r>
    </w:p>
    <w:p>
      <w:pPr>
        <w:pStyle w:val="ListParagraph"/>
        <w:numPr>
          <w:ilvl w:val="0"/>
          <w:numId w:val="2"/>
        </w:numPr>
        <w:spacing w:after="60"/>
      </w:pPr>
      <w:r>
        <w:t xml:space="preserve">Ventas de directivos por 18,9 M USD en 12 meses (12,9 M con planes 10b5-1) y ninguna compra en mercado; sin Form 4 nuevos entre el 14 y el 21-oct-2026 y sin planes 10b5-1 adoptados ni cancelados por directivos en el 3T26 [14, 46].</w:t>
      </w:r>
    </w:p>
    <w:p>
      <w:pPr>
        <w:pStyle w:val="ListParagraph"/>
        <w:numPr>
          <w:ilvl w:val="0"/>
          <w:numId w:val="2"/>
        </w:numPr>
        <w:spacing w:after="60"/>
      </w:pPr>
      <w:r>
        <w:t xml:space="preserve">Greensill cerrado con coste: acuerdos con Greensill Bank (jun-2026) y con los fondos de Credit Suisse (sep-2026), cargo de 569 M USD neto de seguros en nueve meses (144 M en el 3T26); la empresa da por terminada su implicación y no espera más cargos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el 3T26 (15-oct-2026) la dirección mantiene la guía de 2026: crecimiento subyacente de los ingresos parecido al de 2025 (4 %), ampliación del margen ajustado del grupo y un buen crecimiento del BPA ajustado [64]. En nueve meses el subyacente va en el 5 % y el BPA ajustado sube un 9 %, hasta 8,29 USD [13]. Según el resumen de la conferencia, el objetivo de ahorro anual del programa Thrive sube de 400 a 600 M y la empresa sigue esperando unos 5.500 M de despliegue de capital en 2026 (compras, dividendos y recompras); lo llevamos como dato de prensa porque no está en la nota oficial [64]. No da guía numérica de BPA. Los resultados del 4T26 no tienen fecha; por el calendario de 2025 y 2026, hacia finales de enero de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(BPA publicado; EBITDA y EBIT ajustados)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 – 228,00</w:t>
            </w:r>
          </w:p>
        </w:tc>
      </w:tr>
    </w:tbl>
    <w:p>
      <w:pPr>
        <w:spacing w:after="160" w:before="0"/>
      </w:pPr>
    </w:p>
    <w:p>
      <w:pPr>
        <w:pStyle w:val="Heading2"/>
      </w:pPr>
      <w:r>
        <w:t xml:space="preserve">Revisiones de estimaciones</w:t>
      </w:r>
    </w:p>
    <w:p>
      <w:pPr>
        <w:spacing w:after="100"/>
      </w:pPr>
      <w:r>
        <w:t xml:space="preserve">Los resultados del 3T26 (BPA ajustado de 2,03 USD frente a 1,97 esperado e ingresos de 6.863 M frente a 6.640 M) dieron la vuelta a los objetivos [13, 53]. Del 5 al 12 de octubre recortaron Morgan Stanley (200 a 180), KBW (202 a 186), Wells Fargo (188 a 183), BofA (182 a 177) y Evercore (234 a 224); del 15 al 20 subieron Cantor (218 a 228), BMO (179 a 204), Mizuho (190 a 200), KBW (186 a 201), Jefferies (188 a 194), Goldman (197 a 199) y JPMorgan (215 a 218) [53, 54]. El objetivo medio pasa de 202,67 a 205,38 USD [53]. El BPA publicado de MarketScreener sube poco en 2026-2027 (8,60 a 8,62 y 10,08 a 10,21) y mucho en 2028 (11,19 a 12,17, sin explicación en la página) [52]. El ajustado de Stock Analysis para 2026 es 10,48 USD (14 analistas) [54]. Solo MarketScreener da estimaciones completas; objetivo y recomendaciones se contrastan con Stock Analysis (204,52 de media, mismo rango 180-228) [53,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En un año la acción sube un 1,2 % frente al 14,5 % del S&amp;P 500 y del ETF de seguros (IAK); en lo que va de año, +3,1 % frente a +12,7 % y +7,7 % [51]. El retraso viene del ciclo blando de tarifas y de tres golpes: −8,5 % el 16-oct-2025 con el 3T25, −7,5 % el 9-feb-2026 con el miedo a la IA en los corredores y el −12,5 % de septiembre, cuando todo el sector cayó tras la compra de USI por Aon [32, 51, 66]. Desde el mínimo del 3-jun-2026 (156,60) sube un 22 %, y el 3T26 (+4,6 % el 15-oct) la deja a un 3 % del máximo de 52 semanas [13, 51]. A diez años, +11,4 % anual, por encima del sector y por debajo del índice. Beta mensual de 5 años de 0,56 (0,71 ajustada), volatilidad del 25,3 % y caída máxima del −34,4 % entre abril de 2025 y junio de 2026 [51]. Posición corta del 1,34 % de las acciones, 2,3 días de volumen [65].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 +8,7 % / +6,8 % / +0,9 %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 +21,6 %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 (día 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todos los corredores (−9 % de media ese día) por el miedo a que la IA desintermedie la colocación de seguros de pymes y particulares; no hubo noticia propia de Marsh [51]. La tesis ya recoge el riesgo de la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29-jun a 29-jul-2026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todo el sector desde los mínimos de junio: en el mismo mes AJG +18,4 %, WTW +19,4 %, BRO +17,1 % y Aon +15,1 % [51, 66]. Los resultados del 2T26 (21-jul) restaron un 3,1 % al día siguiente; la subida de la semana del 27-jul (+7,8 % en dos sesiones) coincide con la de los demás corredores, sin noticia propia [51, 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24-ago a 23-sep-2026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todo el sector: Aon −21,6 % tras anunciar el 31-ago la compra de USI por 17.000 M con deuda, BRO −17,3 %, AJG −15,6 % y WTW −14,8 % en el mismo mes [32, 63, 66]. Marsh cayó menos que sus rivales y sin noticia propia; el acuerdo de Greensill con Credit Suisse de septiembre cerró el litigio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22-sep a 20-oct-2026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mejores de lo esperado (subyacente del 5 %, BPA ajustado +10 %): +4,6 % el 15-oct, con todo el sector al alza ese día (AJG +5,5 %, BRO +4,9 %, WTW +4,5 %, Aon +4,2 %) y siete subidas de objetivo en cinco días [13, 53, 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ingresos de 6.863 M (+8 %; subyacente +5 %: Risk +5 %, reaseguro −6 %, consultoría +8 %), BPA de 1,69 USD y ajustado de 2,03 (+10 %). Incluyen 126 M de plusvalía contable por consolidar Deasterra y 144 M de cargo por Greensill [13,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suben el objetivo Cantor (228), BMO (204), Mizuho (200), KBW (201), Jefferies (194), Goldman (199) y JPMorgan (218); la semana anterior lo habían recortado Morgan Stanley (180), KBW (186), Wells Fargo (183), BofA (177, infraponderar) y Evercore (224) [53,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10-Q informa del acuerdo de septiembre con los fondos de Credit Suisse en el litigio de Greensill en Australia (el de Greensill Bank se cerró en junio): cargo de 569 M en nueve meses, neto del seguro, y la empresa dice que termina su participación y no espera más cargos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 compra USI (unos 3.000 M de ingresos) por 17.000 M, 14,5 veces el EBITDA con sinergias: refuerza al rival en la mediana empresa de EE. UU., donde Marsh compró McGriff en 2024 [32,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10,9 M USD desde abril (19 operaciones, ninguna compra): 5,8 M del consejero delegado con plan 10b5-1 y el resto de cinco directivos y un consejero; menos del 0,02 % del capital y sin un vendedor en serie sin motivo [67].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de bonos por 1.200 M EUR (600 M al 4,25 % a 2032 y 600 M al 4,625 % a 2036), rating A3/A-/A-, para fines generales; se liquida el 27-oct. No es capital ni convertible: deuda que sustituye al papel comercial (1.623 M a 30-sep) y al bono de 550 M EUR devuelto en septiembre [13, 14,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10,7 % en un mes y está en tendencia alcista (8,2 % sobre la media de 200 sesiones), a un 3,2 % del máximo de 52 semanas, sin avisos P1-P5 [51]. Los tres movimientos fuertes de 2026 son del sector entero, no de Marsh: rebote de julio, caída de septiembre tras la compra de USI por Aon y subida con los resultados del 3T26. No hay hechos pendientes que puedan mover el precio más de un 5 %: el litigio de Greensill queda cerrado, la emisión de bonos es deuda ordinaria y no hay colocaciones ni ofertas. Los resultados ya publicados no retrasan nada. Veredicto: no cambia. Buscado en EDGAR (8-K, 10-Q, FWP, Form 4), MarketScreener, Stock Analysis y prensa sectorial.</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Marsh cotiza a 18,8 veces nuestro BPA de 2027e (10,17 USD), por debajo de toda su historia reciente: entre 2020 y 2025 el precio de cierre de cada año fue de 19 a 29 veces el BPA real del año siguiente (mediana de cinco años de 23,2x) [4, 51]. El descuento tiene causas reales: el crecimiento subyacente bajó del 7 % al 4-5 %, las tarifas comerciales llevan nueve trimestres a la baja (−5 % en el 3T26) y el bono a 10 años está en el 5,12 %, frente al 1-4 % en que se formó la historia [B, D]. Lo estructural es el miedo a la IA en la intermediación desde febrero de 2026 [23]. Excluimos los cierres de 2018 y 2019 (BPA deprimido por la compra de JLT).</w:t>
      </w:r>
    </w:p>
    <w:p>
      <w:pPr>
        <w:pStyle w:val="Heading1"/>
      </w:pPr>
      <w:r>
        <w:t xml:space="preserve">18. Comparables cotizados</w:t>
      </w:r>
    </w:p>
    <w:p>
      <w:pPr>
        <w:pStyle w:val="Confianza"/>
        <w:spacing w:after="100"/>
      </w:pPr>
      <w:r>
        <w:t xml:space="preserve">Confianza: Media</w:t>
      </w:r>
    </w:p>
    <w:p>
      <w:pPr>
        <w:spacing w:after="100"/>
      </w:pPr>
      <w:r>
        <w:t xml:space="preserve">Los cinco corredores cotizados de EE. UU. y Europa con negocio comparable: Aon y WTW (globales con consultoría de recursos humanos, los más parecidos), Gallagher y Brown &amp; Brown (corredores de mediana empresa y compradores en serie) y Ryan Specialty (mayorista). Fuera: Baldwin (pérdidas), Hub, Acrisure y USI (privadas) y las consultoras puras. Estimaciones de MarketScreener (base publicada) del 14-oct, llevadas al cierre del 20-oct-2026 con la variación de precio de Yahoo (+7 % a +13 %: el sector subió con los resultados de Marsh) y la deuda neta sin cambios; en Aon se ha comprobado el 20-oct que el BPA 2026-2027 no ha cambiado. El EBITDA de MarketScreener es ajustado, así que sus EV/EBITDA son algo más bajos que el de Marsh con cifras publicadas: el PER es la referencia [25, 26, 27, 28, 29, 55,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Ryan Specialty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11,9x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14,4x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19,9x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4,6x / 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10,1 + 0,18 × crecimiento; R² = 0,40. Para el crecimiento esperado de la empresa (4,6 %), el múltiplo ajustado es 10,9x y el valor por acción, 142,91.</w:t>
      </w:r>
    </w:p>
    <w:p>
      <w:pPr>
        <w:spacing w:after="100"/>
      </w:pPr>
      <w:r>
        <w:t xml:space="preserve">Tras subir un 7-13 % todo el sector en octubre, Marsh cotiza a 19,3 veces el beneficio de los próximos 12 meses, cerca de la mediana de los corredores (19,9x; Gallagher y Ryan con prima por crecimiento comprado) [D]. Frente a Aon, su par más parecido, cotiza parecido con un ROIC algo menor (15,0 % frente a 17,9 %). El EV/EBITDA da menos (159,60) porque el EBITDA de los comparables es el ajustado y el de Marsh el publicado; el PER (197,03) es más justo. La compra de USI por Aon (17.000 M, ago-2026, unas 14,5 veces el EBITDA con sinergias) muestra a qué precio cambian de manos los corredores grandes [D].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USI Insurance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17.000 M (16.700 M netos de 278 M de créditos fiscales); 14,5 veces el EBITDA ajustado de 12 meses CON sinergias de 395 M (sin ellas, estimación propia ≈ 22 veces); ingresos de unos 3.000 M; cierre previsto en el 4T26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AssuredPartners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Arthur J. Gallagher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EBITDAC pro forma; 11,3 veces neto del crédito fiscal y sinergias [56,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McGriff Insurance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McLennan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EBITDAC según una nota de Wells Fargo citada por la prensa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EBITDAC según la misma nota; incluye deuda asumida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Accession (Risk Strategies)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630 M de EBITDA ajustado de 2024 y 1.700 M de ingresos pro forma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(14,5x – 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186,51 – 287,62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grandes corredurías privadas se han pagado a 14-22 veces el EBITDAC en 2023-2026, muy por encima de las compras pequeñas (10-11 veces según los analistas) [56]. La última, USI por Aon (agosto de 2026), a 14,5 veces con sinergias y en torno a 22 sin ellas, y el mercado la castigó (Aon −6 % el día del anuncio) [32, 63]. Es valor de control: el capital privado y los cuatro grandes compiten por las mismas plataformas de mediana empresa. Marsh, con unos 91.500 M de capitalización, no es objetivo plausible de una operación; las transacciones sirven de techo para lo que vale la correduría, no de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28.789 M en 2026e (+6,7 %): 21.864 M en nueve meses (+7,3 %, subyacente del 5 %) y un 4T parecido al de 2025 con algo de divisa y compras [A, D]; el consenso espera 28.719 M [52]. Después, 5 % en 2027-2028 y bajada al 3 % en 2032: 3-4 puntos de crecimiento subyacente con tarifas a la baja y ~1 punto de compras pequeñas [A1, B]. Coincide con el consenso de 2027 (+4,9 %) [52].</w:t>
      </w:r>
    </w:p>
    <w:p>
      <w:pPr>
        <w:keepNext/>
        <w:spacing w:after="100"/>
      </w:pPr>
      <w:r>
        <w:rPr>
          <w:b/>
          <w:bCs/>
        </w:rPr>
        <w:t xml:space="preserve">Márgenes.</w:t>
      </w:r>
    </w:p>
    <w:p>
      <w:pPr>
        <w:spacing w:after="100"/>
      </w:pPr>
      <w:r>
        <w:t xml:space="preserve">Margen EBITDA publicado del 26,4 % en 2025. 2026e en el 27,0 % sin el cargo de Greensill (al puente): el margen ajustado va plano (28,1 % en nueve meses frente a 28,2 %) y Thrive sube el ahorro previsto de 400 a 600 M hasta 2028, con unos 750 M de costes [A, C]. Sube 0,4-0,6 puntos al año hasta el 29,0 % en 2031.</w:t>
      </w:r>
    </w:p>
    <w:p>
      <w:pPr>
        <w:keepNext/>
        <w:spacing w:after="100"/>
      </w:pPr>
      <w:r>
        <w:rPr>
          <w:b/>
          <w:bCs/>
        </w:rPr>
        <w:t xml:space="preserve">Inversión y circulante.</w:t>
      </w:r>
    </w:p>
    <w:p>
      <w:pPr>
        <w:spacing w:after="100"/>
      </w:pPr>
      <w:r>
        <w:t xml:space="preserve">Capex propio del 1,1 % de las ventas más ~2,5 % para compras de corredurías, en total el 3,6 % [1, 4]. Amortización del 3,4 %: 1,3 % de inmovilizado y 2,0 % de intangibles comprados [1]. Circulante del 14,9 % de las ventas. Tipo impositivo del 24,5 %.</w:t>
      </w:r>
    </w:p>
    <w:p>
      <w:pPr>
        <w:keepNext/>
        <w:spacing w:after="100"/>
      </w:pPr>
      <w:r>
        <w:rPr>
          <w:b/>
          <w:bCs/>
        </w:rPr>
        <w:t xml:space="preserve">Coste del capital.</w:t>
      </w:r>
    </w:p>
    <w:p>
      <w:pPr>
        <w:spacing w:after="100"/>
      </w:pPr>
      <w:r>
        <w:t xml:space="preserve">Tasa libre del 5,12 % (bono a 10 años del Tesoro del 20-oct-2026) [D]. Beta 0,75: la mensual de cinco años es 0,56 y la ajustada 0,75; usamos la ajustada porque la mensual sale baja para un negocio ligado al ciclo del seguro [51]. Prima de mercado del 5,5 %. Coste de la deuda del 5,0 % antes de impuestos. Peso de la deuda del 19,6 %. Resultado: WACC del 8,17 %.</w:t>
      </w:r>
    </w:p>
    <w:p>
      <w:pPr>
        <w:keepNext/>
        <w:spacing w:after="100"/>
      </w:pPr>
      <w:r>
        <w:rPr>
          <w:b/>
          <w:bCs/>
        </w:rPr>
        <w:t xml:space="preserve">Valor terminal.</w:t>
      </w:r>
    </w:p>
    <w:p>
      <w:pPr>
        <w:spacing w:after="100"/>
      </w:pPr>
      <w:r>
        <w:t xml:space="preserve">Media de Gordon con un crecimiento del 3,0 % y un múltiplo de salida de 14 veces el EBITDA, en la zona de las transacciones pequeñas (10-11x EBITDAC) y por debajo de las grandes (14-22x; USI, 14,5x con sinergias) [D11, 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(reinvierte el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 (histórico: 24,0 %)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al 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1.923 M, el 4 % del NOPAT, con un capex bruto medio del 3,6 %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(clientes nuevos y exposición asegurada; Marsh Risk +5 % subyacente en el 3T26), precio 1,5 % (las tarifas caen un 5 %, pero consultoría crece un 8 % con honorarios al alza) y otros 1,7 % (divisa y compras como Deasterra) [A, B].</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del 4 % repartido entre volumen y precio, y 1 punto de compras pequeñas pagadas en el capex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supone que las tarifas dejan de restar.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volumen: el mercado madura y la IA abarata la colocación de riesgos sencillos.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terminal.</w:t>
            </w:r>
          </w:p>
        </w:tc>
      </w:tr>
    </w:tbl>
    <w:p>
      <w:pPr>
        <w:spacing w:after="160" w:before="0"/>
      </w:pPr>
    </w:p>
    <w:p>
      <w:pPr>
        <w:spacing w:after="100"/>
      </w:pPr>
      <w:r>
        <w:t xml:space="preserve">Sí. El crecimiento proyectado (4,4 % anual) está por debajo del que la empresa ha logrado en los últimos cinco años (subyacente del 4-10 % y 8,4 % anual con compras) y no exige capital: la reinversión acumulada es solo el 4 % del NOPAT, por debajo del 15 % que el motor necesita para hacer la prueba, así que la hacemos a mano. El crecimiento comprado (~1 punto al año) se paga en el capex: 2,5 % de las ventas en compras a unas 10-11 veces el EBITDAC, unos 3 veces las ventas, compran ~0,8 puntos de crecimiento [56]. Cuota: con el mercado de corredores al 9,1 % anual según Global Market Insights, la cuota de Risk &amp; Insurance Services (≈6 %) bajaría; incluso con un mercado al 4 %, se mantiene [20]. El foso (renovaciones, escala en grandes riesgos y reaseguro) y el ROIC 6,8 puntos por encima del WACC sostienen ese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8,2 %)</w:t>
            </w:r>
          </w:p>
        </w:tc>
      </w:tr>
    </w:tbl>
    <w:p>
      <w:pPr>
        <w:spacing w:after="160" w:before="0"/>
      </w:pPr>
    </w:p>
    <w:p>
      <w:pPr>
        <w:spacing w:after="100"/>
      </w:pPr>
      <w:r>
        <w:t xml:space="preserve">El DCF da 206,23 USD por acción, un 7,8 % por encima del precio, con un 75 % del valor en el terminal. Al precio de 191,26 el mercado descuenta un crecimiento de las ventas del 2,8 % anual en 2027-2032 (nuestro base, 4,2 %) o un margen EBITDA final del 27,4 % frente al 29,0 % que proyectamos: supone menos mejora de la que la empresa ha dado en 18 años. La rentabilidad implícita es del 8,7 % frente a un WACC del 8,17 %. Con la prima de riesgo que hoy pide el mercado (4,2 %) el DCF sube a 232,50. Medio punto de WACC o de crecimiento terminal mueve el valor entre 186,01 y 234,67.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tarifas siguen cayendo dos años más (el reaseguro, −10 % o más en enero de 2027), la IA lleva a los clientes medianos a cotizar directo y las aseguradoras presionan las comisiones: el crecimiento subyacente baja al 2 % (como en 2009-2010) y el margen pierde 1,5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5 % en 2027-2028 (4 % subyacente más compras pequeñas), margen EBITDA que sube hasta el 29 % con los ahorros de Thrive y dividendo creciente.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año de grandes catástrofes endurece las tarifas en 2027, la IA rebaja costes más que ingresos y el subyacente vuelve al 6-7 % de 2022-2024, con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91,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199,88 USD (+4,5 %).</w:t>
      </w:r>
    </w:p>
    <w:p>
      <w:pPr>
        <w:spacing w:after="100"/>
      </w:pPr>
      <w:r>
        <w:t xml:space="preserve">El bajista vale 137,63 USD (−28,0 %) y el alcista 249,44 (+30,4 %): la asimetría es casi neutra. El bajista replica un subyacente del 2 % y un margen que retrocede al nivel de 2024, más un WACC medio punto mayor y un múltiplo de salida de 11 veces. El alcista exige un ciclo de tarifas duro, que no controla la empresa. Con probabilidades de 25/50/25 el valor ponderado es de 199,88.</w:t>
      </w:r>
    </w:p>
    <w:p>
      <w:pPr>
        <w:pStyle w:val="Heading1"/>
      </w:pPr>
      <w:r>
        <w:t xml:space="preserve">22. Suma de partes</w:t>
      </w:r>
    </w:p>
    <w:p>
      <w:pPr>
        <w:pStyle w:val="Confianza"/>
        <w:spacing w:after="100"/>
      </w:pPr>
      <w:r>
        <w:t xml:space="preserve">Confianza: Media</w:t>
      </w:r>
    </w:p>
    <w:p>
      <w:pPr>
        <w:spacing w:after="100"/>
      </w:pPr>
      <w:r>
        <w:t xml:space="preserve">No se usa: los dos segmentos (correduría y consultoría) comparten clientes y marca, y la consultoría (36 % de los ingresos, 29 % del resultado de los segmentos) no tiene comparables cotizados puros con cifras homogéneas; el DCF y los comparables de corredores ya recogen la mezcla.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91,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197,03 USD (+3,0 % sobre 191,26).</w:t>
      </w:r>
    </w:p>
    <w:p>
      <w:pPr>
        <w:spacing w:after="100"/>
      </w:pPr>
      <w:r>
        <w:t xml:space="preserve">Pesos: DCF 40 %, escenarios 35 % y comparables 25 %; las transacciones (mediana 203,62) no se usan porque llevan prima de control. Los comparables por EV/EBITDA dan menos (159,60) por la diferencia entre EBITDA publicado y ajustado; el PER (197,03) es más justo. El valor objetivo es de 197,03 USD (+3,0 %); con la prima del mercado, 216,17. Greensill ya no es un riesgo abierto: los acuerdos de junio y septiembre lo cierran y el cargo total (569 M) va al puente.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 1.1 (tope: la mediana de 5 años, 23.2x,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bl>
    <w:p>
      <w:pPr>
        <w:spacing w:after="160" w:before="0"/>
      </w:pPr>
    </w:p>
    <w:p>
      <w:pPr>
        <w:spacing w:after="100"/>
      </w:pPr>
      <w:r>
        <w:rPr>
          <w:b/>
          <w:bCs/>
        </w:rPr>
        <w:t xml:space="preserve">Objetivo a 12 meses (ponderado):</w:t>
      </w:r>
      <w:r>
        <w:t xml:space="preserve"> 223,55 USD · rentabilidad +18,9 % (base +20,9 %) · señal Comprar.</w:t>
      </w:r>
    </w:p>
    <w:p>
      <w:pPr>
        <w:spacing w:after="100"/>
      </w:pPr>
      <w:r>
        <w:t xml:space="preserve">Para comparar, con la regla v2 (historia al cierre, mismo precio): 16,0x / 18,8x / 24,4x, 14,3 % Mantener; con el tope anterior del base (×1,3, 14-oct mediodía): 19,7 %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(10,17) coincide con el consenso (10,21); en 2028e quedamos un 9,7 % por debajo (10,99 frente a 12,17), porque el consenso dio un salto tras el 3T26 que no sabemos explicar y supone recompras no anunciadas (2.000-3.000 M al año) [52]. Nuestro base a 12 meses (227,49) supera en un 10,8 % al objetivo medio de los analistas (205,38): la regla v3 sube el PER adelantado de 18,8x a 20,7x (tope de un 10 %).</w:t>
      </w:r>
    </w:p>
    <w:p>
      <w:pPr>
        <w:keepNext/>
        <w:spacing w:after="100"/>
      </w:pPr>
      <w:r>
        <w:rPr>
          <w:b/>
          <w:bCs/>
        </w:rPr>
        <w:t xml:space="preserve">Del valor intrínseco al objetivo a 12 meses.</w:t>
      </w:r>
    </w:p>
    <w:p>
      <w:pPr>
        <w:spacing w:after="100"/>
      </w:pPr>
      <w:r>
        <w:t xml:space="preserve">El objetivo a 12 meses es de 223,55 USD ponderado (+18,9 % con dividendo) y 227,49 en el base (+20,9 %), un 13 % por encima del valor intrínseco (197,03): la regla supone que el PER recupera parte de su historia. No es robusto: con la regla v2 da un 14,3 % y con un BPA un 10 % más bajo, un 7,2 %. Catalizadores: renovaciones de reaseguro del 1-ene y guía de 2027 con los resultados del 4T26 (finales de enero).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subyacente, ahorros de Thrive (600 M hasta 2028) y renovaciones del 1 de enero.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reaseguro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esperan bajadas de precio del 7,5-15 % (KBW, Moody's): Reinsurance ya cae un 6 % subyacente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temporada de huracanes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de catástrofes grandes frenaría la caída de tarifas de daños (−10 % en el 3T26)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 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Brown &amp; Brown, Aon y WTW</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Confirman o no que el crecimiento del sector aguanta el ciclo blando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anual del dividendo (julio de 2026: +10 %)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confianza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Reuniones de la Reserva Federal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intereses fiduciarios (≈ 94 M esperados en el 4T26) pero bajan la tasa de descuento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blando largo de tarifas comerciales y de reaseguro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 puntos menos de crecimiento y 1,5 de margen: bajista 135,25)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exposición asegurada y los clientes nuevos han mantenido el 4 % subyacente en ocho trimestres de bajadas.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Marsh Risk por debajo del 3 % o Guy Carpenter en negativo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 (venta directa y comisiones más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−25 % si el crecimiento cae al 2 % y el margen no mejora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vive de grandes cuentas, reaseguro y consultoría (la venta directa ataca primero a particulares y pymes); usa la IA para bajar costes (46.000 empleados formados) [1,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retención de clientes de pymes y particulares, o comisiones medias a la baja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menos intereses fiduciarios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(cada 100 pb son ~120-150 M de margen;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a tipo fijo y los pagarés abaratan el coste financiero.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fiduciarios trimestrales por debajo de 80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Fuga de equipos de productores hacia rivales de capital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Pactos de no competencia y litigios (gasto legal por pactos restrictivos en el 2T26)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Pleitos por fichajes masivos o caída del crecimiento en EE. UU./Canadá.</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deuda creciente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(ROIC de 15 % a 13 %)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prefiere compras pequeñas en serie a grandes operaciones [C].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5.000 M a más de 18 veces el EBITDA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Recesión: menos consultoría y menos activos en Mercer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correduría es defensiva; la consultoría es el 36 %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Management Consulting por debajo del 0 % subyacente.</w:t>
            </w:r>
          </w:p>
        </w:tc>
      </w:tr>
    </w:tbl>
    <w:p>
      <w:pPr>
        <w:spacing w:after="160" w:before="0"/>
      </w:pPr>
    </w:p>
    <w:p>
      <w:pPr>
        <w:pStyle w:val="Heading2"/>
      </w:pPr>
      <w:r>
        <w:t xml:space="preserve">Pre-mortem</w:t>
      </w:r>
    </w:p>
    <w:p>
      <w:pPr>
        <w:spacing w:after="100"/>
      </w:pPr>
      <w:r>
        <w:t xml:space="preserve">Octubre de 2029: la acción vale 106 USD, un 40 % menos. La historia más probable empieza con un ciclo blando que dura hasta 2028 porque el capital alternativo y el reaseguro barato inundan el mercado: Guy Carpenter cae dos años seguidos y Marsh Risk crece un 2 %. A la vez, las aseguradoras lanzan agentes de IA que cotizan pólizas de pymes en minutos y negocian comisiones más bajas con los corredores para el riesgo estándar; los rivales de capital privado responden bajando precios. Marsh mantiene el margen recortando plantilla, pero el BPA se queda plano en 10-11 USD y el mercado deja de pagar 18 veces por un negocio que ya no crece: el PER baja a 12-13 veces, como el de una aseguradora. Los indicadores que lo habrían anticipado: el crecimiento subyacente de Marsh Risk en EE. UU. por debajo del 3 % durante tres trimestres, la caída de comisiones medias en pymes y el índice de tarifas de la propia Marsh negativo en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el capital humano (personal = 56,5 % de los ingresos en 9M26; retener a los productores, con pleitos por pactos de no competencia) y la ética comercial (conflictos de interés en la remuneración de las aseguradoras, sanciones y anticorrupción) [1, 13]. El cambio climático es a la vez riesgo y negocio: las catástrofes endurecen el mercado y suben las comisiones [22]. La huella de carbono es pequeña (oficinas y viajes).</w:t>
      </w:r>
    </w:p>
    <w:p>
      <w:pPr>
        <w:pStyle w:val="Heading2"/>
      </w:pPr>
      <w:r>
        <w:t xml:space="preserve">Controversias</w:t>
      </w:r>
    </w:p>
    <w:p>
      <w:pPr>
        <w:spacing w:after="100"/>
      </w:pPr>
      <w:r>
        <w:t xml:space="preserve">Litigio Greensill, cerrado: Marsh fue corredor de los seguros de crédito de Greensill; tras el acuerdo con White Oak (mayo de 2025, cubierto por el seguro de responsabilidad profesional), en junio de 2026 pactó con Greensill Bank y en el 3T26 con Credit Suisse. Cargo neto de seguros de 569 M en 9M26 (144 M en el 3T26) y, según la empresa, no habrá más cargos [14]. No hay sanciones regulatorias relevantes recientes localizadas.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comisiones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Marsh Risk viene de riesgos de pymes y particulares colocados con tarifas estándar, y cómo han evolucionado las comisiones medias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la venta directa con IA; decide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Greensill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569 M cargados por Greensill está ya pagado a 30-sep y qué cubrió el seguro?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está pagado, el puente sobra unos 1,2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subyacente daría Marsh Risk con tarifas planas, y cuánto restan hoy las bajadas de daños?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ciclo de estructura en la desaceleración del 7 % al 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Thrive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400 M de ahorro se reinvierte y cuánto llega al margen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sube el margen 0,5 puntos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recompras con pagarés (1.024 M en el 1S26) con el bono al 5 %, y qué deuda neta/EBITDA se fija como techo?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subió con McGriff y no ha bajado.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sensibilidad de los intereses fiduciarios a 100 puntos básicos de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todo es margen y los tipos bajan.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externos)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predominaban las tesis alcistas («valor profundo», dividendo creciente) [69, 70]; justo después, un autor que la tenía como compra a largo plazo la rebaja a «mantener»: reconoce la batida y el plan de ahorro, pero cree que el ciclo blando de tarifas, la debilidad del reaseguro y la presión salarial limitan el recorrido tras la subida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del 15 al 20 de octubre: BPA ajustado y ventas por encima del consenso, ahorro de Thrive ampliado y previsión de crecimiento subyacente reafirmada; después, una emisión de bonos en euros. Ningún tema de riesgo nuevo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($MMC, el símbolo antiguo)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de particulares atrapados: entre julio y septiembre se repiten la frustración por la caída desde máximos y las ganas de vender «en cuanto recupere»; tras los resultados, esperanza de volver a superar niveles redondos. Casi nadie discute el negocio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de inversión para particulares (Motley Fool, Simply Wall St en Yahoo)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Motley Fool destaca en tono favorable el ahorro de Thrive, la digitalización de la colocación y las compras medianas [76]; Simply Wall St valora la calidad del beneficio y la guía de margen, pero señala tarifas, reaseguro y litigios como frenos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Blogs de inversión (IA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verano, al borde de la ventana de tres meses: ven barata la acción tras la caída por miedo a la IA y tarifas blandas, pero recogen el argumento bajista de que la desintermediación podría bajar comisiones si la IA llega a los seguros comerciales [71, 72,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blando de tarifas y reaseguro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índice de la propia Marsh marca un −5 % en las tarifas comerciales globales del 3T26, el noveno trimestre seguido de bajadas (daños −10 %) [79]; Reaseguro cayó un 6 % subyacente en el trimestre y la dirección espera que la blandura siga en las renovaciones de enero [13, 49]. Aun así, Risk creció un 5 % subyacente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peso tras los resultados: el susto de febrero vino de seguros personales y Marsh vive de grandes cuentas, reaseguro y consultoría; el crecimiento subyacente del grupo fue del 5 % en el 3T26 y del 5 % en nueve meses, sin señal de pérdida de clientes [13]. La dirección presenta la IA como palanca de eficiencia [49].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y margen (Thrive)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ahorro sube a 600 millones hasta 2028, con unos 750 millones de costes para lograrlo, y la dirección mantiene otro año de mejora de margen [49]; pero el margen operativo ajustado del 3T26 fue del 22,7 %, igual que un año antes [13]: la mejora aún no se ve en el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subió un 4,6 % el día de los resultados y un 7,2 % entre el cierre del 14 y el del 20 de octubre [51], y varios analistas subieron su precio objetivo [78]. Los particulares que esperaban vender en la recuperación pueden frenar la subida; la valoración se mide en las secciones de múltiplos y DCF del informe, no con las cifras de los foros.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trimestral de 0,99 USD tras la subida del 10 % de julio [68]; la retribución se analiza en la sección de capital con las cifras del 10-Q.</w:t>
            </w:r>
          </w:p>
        </w:tc>
      </w:tr>
    </w:tbl>
    <w:p>
      <w:pPr>
        <w:spacing w:after="160" w:before="0"/>
      </w:pPr>
    </w:p>
    <w:p>
      <w:pPr>
        <w:spacing w:after="100"/>
      </w:pPr>
      <w:r>
        <w:t xml:space="preserve">El sentimiento mejora con el 3T26: la batida, el ahorro ampliado y la previsión reafirmada subieron la acción un 7 % en cuatro sesiones y los analistas suben objetivos. Los particulares siguen divididos: unos ven valor y dividendo; otros, atrapados desde máximos, quieren salir en la recuperación, lo que puede frenar el rebote. El miedo a la IA ha pasado a segundo plano y el debate vuelve al ciclo de tarifas, que los datos de la propia Marsh confirman (noveno trimestre de bajadas y reaseguro a la baja hasta enero). No hay euforia ni capitulación. Aporta poco a la decisión: confirma que el mercado ya no castiga a Marsh por la IA y que el riesgo a vigilar es el precio del seguro, que el informe ya recoge.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79 (33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14,9 % frente a 14,9 % real: genera una variación de circulante de 272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14,3 %: para comprar o ampliar hace falta motivo de negocio propio; para mantener basta la vigente. Explicación: La v2 da 14,3 % (Mantener) y el BPA −10 % deja la v3 en 7,2 %: por eso la recomendación es Mantener, no Comprar, aunque la regla v3 dé 18,9 %. Comprar solo por debajo del límite robusto (178,36 USD, nivel A) o del B1 (186,47).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58, 60,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4T24-4T25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4T24 a 3T26 en EDGAR (no traen el consenso); 2) feed de Seeking Alpha (solo 2026); 3) búsqueda web de «beats by» de 2025 sin fuente con texto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(portada, sin año de inicio); 2) proxy 2026 (no localizado con grep);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(sin cuotas); 2) Mordor Intelligence (solo «concentración media»); 3) suma de ingresos de los cinco grandes sobre el mercado (≈22 %, mezcla perímetros: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10-Q 3T26 y proxy 2026 (sin calificaciones ESG); 2) página de Sustainalytics de la empresa (no muestra la puntuación sin acceso); 3) agregadores (KnowESG, Yahoo con datos de 2023): secundarios y sin fecha fiable,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de Aon, WTW, Gallagher, Brown &amp; Brown y Ryan (último 8-K de resultados: 2T26, julio de 2026); 2) búsqueda de notas del 3T26 (ninguna publicada a 21-oct); 3) fechas anunciadas: Brown &amp; Brown 26-oct, Aon 28-oct, WTW 29-oct; Gallagher sin fecha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los datos del 2T26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tarifas de Marsh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sala de prensa de marsh.com (sin publicar el 3T26 a 21-oct); 2) búsqueda del Global Insurance Market Index Q3 2026 (solo aparece el 2T26); 3) cifras de la dirección en la conferencia del 3T26 (−5 % global, daños −10 %)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usan las cifras de la conferencia [31]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varios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fichas del proxy 2026 (texto mal extraído en la tabla de comisiones); 2) grep de «Committees:»;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(n.d. en la tabla)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próximos resultados (4T26)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del 3T26 y 10-Q (no la anuncian); 2) web de inversores y lista de presentaciones de EDGAR (sin aviso de conferencia); 3) buscador de calendarios (solo el precedente: 29-ene-2026 para el 4T25)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búsqueda de Reddit (bloqueada, página «Blocked»); 2) búsqueda web de hilos de Reddit sobre MRSH en octubre de 2026 (sin resultados); 3) búsqueda web de hilos sobre la caída de los corredores por la IA (solo prensa, ningún hilo)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con el mismo criterio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descargados por presupuesto); 2) Yahoo: EBIT y capital invertido de 2025 (usado, con su definición); 3) MarketScreener (solo ROE)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segmentos, deuda, rating,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https://www.sec.gov/Archives/edgar/data/62709/000006270926000022/mrsh-20251231.htm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2023 (segmentos 2021-2023, dividendos por acción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https://www.sec.gov/Archives/edgar/data/62709/000006270924000016/mmc-20231231.htm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(dividendos por acción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https://www.sec.gov/Archives/edgar/data/62709/000006270922000009/mmc-20211231.htm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(serie 2019-2025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https://data.sec.gov/api/xbrl/companyfacts/CIK0000062709.json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(Exhibit 99.1): cuenta, balance y flujos del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https://www.sec.gov/Archives/edgar/data/62709/000006270926000193/mmc2q2026ex991newsrelease.htm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https://www.sec.gov/Archives/edgar/data/62709/000006270926000096/mmc1q2026ex991newsrelease.htm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y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https://www.sec.gov/Archives/edgar/data/62709/000006270926000014/mmc4q2025ex991newsrelease.htm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https://www.sec.gov/Archives/edgar/data/62709/000006270925000123/mmc3q2025ex991newsrelease.htm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(nota 17: litigio Greensill; reestructuración Thrive; adquisiciones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https://www.sec.gov/Archives/edgar/data/62709/000006270926000195/mrsh-20260630.htm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Q2 2026 Earnings Call Transcript (titular y resumen del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https://seekingalpha.com/article/4923819-marsh-and-mclennan-companies-inc-mrsh-q2-2026-earnings-call-transcript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expects 2026 underlying revenue growth similar to 2025 while targeting $400M Thrive savings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https://seekingalpha.com/symbol/MRSH/news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600 M USD de bonos al 4,950 % con vencimiento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https://www.sec.gov/Archives/edgar/data/62709/000119312526059544/d112193d8k.htm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3T26 (Exhibit 99.1): cuenta, balance y flujos de nueve meses, conciliaciones no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https://www.sec.gov/Archives/edgar/data/62709/000006270926000256/mmc3q2026ex991newsrelease.htm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3T26 (deuda, Greensill, Thrive, Deasterra, dividendos, liquidez)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https://www.sec.gov/Archives/edgar/data/62709/000006270926000258/mrsh-20260930.htm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4T24 y ejercicio 2024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https://www.sec.gov/Archives/edgar/data/62709/000006270925000006/mmc4q2024ex991newsrelease.htm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https://www.sec.gov/Archives/edgar/data/62709/000006270925000024/mmc1q2025ex991newsrelease.htm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https://www.sec.gov/Archives/edgar/data/62709/000006270925000067/mmc2q2025ex991newsrelease.htm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bonos de 600 M EUR al 4,250 % a 2032 y 600 M EUR al 4,625 % a 2036 (liquidación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https://www.sec.gov/Archives/edgar/data/62709/000119312526426649/d140031dfwp.htm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(MRSH) Q3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https://www.tradingkey.com/news/transcripts/262219387-tradingkey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and Agents Market Size (276.500 M USD en 2025; 9,1 % anual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https://www.gminsights.com/industry-analysis/insurance-brokers-and-agents-market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Brokerage Market (359.270 M USD en 2026; 572.470 M en 2031; concentración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https://www.mordorintelligence.com/industry-reports/insurance-brokerage-market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commercial insurance rates fall 6% in Q2 2026; eighth consecutive quarterly decline (Global Insurance Market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https://www.marsh.com/en/corp/about/news/global-commercial-insurance-falls-6-percent-q2-2026.html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plunge on AI fears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Leader's Edge (The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https://www.leadersedge.com/industry/insurance-brokers-plunge-on-ai-fears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AI-Fueled Selloff in Insurance Brokers Overdone, Analysts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https://news.bloomberglaw.com/insurance/ai-fueled-selloff-in-insurance-brokers-overdone-analysts-say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https://www.marketscreener.com/quote/stock/AON-PLC-11994390/finances/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https://www.marketscreener.com/quote/stock/WILLIS-TOWERS-WATSON-PUBL-25623167/finances/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Arthur J. Gallagher &amp; Co.: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https://www.marketscreener.com/quote/stock/ARTHUR-J-GALLAGHER-CO-11601/finances/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https://www.marketscreener.com/quote/stock/BROWN-BROWN-INC-11919/finances/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 Specialty: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https://www.marketscreener.com/quote/stock/RYAN-SPECIALTY-HOLDINGS-I-124966529/finances/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(ingresos, EBIT y capital invertido 2025 de Aon, WTW, Gallagher, Brown &amp; Brown, Ryan)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Q3 2026 Earnings Call Transcript (tarifas por línea y región, reaseguro, Thrive, intereses fiduciarios del 4T26)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https://www.webull.com/news/15752530562917376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to acquire USI to establish the premier U.S. middle-market platform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https://www.sec.gov/Archives/edgar/data/315293/000119312526375328/d108801dex991.htm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resultados del segundo trimestre de 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https://www.sec.gov/Archives/edgar/data/315293/000162828026050367/ex991prq22026.htm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 resultados del segundo trimestre de 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https://www.sec.gov/Archives/edgar/data/1140536/000117184326005042/exh_991.htm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Arthur J. Gallagher: resultados del segundo trimestre de 2026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Arthur J. Gallagher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https://www.sec.gov/Archives/edgar/data/354190/000162828026051070/a2ndquarter2026earningsrel.htm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resultados del segundo trimestre de 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https://www.sec.gov/Archives/edgar/data/79282/000119312526318245/bro-ex99_1.htm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 Specialty: resultados del segundo trimestre de 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 Specialty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https://www.sec.gov/Archives/edgar/data/1849253/000184925326000034/ryan-20260630xex991.htm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Property reinsurance prices most likely to fall 7.5% to 15% in 2027: Moody's survey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Artemis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https://www.artemis.bm/news/property-reinsurance-prices-most-likely-to-fall-7-5-to-15-in-2027-moodys-survey/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Property cat XoL reinsurance rates expected to fall by at least 10% at 1.1.2027, reports KBW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Reinsurance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https://www.reinsurancene.ws/property-cat-xol-reinsurance-rates-expected-to-fall-by-at-least-10-at-1-1-2027-reports-kbw/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announces third quarter 2026 earnings release and conference call date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https://finviz.com/news/400956/aon-announces-third-quarter-2026-earnings-release-and-conference-call-date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Inc. announces 2026 third quarter earnings release and conference call dates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https://finviz.com/news/397509/brown-brown-inc-announces-2026-third-quarter-earnings-release-and-conference-call-dates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 to Announce Third Quarter Earnings on October 29,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https://finviz.com/news/400577/wtw-to-announce-third-quarter-earnings-on-october-29-2026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ratio salarial,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https://www.sec.gov/Archives/edgar/data/62709/000119312526133303/d94896ddef14a.htm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https://www.sec.gov/Archives/edgar/data/62709/000006270926000128/a2026mmcagmresultsform8-k.htm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2025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https://www.sec.gov/Archives/edgar/data/62709/000095010325006177/dp228999_8k.htm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 consulta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https://www.sec.gov/cgi-bin/browse-edgar?action=getcompany&amp;CIK=0000062709&amp;type=4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appoints Mark McGivney as EVP and COO in addition to CFO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https://www.sec.gov/Archives/edgar/data/62709/000095010326005674/dp245126_ex9901.htm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appoints Nick Studer President and CEO of Marsh Risk and Martin South Chief Client Officer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https://www.sec.gov/Archives/edgar/data/62709/000006270926000071/ex_991martinsouthpressrele.htm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https://www.fool.com/earnings/call-transcripts/2026/10/15/marsh-mclennan-mrsh-q3-2026-earnings-call-transcript/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Marsh &amp; McLennan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https://www.investing.com/news/transcripts/earnings-call-transcript-marsh--mclennan-posts-strong-q3-2026-growth-93CH-4952030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MRSH, ^GSPC e IAK (precio, rango, volumen, beta, rentabilidades, cierres anuales, movimiento a 1-12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Financial Data, Forecasts, Estimates (consulta del 20-oct-2026,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https://www.marketscreener.com/quote/stock/MARSH-MCLENNAN-COMPANIES-13573/finances/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consensus and target prices (23 analistas; cambios de objetivo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https://www.marketscreener.com/quote/stock/MARSH-MCLENNAN-COMPANIES-13573/consensus/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MRSH stock forecast (23 analistas: 5 compra fuerte, 2 compra, 15 mantener, 1 venta; objetivo medio 204,52; BPA ajustado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https://stockanalysis.com/stocks/mrsh/forecast/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precio, capitalización, acciones, EBIT y capital invertido de MRSH, AON, WTW, AJG, BRO y RYAN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Gallagher set to ramp up M&amp;A deals after $13B purchase of AssuredPartners (múltiplos de AssuredPartners, NFP y McGriff)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Insurance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https://www.businessinsurance.com/gallagher-set-to-ramp-up-ma-deals-after-13b-purchase-of-assuredpartners/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made this Boston agency worth $9.8 billion to buyers (Accession: ≈15,6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Agency Checklists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https://agencychecklists.com/2025/06/16/what-made-this-boston-agency-worth-9-8-billion-to-buyers-76080/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to host third quarter earnings investor call on October 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https://www.marsh.com/en/corp/about/news/marsh-to-host-third-quarter-earnings-investor-call-on-october-15.html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Business: Gallagher acquires AssuredPartners in $13-billion megadeal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https://www.insurancebusinessmag.com/uk/news/breaking-news/gallagher-acquires-assuredpartners-in-13billion-megadeal-517199.aspx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declares quarterly cash dividend (0,99 USD por acción; registro el 1-oct-2026, pago el 13-nov-2026)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https://www.marsh.com/en/corp/about/news/marsh-declares-quarterly-cash-dividend.html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bets $17 billion on the middle market again, and its own shareholders balk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InsuranceNewsNet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https://insurancenewsnet.com/oarticle/aon-bets-17-billion-on-the-middle-market-again-and-its-own-shareholders-balk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(MRSH) Q3 2026 Earnings Call: EPS up 10%, Thrive target raised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 / 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https://www.mitrade.com/insights/news/live-news/article-0-2167160-20261016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MRSH statistics: acciones, flotante y posición corta (6,35 M de acciones, 1,34 %)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https://stockanalysis.com/stocks/mrsh/statistics/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AON, WTW, AJG, BRO y RYAN (13-oct a 20-oct-2026 y movimiento de junio a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Marsh presentados desde el 21-abr-2026 (ventas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https://www.sec.gov/cgi-bin/browse-edgar?action=getcompany&amp;CIK=62709&amp;type=4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de MRSH (artículos y noticias,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https://seekingalpha.com/api/sa/combined/MRSH.xml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A Deep-Value Insurance Broker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https://seekingalpha.com/article/4948778-marsh-a-deep-value-insurance-broker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Maintaining My Buy Recommendation Following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https://seekingalpha.com/article/4924289-marsh-and-mclennan-maintaining-my-buy-recommendation-following-q2-earnings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shares look cheap as AI fears drive a 28%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Complete AI Training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https://completeaitraining.com/news/marsh-mclennan-shares-look-cheap-as-ai-fears-drive-a-28/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stock price (MRSH) dips as bond sale filing lands and AI fears linger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 Tech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https://ts2.tech/en/marsh-stock-price-mrsh-dips-as-bond-sale-filing-lands-and-ai-fears-linger/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McLennan: Why AI Can’t Threaten This Insurance Giant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Capwolf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https://capwolf.com/marsh-mclennan-why-ai-cant-threaten-this-insurance-giant/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Stocktwits de $MMC (API pública; el símbolo MRSH no existe en Stocktwits)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https://api.stocktwits.com/api/2/streams/symbol/MMC.json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Challenging Operating Environment Likely To Persist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https://seekingalpha.com/article/4954856-marsh-and-mclennan-challenging-operating-environment-likely-to-persist-ahead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McLennan: 3 Key Takeaways for Long-Term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https://www.fool.com/earnings/takeaways/2026/10/19/marsh-mclennan-3-key-takeaways-for-long-term-investors/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McLennan (MMC) Q3 Earnings Lift Focus Toward Margin Pressure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https://finance.yahoo.com/markets/stocks/articles/marsh-mclennan-mmc-q3-earnings-011054327.html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(MRSH): noticias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https://www.marketbeat.com/stocks/NYSE/MRSH/news/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commercial insurance rates fall 5% in Q3 2026; marks ninth consecutive quarterly decline (Global Insurance Market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(comunicado,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https://www.marketscreener.com/news/marsh-mclennan-global-commercial-insurance-rates-fall-5-in-q3-2026-marks-ninth-consecutive-qua-ce785cd8dc8cff21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riesgos</w:t>
      </w:r>
      <w:r>
        <w:t xml:space="preserve"> · Generado el 21 oct 2026.</w:t>
      </w:r>
    </w:p>
    <w:p>
      <w:pPr>
        <w:pStyle w:val="Nota"/>
        <w:spacing w:after="100"/>
      </w:pPr>
      <w:r>
        <w:t xml:space="preserve">La empresa cambió su nombre comercial a «Marsh» y su ticker de MMC a MRSH el 14-ene-2026; el nombre legal sigue siendo Marsh &amp; McLennan Companies, Inc. (CIK 62709). Precio: cierre del 20-oct-2026 (191,26 USD), cinco sesiones después de los resultados del 3T26 (15-oct). Balance sin efectivo ni pasivos fiduciarios (se compensan exactamente). El LTM a septiembre de 2026 lleva 569 M de cargos de Greensill y 126 M de plusvalía contable por Deasterra dentro de los ingresos [A]. Puente a 30-sep-2026: el cargo de Greensill (569 M) y el dividendo declarado pendiente de pago (471 M) van como deuda, porque el 10-Q no dice cuánto se ha pagado; si ya está pagado, el valor sube unos 1,2 USD por acción. Los bonos en euros del 20-oct (1.200 M EUR, liquidación el 27-oct) no entran: suben a la vez caja y deuda. El índice de tarifas y lo de Thrive salen de la conferencia (transcripción de prensa), no de la nota oficial. Los rivales aún no han publicado el 3T26: se comparan con su 2T26.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Marsh &amp; McLennan Companies, Inc. (marca comercial «Marsh») (MRSH)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(156,60 – 198,49)</c:v>
                </c:pt>
                <c:pt idx="1">
                  <c:v>Precio objetivo de los analistas (180,00 – 228,00)</c:v>
                </c:pt>
                <c:pt idx="2">
                  <c:v>Comparables: EV/EBITDA NTM (156,26 – 179,63)</c:v>
                </c:pt>
                <c:pt idx="3">
                  <c:v>Comparables: PER NTM (192,08 – 267,32)</c:v>
                </c:pt>
                <c:pt idx="4">
                  <c:v>Transacciones precedentes (EV/EBITDA) (186,51 – 287,62)</c:v>
                </c:pt>
                <c:pt idx="5">
                  <c:v>DCF (WACC y g ± 0,5) (186,01 – 234,67)</c:v>
                </c:pt>
                <c:pt idx="6">
                  <c:v>Escenarios (bajista – alcista) (137,63 – 249,44)</c:v>
                </c:pt>
                <c:pt idx="7">
                  <c:v>DCF con la prima implícita del mercado (4,2 %)</c:v>
                </c:pt>
                <c:pt idx="8">
                  <c:v>Precio actual (191,26)</c:v>
                </c:pt>
              </c:strCache>
            </c:strRef>
          </c:cat>
          <c:val>
            <c:numRef>
              <c:f>Hoja1!$B$2:$B$10</c:f>
              <c:numCache>
                <c:formatCode>#,##0</c:formatCode>
                <c:ptCount val="9"/>
                <c:pt idx="0">
                  <c:v>156.6</c:v>
                </c:pt>
                <c:pt idx="1">
                  <c:v>180</c:v>
                </c:pt>
                <c:pt idx="2">
                  <c:v>156.26</c:v>
                </c:pt>
                <c:pt idx="3">
                  <c:v>192.08</c:v>
                </c:pt>
                <c:pt idx="4">
                  <c:v>186.51</c:v>
                </c:pt>
                <c:pt idx="5">
                  <c:v>186.01</c:v>
                </c:pt>
                <c:pt idx="6">
                  <c:v>137.63</c:v>
                </c:pt>
                <c:pt idx="7">
                  <c:v>214.92</c:v>
                </c:pt>
                <c:pt idx="8">
                  <c:v>190.3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(156,60 – 198,49)</c:v>
                </c:pt>
                <c:pt idx="1">
                  <c:v>Precio objetivo de los analistas (180,00 – 228,00)</c:v>
                </c:pt>
                <c:pt idx="2">
                  <c:v>Comparables: EV/EBITDA NTM (156,26 – 179,63)</c:v>
                </c:pt>
                <c:pt idx="3">
                  <c:v>Comparables: PER NTM (192,08 – 267,32)</c:v>
                </c:pt>
                <c:pt idx="4">
                  <c:v>Transacciones precedentes (EV/EBITDA) (186,51 – 287,62)</c:v>
                </c:pt>
                <c:pt idx="5">
                  <c:v>DCF (WACC y g ± 0,5) (186,01 – 234,67)</c:v>
                </c:pt>
                <c:pt idx="6">
                  <c:v>Escenarios (bajista – alcista) (137,63 – 249,44)</c:v>
                </c:pt>
                <c:pt idx="7">
                  <c:v>DCF con la prima implícita del mercado (4,2 %)</c:v>
                </c:pt>
                <c:pt idx="8">
                  <c:v>Precio actual (191,26)</c:v>
                </c:pt>
              </c:strCache>
            </c:strRef>
          </c:cat>
          <c:val>
            <c:numRef>
              <c:f>Hoja1!$C$2:$C$10</c:f>
              <c:numCache>
                <c:formatCode>#,##0</c:formatCode>
                <c:ptCount val="9"/>
                <c:pt idx="0">
                  <c:v>41.890000000000015</c:v>
                </c:pt>
                <c:pt idx="1">
                  <c:v>48</c:v>
                </c:pt>
                <c:pt idx="2">
                  <c:v>23.370000000000005</c:v>
                </c:pt>
                <c:pt idx="3">
                  <c:v>75.23999999999998</c:v>
                </c:pt>
                <c:pt idx="4">
                  <c:v>101.11000000000001</c:v>
                </c:pt>
                <c:pt idx="5">
                  <c:v>48.66</c:v>
                </c:pt>
                <c:pt idx="6">
                  <c:v>111.81</c:v>
                </c:pt>
                <c:pt idx="7">
                  <c:v>38.95000000000002</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Risk &amp; Insurance Services (Marsh Risk y Guy Carpenter)</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12085</c:v>
                </c:pt>
                <c:pt idx="1">
                  <c:v>12645</c:v>
                </c:pt>
                <c:pt idx="2">
                  <c:v>14089</c:v>
                </c:pt>
                <c:pt idx="3">
                  <c:v>15395</c:v>
                </c:pt>
                <c:pt idx="4">
                  <c:v>17265</c:v>
                </c:pt>
              </c:numCache>
            </c:numRef>
          </c:val>
        </c:ser>
        <c:ser>
          <c:idx val="1"/>
          <c:order val="1"/>
          <c:tx>
            <c:strRef>
              <c:f>Hoja1!$C$1</c:f>
              <c:strCache>
                <c:ptCount val="1"/>
                <c:pt idx="0">
                  <c:v>Consulting (Mercer y Marsh Management Consulting)</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7789</c:v>
                </c:pt>
                <c:pt idx="1">
                  <c:v>8139</c:v>
                </c:pt>
                <c:pt idx="2">
                  <c:v>8709</c:v>
                </c:pt>
                <c:pt idx="3">
                  <c:v>9133</c:v>
                </c:pt>
                <c:pt idx="4">
                  <c:v>9794</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-54</c:v>
                </c:pt>
                <c:pt idx="1">
                  <c:v>-64</c:v>
                </c:pt>
                <c:pt idx="2">
                  <c:v>-62</c:v>
                </c:pt>
                <c:pt idx="3">
                  <c:v>-70</c:v>
                </c:pt>
                <c:pt idx="4">
                  <c:v>-78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Risk &amp; Insurance Services (Marsh Risk y Guy Carpenter)</c:v>
                </c:pt>
                <c:pt idx="1">
                  <c:v>Consulting (Mercer y Marsh Management Consulting)</c:v>
                </c:pt>
                <c:pt idx="2">
                  <c:v>Corporativo y eliminaciones</c:v>
                </c:pt>
              </c:strCache>
            </c:strRef>
          </c:cat>
          <c:val>
            <c:numRef>
              <c:f>Hoja1!$B$2:$B$4</c:f>
              <c:numCache>
                <c:formatCode>General</c:formatCode>
                <c:ptCount val="3"/>
                <c:pt idx="0">
                  <c:v>64</c:v>
                </c:pt>
                <c:pt idx="1">
                  <c:v>36.3</c:v>
                </c:pt>
                <c:pt idx="2">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del mundo</c:v>
                </c:pt>
              </c:strCache>
            </c:strRef>
          </c:cat>
          <c:val>
            <c:numRef>
              <c:f>Hoja1!$B$2:$B$3</c:f>
              <c:numCache>
                <c:formatCode>0"%"</c:formatCode>
                <c:ptCount val="2"/>
                <c:pt idx="0">
                  <c:v>49</c:v>
                </c:pt>
                <c:pt idx="1">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276500</c:v>
                </c:pt>
                <c:pt idx="1">
                  <c:v>301700</c:v>
                </c:pt>
                <c:pt idx="2">
                  <c:v>329100</c:v>
                </c:pt>
                <c:pt idx="3">
                  <c:v>359100</c:v>
                </c:pt>
                <c:pt idx="4">
                  <c:v>427400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Marsh</c:v>
                </c:pt>
                <c:pt idx="1">
                  <c:v>Aon</c:v>
                </c:pt>
                <c:pt idx="2">
                  <c:v>Arthur J. Gallagher</c:v>
                </c:pt>
                <c:pt idx="3">
                  <c:v>WTW</c:v>
                </c:pt>
                <c:pt idx="4">
                  <c:v>Brown &amp; Brown</c:v>
                </c:pt>
                <c:pt idx="5">
                  <c:v>Ryan Specialty</c:v>
                </c:pt>
                <c:pt idx="6">
                  <c:v>USI (en compra por Aon)</c:v>
                </c:pt>
                <c:pt idx="7">
                  <c:v>Hub International</c:v>
                </c:pt>
              </c:strCache>
            </c:strRef>
          </c:cat>
          <c:val>
            <c:numRef>
              <c:f>Hoja1!$B$2:$B$9</c:f>
              <c:numCache>
                <c:formatCode>0.0"%"</c:formatCode>
                <c:ptCount val="8"/>
                <c:pt idx="0">
                  <c:v>23.1</c:v>
                </c:pt>
                <c:pt idx="1">
                  <c:v>32.4</c:v>
                </c:pt>
                <c:pt idx="2">
                  <c:v>24.5</c:v>
                </c:pt>
                <c:pt idx="3">
                  <c:v>25.2</c:v>
                </c:pt>
                <c:pt idx="4">
                  <c:v>28.7</c:v>
                </c:pt>
                <c:pt idx="5">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Hoja1!$B$2:$B$15</c:f>
              <c:numCache>
                <c:formatCode>#,##0</c:formatCode>
                <c:ptCount val="14"/>
                <c:pt idx="0">
                  <c:v>16652</c:v>
                </c:pt>
                <c:pt idx="1">
                  <c:v>17224</c:v>
                </c:pt>
                <c:pt idx="2">
                  <c:v>19820</c:v>
                </c:pt>
                <c:pt idx="3">
                  <c:v>20720</c:v>
                </c:pt>
                <c:pt idx="4">
                  <c:v>22736</c:v>
                </c:pt>
                <c:pt idx="5">
                  <c:v>24458</c:v>
                </c:pt>
                <c:pt idx="6">
                  <c:v>26981</c:v>
                </c:pt>
                <c:pt idx="7">
                  <c:v>28789</c:v>
                </c:pt>
                <c:pt idx="8">
                  <c:v>30228</c:v>
                </c:pt>
                <c:pt idx="9">
                  <c:v>31740</c:v>
                </c:pt>
                <c:pt idx="10">
                  <c:v>33168</c:v>
                </c:pt>
                <c:pt idx="11">
                  <c:v>34495</c:v>
                </c:pt>
                <c:pt idx="12">
                  <c:v>35702</c:v>
                </c:pt>
                <c:pt idx="13">
                  <c:v>36773</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Hoja1!$C$2:$C$15</c:f>
              <c:numCache>
                <c:formatCode>#,##0</c:formatCode>
                <c:ptCount val="14"/>
                <c:pt idx="0">
                  <c:v>3324</c:v>
                </c:pt>
                <c:pt idx="1">
                  <c:v>3807</c:v>
                </c:pt>
                <c:pt idx="2">
                  <c:v>5059</c:v>
                </c:pt>
                <c:pt idx="3">
                  <c:v>4999</c:v>
                </c:pt>
                <c:pt idx="4">
                  <c:v>5995</c:v>
                </c:pt>
                <c:pt idx="5">
                  <c:v>6563</c:v>
                </c:pt>
                <c:pt idx="6">
                  <c:v>7133</c:v>
                </c:pt>
                <c:pt idx="7">
                  <c:v>7773</c:v>
                </c:pt>
                <c:pt idx="8">
                  <c:v>8343</c:v>
                </c:pt>
                <c:pt idx="9">
                  <c:v>8919</c:v>
                </c:pt>
                <c:pt idx="10">
                  <c:v>9453</c:v>
                </c:pt>
                <c:pt idx="11">
                  <c:v>9934</c:v>
                </c:pt>
                <c:pt idx="12">
                  <c:v>10354</c:v>
                </c:pt>
                <c:pt idx="13">
                  <c:v>10664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c:v>
                </c:pt>
                <c:pt idx="1">
                  <c:v>22.1</c:v>
                </c:pt>
                <c:pt idx="2">
                  <c:v>25.5</c:v>
                </c:pt>
                <c:pt idx="3">
                  <c:v>24.1</c:v>
                </c:pt>
                <c:pt idx="4">
                  <c:v>26.4</c:v>
                </c:pt>
                <c:pt idx="5">
                  <c:v>26.8</c:v>
                </c:pt>
                <c:pt idx="6">
                  <c:v>26.4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16.1</c:v>
                </c:pt>
                <c:pt idx="1">
                  <c:v>17.8</c:v>
                </c:pt>
                <c:pt idx="2">
                  <c:v>21.8</c:v>
                </c:pt>
                <c:pt idx="3">
                  <c:v>20.7</c:v>
                </c:pt>
                <c:pt idx="4">
                  <c:v>23.2</c:v>
                </c:pt>
                <c:pt idx="5">
                  <c:v>23.8</c:v>
                </c:pt>
                <c:pt idx="6">
                  <c:v>23.1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10.5</c:v>
                </c:pt>
                <c:pt idx="1">
                  <c:v>11.7</c:v>
                </c:pt>
                <c:pt idx="2">
                  <c:v>15.9</c:v>
                </c:pt>
                <c:pt idx="3">
                  <c:v>14.7</c:v>
                </c:pt>
                <c:pt idx="4">
                  <c:v>16.5</c:v>
                </c:pt>
                <c:pt idx="5">
                  <c:v>16.6</c:v>
                </c:pt>
                <c:pt idx="6">
                  <c:v>15.4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9.2</c:v>
                </c:pt>
                <c:pt idx="1">
                  <c:v>9.1</c:v>
                </c:pt>
                <c:pt idx="2">
                  <c:v>12.1</c:v>
                </c:pt>
                <c:pt idx="3">
                  <c:v>11.5</c:v>
                </c:pt>
                <c:pt idx="4">
                  <c:v>8.7</c:v>
                </c:pt>
                <c:pt idx="5">
                  <c:v>7.6</c:v>
                </c:pt>
                <c:pt idx="6">
                  <c:v>6.2</c:v>
                </c:pt>
                <c:pt idx="7">
                  <c:v>8.1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4</c:v>
                </c:pt>
                <c:pt idx="2">
                  <c:v>4</c:v>
                </c:pt>
                <c:pt idx="3">
                  <c:v>4</c:v>
                </c:pt>
                <c:pt idx="4">
                  <c:v>4</c:v>
                </c:pt>
                <c:pt idx="5">
                  <c:v>4</c:v>
                </c:pt>
                <c:pt idx="6">
                  <c:v>5</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115</c:v>
                </c:pt>
                <c:pt idx="1">
                  <c:v>113</c:v>
                </c:pt>
                <c:pt idx="2">
                  <c:v>103</c:v>
                </c:pt>
                <c:pt idx="3">
                  <c:v>103</c:v>
                </c:pt>
                <c:pt idx="4">
                  <c:v>103</c:v>
                </c:pt>
                <c:pt idx="5">
                  <c:v>107</c:v>
                </c:pt>
                <c:pt idx="6">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1940</c:v>
                </c:pt>
                <c:pt idx="1">
                  <c:v>3034</c:v>
                </c:pt>
                <c:pt idx="2">
                  <c:v>3110</c:v>
                </c:pt>
                <c:pt idx="3">
                  <c:v>2995</c:v>
                </c:pt>
                <c:pt idx="4">
                  <c:v>3842</c:v>
                </c:pt>
                <c:pt idx="5">
                  <c:v>3986</c:v>
                </c:pt>
                <c:pt idx="6">
                  <c:v>5001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1742</c:v>
                </c:pt>
                <c:pt idx="1">
                  <c:v>2016</c:v>
                </c:pt>
                <c:pt idx="2">
                  <c:v>3143</c:v>
                </c:pt>
                <c:pt idx="3">
                  <c:v>3050</c:v>
                </c:pt>
                <c:pt idx="4">
                  <c:v>3756</c:v>
                </c:pt>
                <c:pt idx="5">
                  <c:v>4060</c:v>
                </c:pt>
                <c:pt idx="6">
                  <c:v>4160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9.8</c:v>
                </c:pt>
                <c:pt idx="1">
                  <c:v>11.5</c:v>
                </c:pt>
                <c:pt idx="2">
                  <c:v>16.5</c:v>
                </c:pt>
                <c:pt idx="3">
                  <c:v>15.6</c:v>
                </c:pt>
                <c:pt idx="4">
                  <c:v>18.4</c:v>
                </c:pt>
                <c:pt idx="5">
                  <c:v>16.3</c:v>
                </c:pt>
                <c:pt idx="6">
                  <c:v>15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8.2</c:v>
                </c:pt>
                <c:pt idx="1">
                  <c:v>8.2</c:v>
                </c:pt>
                <c:pt idx="2">
                  <c:v>8.2</c:v>
                </c:pt>
                <c:pt idx="3">
                  <c:v>8.2</c:v>
                </c:pt>
                <c:pt idx="4">
                  <c:v>8.2</c:v>
                </c:pt>
                <c:pt idx="5">
                  <c:v>8.2</c:v>
                </c:pt>
                <c:pt idx="6">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22.4</c:v>
                </c:pt>
                <c:pt idx="1">
                  <c:v>23.9</c:v>
                </c:pt>
                <c:pt idx="2">
                  <c:v>31.3</c:v>
                </c:pt>
                <c:pt idx="3">
                  <c:v>28.3</c:v>
                </c:pt>
                <c:pt idx="4">
                  <c:v>33.1</c:v>
                </c:pt>
                <c:pt idx="5">
                  <c:v>31.8</c:v>
                </c:pt>
                <c:pt idx="6">
                  <c:v>29.3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3.61</c:v>
                </c:pt>
                <c:pt idx="1">
                  <c:v>2.56</c:v>
                </c:pt>
                <c:pt idx="2">
                  <c:v>1.82</c:v>
                </c:pt>
                <c:pt idx="3">
                  <c:v>2.06</c:v>
                </c:pt>
                <c:pt idx="4">
                  <c:v>1.69</c:v>
                </c:pt>
                <c:pt idx="5">
                  <c:v>2.67</c:v>
                </c:pt>
                <c:pt idx="6">
                  <c:v>2.37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2029</c:v>
                </c:pt>
                <c:pt idx="3">
                  <c:v>2030</c:v>
                </c:pt>
                <c:pt idx="4">
                  <c:v>2031+</c:v>
                </c:pt>
              </c:strCache>
            </c:strRef>
          </c:cat>
          <c:val>
            <c:numRef>
              <c:f>Hoja1!$B$2:$B$6</c:f>
              <c:numCache>
                <c:formatCode>#,##0</c:formatCode>
                <c:ptCount val="5"/>
                <c:pt idx="0">
                  <c:v>1644</c:v>
                </c:pt>
                <c:pt idx="1">
                  <c:v>1247</c:v>
                </c:pt>
                <c:pt idx="2">
                  <c:v>1500</c:v>
                </c:pt>
                <c:pt idx="3">
                  <c:v>2363</c:v>
                </c:pt>
                <c:pt idx="4">
                  <c:v>13779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4229</c:v>
                </c:pt>
                <c:pt idx="1">
                  <c:v>647</c:v>
                </c:pt>
                <c:pt idx="2">
                  <c:v>859</c:v>
                </c:pt>
                <c:pt idx="3">
                  <c:v>572</c:v>
                </c:pt>
                <c:pt idx="4">
                  <c:v>976</c:v>
                </c:pt>
                <c:pt idx="5">
                  <c:v>8542</c:v>
                </c:pt>
                <c:pt idx="6">
                  <c:v>652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890</c:v>
                </c:pt>
                <c:pt idx="1">
                  <c:v>943</c:v>
                </c:pt>
                <c:pt idx="2">
                  <c:v>1026</c:v>
                </c:pt>
                <c:pt idx="3">
                  <c:v>1138</c:v>
                </c:pt>
                <c:pt idx="4">
                  <c:v>1298</c:v>
                </c:pt>
                <c:pt idx="5">
                  <c:v>1513</c:v>
                </c:pt>
                <c:pt idx="6">
                  <c:v>1699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485</c:v>
                </c:pt>
                <c:pt idx="1">
                  <c:v>0</c:v>
                </c:pt>
                <c:pt idx="2">
                  <c:v>1159</c:v>
                </c:pt>
                <c:pt idx="3">
                  <c:v>1950</c:v>
                </c:pt>
                <c:pt idx="4">
                  <c:v>1150</c:v>
                </c:pt>
                <c:pt idx="5">
                  <c:v>900</c:v>
                </c:pt>
                <c:pt idx="6">
                  <c:v>2012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Consejeros y directivos</c:v>
                </c:pt>
                <c:pt idx="3">
                  <c:v>Autocartera</c:v>
                </c:pt>
              </c:strCache>
            </c:strRef>
          </c:cat>
          <c:val>
            <c:numRef>
              <c:f>Hoja1!$B$2:$B$5</c:f>
              <c:numCache>
                <c:formatCode>0.0"%"</c:formatCode>
                <c:ptCount val="4"/>
                <c:pt idx="0">
                  <c:v>9</c:v>
                </c:pt>
                <c:pt idx="1">
                  <c:v>8.4</c:v>
                </c:pt>
                <c:pt idx="2">
                  <c:v>1</c:v>
                </c:pt>
                <c:pt idx="3">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21.9</c:v>
                </c:pt>
                <c:pt idx="1">
                  <c:v>20.4</c:v>
                </c:pt>
                <c:pt idx="2">
                  <c:v>-2</c:v>
                </c:pt>
                <c:pt idx="3">
                  <c:v>39.7</c:v>
                </c:pt>
                <c:pt idx="4">
                  <c:v>5</c:v>
                </c:pt>
                <c:pt idx="5">
                  <c:v>48.6</c:v>
                </c:pt>
                <c:pt idx="6">
                  <c:v>-4.8</c:v>
                </c:pt>
                <c:pt idx="7">
                  <c:v>14.5</c:v>
                </c:pt>
                <c:pt idx="8">
                  <c:v>12.1</c:v>
                </c:pt>
                <c:pt idx="9">
                  <c:v>-12.7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20.8</c:v>
                </c:pt>
                <c:pt idx="1">
                  <c:v>18.3</c:v>
                </c:pt>
                <c:pt idx="2">
                  <c:v>19.5</c:v>
                </c:pt>
                <c:pt idx="3">
                  <c:v>18.8</c:v>
                </c:pt>
                <c:pt idx="4">
                  <c:v>17.5</c:v>
                </c:pt>
                <c:pt idx="5">
                  <c:v>18.8</c:v>
                </c:pt>
                <c:pt idx="6">
                  <c:v>15.2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18.6</c:v>
                </c:pt>
                <c:pt idx="1">
                  <c:v>18.6</c:v>
                </c:pt>
                <c:pt idx="2">
                  <c:v>18.6</c:v>
                </c:pt>
                <c:pt idx="3">
                  <c:v>18.6</c:v>
                </c:pt>
                <c:pt idx="4">
                  <c:v>18.6</c:v>
                </c:pt>
                <c:pt idx="5">
                  <c:v>18.6</c:v>
                </c:pt>
                <c:pt idx="6">
                  <c:v>18.6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Marsh</c:v>
                </c:pt>
                <c:pt idx="1">
                  <c:v>Aon</c:v>
                </c:pt>
                <c:pt idx="2">
                  <c:v>WTW</c:v>
                </c:pt>
                <c:pt idx="3">
                  <c:v>Arthur J. Gallagher</c:v>
                </c:pt>
                <c:pt idx="4">
                  <c:v>Brown &amp; Brown</c:v>
                </c:pt>
                <c:pt idx="5">
                  <c:v>Ryan Specialty</c:v>
                </c:pt>
              </c:strCache>
            </c:strRef>
          </c:cat>
          <c:val>
            <c:numRef>
              <c:f>Hoja1!$B$2:$B$7</c:f>
              <c:numCache>
                <c:formatCode>0.0"x"</c:formatCode>
                <c:ptCount val="6"/>
                <c:pt idx="0">
                  <c:v>13.8</c:v>
                </c:pt>
                <c:pt idx="1">
                  <c:v>11.7</c:v>
                </c:pt>
                <c:pt idx="2">
                  <c:v>10.4</c:v>
                </c:pt>
                <c:pt idx="3">
                  <c:v>13.2</c:v>
                </c:pt>
                <c:pt idx="4">
                  <c:v>11.9</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Marsh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4.6</c:v>
                </c:pt>
              </c:numCache>
            </c:numRef>
          </c:xVal>
          <c:yVal>
            <c:numRef>
              <c:f>Hoja1!$C$2</c:f>
              <c:numCache>
                <c:formatCode>0.0"x"</c:formatCode>
                <c:ptCount val="1"/>
                <c:pt idx="0">
                  <c:v>13.8</c:v>
                </c:pt>
              </c:numCache>
            </c:numRef>
          </c:yVal>
          <c:smooth val="0"/>
        </c:ser>
        <c:ser>
          <c:idx val="1"/>
          <c:order val="1"/>
          <c:tx>
            <c:strRef>
              <c:f>Hoja1!$A$3</c:f>
              <c:strCache>
                <c:ptCount val="1"/>
                <c:pt idx="0">
                  <c:v>Aon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6.9</c:v>
                </c:pt>
              </c:numCache>
            </c:numRef>
          </c:xVal>
          <c:yVal>
            <c:numRef>
              <c:f>Hoja1!$C$3</c:f>
              <c:numCache>
                <c:formatCode>0.0"x"</c:formatCode>
                <c:ptCount val="1"/>
                <c:pt idx="0">
                  <c:v>11.7</c:v>
                </c:pt>
              </c:numCache>
            </c:numRef>
          </c:yVal>
          <c:smooth val="0"/>
        </c:ser>
        <c:ser>
          <c:idx val="2"/>
          <c:order val="2"/>
          <c:tx>
            <c:strRef>
              <c:f>Hoja1!$A$4</c:f>
              <c:strCache>
                <c:ptCount val="1"/>
                <c:pt idx="0">
                  <c:v>WTW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10.4</c:v>
                </c:pt>
              </c:numCache>
            </c:numRef>
          </c:yVal>
          <c:smooth val="0"/>
        </c:ser>
        <c:ser>
          <c:idx val="3"/>
          <c:order val="3"/>
          <c:tx>
            <c:strRef>
              <c:f>Hoja1!$A$5</c:f>
              <c:strCache>
                <c:ptCount val="1"/>
                <c:pt idx="0">
                  <c:v>Arthur J. Gallagher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c:v>
                </c:pt>
              </c:numCache>
            </c:numRef>
          </c:xVal>
          <c:yVal>
            <c:numRef>
              <c:f>Hoja1!$C$5</c:f>
              <c:numCache>
                <c:formatCode>0.0"x"</c:formatCode>
                <c:ptCount val="1"/>
                <c:pt idx="0">
                  <c:v>13.2</c:v>
                </c:pt>
              </c:numCache>
            </c:numRef>
          </c:yVal>
          <c:smooth val="0"/>
        </c:ser>
        <c:ser>
          <c:idx val="4"/>
          <c:order val="4"/>
          <c:tx>
            <c:strRef>
              <c:f>Hoja1!$A$6</c:f>
              <c:strCache>
                <c:ptCount val="1"/>
                <c:pt idx="0">
                  <c:v>Brown &amp; Brown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12.2</c:v>
                </c:pt>
              </c:numCache>
            </c:numRef>
          </c:xVal>
          <c:yVal>
            <c:numRef>
              <c:f>Hoja1!$C$6</c:f>
              <c:numCache>
                <c:formatCode>0.0"x"</c:formatCode>
                <c:ptCount val="1"/>
                <c:pt idx="0">
                  <c:v>11.9</c:v>
                </c:pt>
              </c:numCache>
            </c:numRef>
          </c:yVal>
          <c:smooth val="0"/>
        </c:ser>
        <c:ser>
          <c:idx val="5"/>
          <c:order val="5"/>
          <c:tx>
            <c:strRef>
              <c:f>Hoja1!$A$7</c:f>
              <c:strCache>
                <c:ptCount val="1"/>
                <c:pt idx="0">
                  <c:v>Ryan Specialty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9.7</c:v>
                </c:pt>
              </c:numCache>
            </c:numRef>
          </c:xVal>
          <c:yVal>
            <c:numRef>
              <c:f>Hoja1!$C$7</c:f>
              <c:numCache>
                <c:formatCode>0.0"x"</c:formatCode>
                <c:ptCount val="1"/>
                <c:pt idx="0">
                  <c:v>13.1</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USI Insurance Services</c:v>
                </c:pt>
                <c:pt idx="1">
                  <c:v>AssuredPartners</c:v>
                </c:pt>
                <c:pt idx="2">
                  <c:v>McGriff Insurance Services</c:v>
                </c:pt>
                <c:pt idx="3">
                  <c:v>NFP</c:v>
                </c:pt>
                <c:pt idx="4">
                  <c:v>Accession (Risk Strategies)</c:v>
                </c:pt>
              </c:strCache>
            </c:strRef>
          </c:cat>
          <c:val>
            <c:numRef>
              <c:f>Hoja1!$B$2:$B$6</c:f>
              <c:numCache>
                <c:formatCode>0.0"x"</c:formatCode>
                <c:ptCount val="5"/>
                <c:pt idx="0">
                  <c:v>14.5</c:v>
                </c:pt>
                <c:pt idx="1">
                  <c:v>14.3</c:v>
                </c:pt>
                <c:pt idx="2">
                  <c:v>21</c:v>
                </c:pt>
                <c:pt idx="3">
                  <c:v>22</c:v>
                </c:pt>
                <c:pt idx="4">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4800</c:v>
                </c:pt>
                <c:pt idx="1">
                  <c:v>5248</c:v>
                </c:pt>
                <c:pt idx="2">
                  <c:v>5630</c:v>
                </c:pt>
                <c:pt idx="3">
                  <c:v>6006</c:v>
                </c:pt>
                <c:pt idx="4">
                  <c:v>6348</c:v>
                </c:pt>
                <c:pt idx="5">
                  <c:v>6649</c:v>
                </c:pt>
                <c:pt idx="6">
                  <c:v>6874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29413</c:v>
                </c:pt>
                <c:pt idx="1">
                  <c:v>87946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191,26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137.63</c:v>
                </c:pt>
                <c:pt idx="1">
                  <c:v>206.23</c:v>
                </c:pt>
                <c:pt idx="2">
                  <c:v>249.44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(156,60 – 198,49)</c:v>
                </c:pt>
                <c:pt idx="1">
                  <c:v>Precio objetivo de los analistas (180,00 – 228,00)</c:v>
                </c:pt>
                <c:pt idx="2">
                  <c:v>Comparables: EV/EBITDA NTM (156,26 – 179,63)</c:v>
                </c:pt>
                <c:pt idx="3">
                  <c:v>Comparables: PER NTM (192,08 – 267,32)</c:v>
                </c:pt>
                <c:pt idx="4">
                  <c:v>Transacciones precedentes (EV/EBITDA) (186,51 – 287,62)</c:v>
                </c:pt>
                <c:pt idx="5">
                  <c:v>DCF (WACC y g ± 0,5) (186,01 – 234,67)</c:v>
                </c:pt>
                <c:pt idx="6">
                  <c:v>Escenarios (bajista – alcista) (137,63 – 249,44)</c:v>
                </c:pt>
                <c:pt idx="7">
                  <c:v>DCF con la prima implícita del mercado (4,2 %)</c:v>
                </c:pt>
                <c:pt idx="8">
                  <c:v>Precio actual (191,26)</c:v>
                </c:pt>
              </c:strCache>
            </c:strRef>
          </c:cat>
          <c:val>
            <c:numRef>
              <c:f>Hoja1!$B$2:$B$10</c:f>
              <c:numCache>
                <c:formatCode>#,##0</c:formatCode>
                <c:ptCount val="9"/>
                <c:pt idx="0">
                  <c:v>156.6</c:v>
                </c:pt>
                <c:pt idx="1">
                  <c:v>180</c:v>
                </c:pt>
                <c:pt idx="2">
                  <c:v>156.26</c:v>
                </c:pt>
                <c:pt idx="3">
                  <c:v>192.08</c:v>
                </c:pt>
                <c:pt idx="4">
                  <c:v>186.51</c:v>
                </c:pt>
                <c:pt idx="5">
                  <c:v>186.01</c:v>
                </c:pt>
                <c:pt idx="6">
                  <c:v>137.63</c:v>
                </c:pt>
                <c:pt idx="7">
                  <c:v>214.92</c:v>
                </c:pt>
                <c:pt idx="8">
                  <c:v>190.3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(156,60 – 198,49)</c:v>
                </c:pt>
                <c:pt idx="1">
                  <c:v>Precio objetivo de los analistas (180,00 – 228,00)</c:v>
                </c:pt>
                <c:pt idx="2">
                  <c:v>Comparables: EV/EBITDA NTM (156,26 – 179,63)</c:v>
                </c:pt>
                <c:pt idx="3">
                  <c:v>Comparables: PER NTM (192,08 – 267,32)</c:v>
                </c:pt>
                <c:pt idx="4">
                  <c:v>Transacciones precedentes (EV/EBITDA) (186,51 – 287,62)</c:v>
                </c:pt>
                <c:pt idx="5">
                  <c:v>DCF (WACC y g ± 0,5) (186,01 – 234,67)</c:v>
                </c:pt>
                <c:pt idx="6">
                  <c:v>Escenarios (bajista – alcista) (137,63 – 249,44)</c:v>
                </c:pt>
                <c:pt idx="7">
                  <c:v>DCF con la prima implícita del mercado (4,2 %)</c:v>
                </c:pt>
                <c:pt idx="8">
                  <c:v>Precio actual (191,26)</c:v>
                </c:pt>
              </c:strCache>
            </c:strRef>
          </c:cat>
          <c:val>
            <c:numRef>
              <c:f>Hoja1!$C$2:$C$10</c:f>
              <c:numCache>
                <c:formatCode>#,##0</c:formatCode>
                <c:ptCount val="9"/>
                <c:pt idx="0">
                  <c:v>41.890000000000015</c:v>
                </c:pt>
                <c:pt idx="1">
                  <c:v>48</c:v>
                </c:pt>
                <c:pt idx="2">
                  <c:v>23.370000000000005</c:v>
                </c:pt>
                <c:pt idx="3">
                  <c:v>75.23999999999998</c:v>
                </c:pt>
                <c:pt idx="4">
                  <c:v>101.11000000000001</c:v>
                </c:pt>
                <c:pt idx="5">
                  <c:v>48.66</c:v>
                </c:pt>
                <c:pt idx="6">
                  <c:v>111.81</c:v>
                </c:pt>
                <c:pt idx="7">
                  <c:v>38.95000000000002</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