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SHIFT Inc.</w:t>
      </w:r>
    </w:p>
    <w:p>
      <w:pPr>
        <w:spacing w:after="60"/>
        <w:rPr>
          <w:color w:val="52514E"/>
          <w:sz w:val="22"/>
          <w:szCs w:val="22"/>
        </w:rPr>
      </w:pPr>
      <w:r>
        <w:rPr>
          <w:color w:val="52514E"/>
          <w:sz w:val="22"/>
          <w:szCs w:val="22"/>
        </w:rPr>
        <w:t xml:space="preserve">3697.T · Bolsa de Tokio (Prime) · ISIN JP3355400007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1.056,50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1.203,22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+14,3 % (base +15,4 %)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1.147,89 JPY · mercado 1.401,47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270.063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SHIFT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3697.T / JP3355400007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Servicios de TI (pruebas de software, desarrollo y consultoría)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(Minato)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https://www.shiftinc.jp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1.056,50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590,00 – 1.196,00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270.063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274.328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5405 M JPY/día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1.203,22 JPY</w:t>
      </w:r>
      <w:r>
        <w:t xml:space="preserve"> frente a 1.056,50 · Rentabilidad a 12 meses </w:t>
      </w:r>
      <w:r>
        <w:rPr>
          <w:b/>
          <w:bCs/>
        </w:rPr>
        <w:t xml:space="preserve">+14,3 % (base +15,4 %)</w:t>
      </w:r>
      <w:r>
        <w:t xml:space="preserve"> · Valor intrínseco 1.147,89 JPY · con la prima implícita del mercado: 1.401,47 (+32,7 %) · Alcista / bajista +51,8 % / -38,0 %</w:t>
      </w:r>
    </w:p>
    <w:p>
      <w:pPr>
        <w:spacing w:after="100"/>
      </w:pPr>
      <w:r>
        <w:rPr>
          <w:b/>
        </w:rPr>
        <w:t xml:space="preserve">La recomendación y por qué.</w:t>
      </w:r>
      <w:r>
        <w:t xml:space="preserve"> Mantener, con convicción baja. El objetivo a 12 meses es de 1.203 JPY (nuestro BPA de FY2028e × el PER de la regla común, ponderado 30/50/20): +14,3 % con el dividendo y +15,4 % en el caso base, frente a un precio de 1.056,5 JPY (cierre del 21-oct-2026 en Tokio). El valor intrínseco (1.148 JPY) queda un 8,7 % sobre el precio, pero la ponderada se queda a 0,7 puntos del 15 % que pide un Comprar. La razón: SHIFT es un negocio rentable (ROIC del 28 %) que el mercado ya no paga como empresa de crecimiento (≈ 20 veces el beneficio frente a 50-100 en 2019-2023), pero la IA está sustituyendo su trabajo tradicional de pruebas, y con un 30 % de probabilidad para ese bajista la cuenta no llega. Comprar por debajo de ≈ 1.050 JPY. La convicción es baja porque la señal está en el filo (la ponderada a 0,7 puntos del umbral), porque las reglas discrepan (Mantener con nuestro WACC, Comprar con la prima del mercado) y porque el efecto neto de la IA sobre las horas es difícil de medir; subiría la convicción un 1T de FY2027 con crecimiento orgánico ≥ 10 % sin contratar ingenieros, y la bajaría un trimestre con las ventas de pruebas planas.</w:t>
      </w:r>
    </w:p>
    <w:p>
      <w:pPr>
        <w:spacing w:after="100"/>
      </w:pPr>
      <w:r>
        <w:rPr>
          <w:b/>
        </w:rPr>
        <w:t xml:space="preserve">El negocio.</w:t>
      </w:r>
      <w:r>
        <w:t xml:space="preserve"> El mayor especialista independiente en pruebas de software de Japón, que con compras ha añadido desarrollo, consultoría y externalización [8]. Vende horas de personal por proyecto a grandes empresas japonesas; ningún cliente pesa más del 10 % [1]. Calidad «Sí»: ROIC del 28,2 % frente a un WACC del 9,0 %. Sostenibilidad del crecimiento «Sí»: proyectamos un 9,2 % anual, un tercio del histórico (25,6 % con compras).</w:t>
      </w:r>
    </w:p>
    <w:p>
      <w:pPr>
        <w:spacing w:after="100"/>
      </w:pPr>
      <w:r>
        <w:rPr>
          <w:b/>
        </w:rPr>
        <w:t xml:space="preserve">Finanzas.</w:t>
      </w:r>
      <w:r>
        <w:t xml:space="preserve"> Ventas de 161.600 M JPY en FY2026 (+24,5 %: +17,8 % orgánico y el resto comprado) y EBITDA de 21.604 M (13,4 %) [1, 3]. BPA básico de 28,72 JPY, deprimido por la pérdida de 3.861 M de Rise; guía de 52,16 para FY2027 [1]. Deuda neta de ≈ 3.600 M tras pagar Nisseicom con préstamos [1].</w:t>
      </w:r>
    </w:p>
    <w:p>
      <w:pPr>
        <w:spacing w:after="100"/>
      </w:pPr>
      <w:r>
        <w:rPr>
          <w:b/>
        </w:rPr>
        <w:t xml:space="preserve">Equipo y gobierno.</w:t>
      </w:r>
      <w:r>
        <w:t xml:space="preserve"> Empresa de fundador: Masaru Tange tiene ≈ 32 % y dirige desde 2005; presidente del consejo ex Keyence y seis de nueve consejeros externos [8, 23]. Debilidades: compras que se deterioran (Rise perdió la mitad en un año), remuneración decidida por el consejero delegado y cambio de auditor [8].</w:t>
      </w:r>
    </w:p>
    <w:p>
      <w:pPr>
        <w:spacing w:after="100"/>
      </w:pPr>
      <w:r>
        <w:rPr>
          <w:b/>
        </w:rPr>
        <w:t xml:space="preserve">Valoración.</w:t>
      </w:r>
      <w:r>
        <w:t xml:space="preserve"> El DCF da 1.231 JPY (+16,5 %) y el DCF inverso descuenta un 5,2 % de crecimiento anual frente al 8,1 % de nuestro base. Con la prima del mercado el DCF vale 1.527 JPY. La regla a 12 meses deja el PER en 19,7 veces en el base, 16,7 en el bajista y 25,6 en el alcista (v2, porque la acción está desrateada frente a su historia).</w:t>
      </w:r>
    </w:p>
    <w:p>
      <w:pPr>
        <w:spacing w:after="100"/>
      </w:pPr>
      <w:r>
        <w:rPr>
          <w:b/>
        </w:rPr>
        <w:t xml:space="preserve">Riesgos y catalizadores.</w:t>
      </w:r>
      <w:r>
        <w:t xml:space="preserve"> El riesgo central es la IA: menos horas de prueba vendidas aunque con más margen (bajista −27 % a 12 meses). Después, compras caras y deterioros, la escasez de ingenieros y un margen que lleva tres años sin mejorar. Catalizador: resultados del 1T de FY2027 a mediados de enero de 2027. Sentimiento optimista tras el stop-high del 16-oct.</w:t>
      </w:r>
    </w:p>
    <w:p>
      <w:pPr>
        <w:spacing w:after="100"/>
      </w:pPr>
      <w:r>
        <w:rPr>
          <w:b/>
        </w:rPr>
        <w:t xml:space="preserve">Qué cambiaría la decisión.</w:t>
      </w:r>
      <w:r>
        <w:t xml:space="preserve"> Comprar por debajo de ≈ 1.050 JPY con el negocio intacto; vender por encima de ≈ 1.342 JPY. Un trimestre con las ventas de pruebas planas o el precio por proyecto bajando empeoraría la tesis; un 1T con crecimiento orgánico ≥ 10 % y margen operativo ≥ 12 % la mejoraría.</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1.203,22 JPY</w:t>
      </w:r>
      <w:r>
        <w:t xml:space="preserve"> (rentabilidad +14,3 % (base +15,4 %)) · Valor intrínseco: 1.147,89 JPY (+8,7 % sobre 1.056,50) · con la prima implícita del mercado: 1.401,47 (+32,7 %)</w:t>
      </w:r>
    </w:p>
    <w:p>
      <w:pPr>
        <w:spacing w:after="100"/>
      </w:pPr>
      <w:r>
        <w:t xml:space="preserve">SHIFT es el mayor especialista en pruebas de software de Japón y ha crecido un 25 % anual desde FY2022, la mitad comprando, con un ROIC del 28 % [1]. La falta de ingenieros en Japón y la transformación digital le dan demanda; su método y su examen de aptitud le permiten formar personal propio [8].</w:t>
      </w:r>
    </w:p>
    <w:p>
      <w:pPr>
        <w:spacing w:after="100"/>
      </w:pPr>
      <w:r>
        <w:t xml:space="preserve">El mercado ya no le paga como empresa de crecimiento: ≈ 20 veces el BPA de los próximos 12 meses frente a 50-100 veces en 2019-2023, y el DCF inverso solo pide un 5 % de crecimiento anual. Pero la IA está cambiando su negocio: las pruebas tradicionales han caído del 42 % al 19 % de las ventas en un año y la empresa ha dejado de contratar ingenieros.</w:t>
      </w:r>
    </w:p>
    <w:p>
      <w:pPr>
        <w:spacing w:after="100"/>
      </w:pPr>
      <w:r>
        <w:t xml:space="preserve">El precio es razonable para el caso base (+15 %) y el valor intrínseco queda un 9 % por encima, pero el bajista de la IA (−27 %) pesa demasiado para comprar a este precio: la ponderada se queda en un 14 %. Es una candidata a comprar algo más abajo (≈ 1.050 JPY) o si los primeros trimestres sin contratación muestran que el volumen aguanta.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1.203,22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 × 46,03 = 768,70 · 19,7x × 61,66 = 1.214,70 · 25,6x × 71,34 = 1.826,30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 / 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(57,2x) es 2,9 veces el PER de hoy (19,7x);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984,29 (nuestro base +23,4 %)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1.147,89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51,8 % / -38,0 %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9,0 %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1.401,47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frente a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1.050,22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1.050,22 y 1.341,94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1.341,94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 1.050 JPY con el negocio intacto: Comprar.</w:t>
      </w:r>
    </w:p>
    <w:p>
      <w:pPr>
        <w:pStyle w:val="ListParagraph"/>
        <w:numPr>
          <w:ilvl w:val="0"/>
          <w:numId w:val="2"/>
        </w:numPr>
        <w:spacing w:after="60"/>
      </w:pPr>
      <w:r>
        <w:t xml:space="preserve">Precio por encima de ≈ 1.342 JPY: Vender.</w:t>
      </w:r>
    </w:p>
    <w:p>
      <w:pPr>
        <w:pStyle w:val="ListParagraph"/>
        <w:numPr>
          <w:ilvl w:val="0"/>
          <w:numId w:val="2"/>
        </w:numPr>
        <w:spacing w:after="60"/>
      </w:pPr>
      <w:r>
        <w:t xml:space="preserve">Ventas del segmento de pruebas planas o en caída, o precio por proyecto bajando: rebajar.</w:t>
      </w:r>
    </w:p>
    <w:p>
      <w:pPr>
        <w:pStyle w:val="ListParagraph"/>
        <w:numPr>
          <w:ilvl w:val="0"/>
          <w:numId w:val="2"/>
        </w:numPr>
        <w:spacing w:after="60"/>
      </w:pPr>
      <w:r>
        <w:t xml:space="preserve">Crecimiento orgánico ≥ 10 % con margen operativo J-GAAP ≥ 12 % en el 1T-2T de FY2027: revisar al alza.</w:t>
      </w:r>
    </w:p>
    <w:p>
      <w:pPr>
        <w:pStyle w:val="ListParagraph"/>
        <w:numPr>
          <w:ilvl w:val="0"/>
          <w:numId w:val="2"/>
        </w:numPr>
        <w:spacing w:after="60"/>
      </w:pPr>
      <w:r>
        <w:t xml:space="preserve">Otro deterioro grande o una compra a más de 1,5 veces ventas: rebajar.</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la caída de 2024-2026, que SHIFT es un servicio de TI maduro expuesto a la IA (≈ 20 veces el beneficio); tras los resultados de octubre, que la IA le sube el margen. Los analistas, más fríos (objetivo medio de 984 JPY).</w:t>
      </w:r>
    </w:p>
    <w:p>
      <w:pPr>
        <w:keepNext/>
        <w:spacing w:after="100"/>
      </w:pPr>
      <w:r>
        <w:rPr>
          <w:b/>
          <w:bCs/>
        </w:rPr>
        <w:t xml:space="preserve">Lo que creemos nosotros.</w:t>
      </w:r>
    </w:p>
    <w:p>
      <w:pPr>
        <w:spacing w:after="100"/>
      </w:pPr>
      <w:r>
        <w:t xml:space="preserve">Coincidimos en el BPA de los dos próximos años (52,16 y 61,66 JPY frente a 54,06 y 65,89) y en que el múltiplo ya es razonable; vemos más probable que el mercado (30 %) que la IA reduzca el volumen de horas de prueba, aunque suba el margen por hora.</w:t>
      </w:r>
    </w:p>
    <w:p>
      <w:pPr>
        <w:keepNext/>
        <w:spacing w:after="100"/>
      </w:pPr>
      <w:r>
        <w:rPr>
          <w:b/>
          <w:bCs/>
        </w:rPr>
        <w:t xml:space="preserve">Por qué podemos tener razón.</w:t>
      </w:r>
    </w:p>
    <w:p>
      <w:pPr>
        <w:spacing w:after="100"/>
      </w:pPr>
      <w:r>
        <w:t xml:space="preserve">Las pruebas tradicionales se están convirtiendo en pruebas con IA a un ritmo muy rápido (de 42 % a 19 % de las ventas en un año) y la propia empresa ha dejado de contratar ingenieros: es un negocio que pasa de vender horas a vender resultados, y en esa transición el cliente se queda parte del ahorro.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1.0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Valoración ya baja</w:t>
      </w:r>
      <w:r>
        <w:t xml:space="preserve">: ≈ 20 veces el BPA de los próximos 12 meses; el DCF inverso pide un 5 % anual.</w:t>
      </w:r>
    </w:p>
    <w:p>
      <w:pPr>
        <w:pStyle w:val="ListParagraph"/>
        <w:numPr>
          <w:ilvl w:val="0"/>
          <w:numId w:val="2"/>
        </w:numPr>
        <w:spacing w:after="60"/>
      </w:pPr>
      <w:r>
        <w:rPr>
          <w:b/>
        </w:rPr>
        <w:t xml:space="preserve">Crecimiento</w:t>
      </w:r>
      <w:r>
        <w:t xml:space="preserve">: ventas +24,5 % en FY2026 (+17,8 % orgánico) y guía de +17,6 % en FY2027.</w:t>
      </w:r>
    </w:p>
    <w:p>
      <w:pPr>
        <w:pStyle w:val="ListParagraph"/>
        <w:numPr>
          <w:ilvl w:val="0"/>
          <w:numId w:val="2"/>
        </w:numPr>
        <w:spacing w:after="60"/>
      </w:pPr>
      <w:r>
        <w:rPr>
          <w:b/>
        </w:rPr>
        <w:t xml:space="preserve">Rentabilidad</w:t>
      </w:r>
      <w:r>
        <w:t xml:space="preserve">: ROIC del 28 % con poco capital y deuda neta casi nula.</w:t>
      </w:r>
    </w:p>
    <w:p>
      <w:pPr>
        <w:pStyle w:val="ListParagraph"/>
        <w:numPr>
          <w:ilvl w:val="0"/>
          <w:numId w:val="2"/>
        </w:numPr>
        <w:spacing w:after="60"/>
      </w:pPr>
      <w:r>
        <w:rPr>
          <w:b/>
        </w:rPr>
        <w:t xml:space="preserve">La IA sube el margen</w:t>
      </w:r>
      <w:r>
        <w:t xml:space="preserve">: servicios con IA con margen bruto del 42-55 % frente al 32 %.</w:t>
      </w:r>
    </w:p>
    <w:p>
      <w:pPr>
        <w:pStyle w:val="ListParagraph"/>
        <w:numPr>
          <w:ilvl w:val="0"/>
          <w:numId w:val="2"/>
        </w:numPr>
        <w:spacing w:after="60"/>
      </w:pPr>
      <w:r>
        <w:rPr>
          <w:b/>
        </w:rPr>
        <w:t xml:space="preserve">Disciplina nueva</w:t>
      </w:r>
      <w:r>
        <w:t xml:space="preserve">: primer dividendo, menos fondo de comercio y compras con capital ajeno.</w:t>
      </w:r>
    </w:p>
    <w:p>
      <w:pPr>
        <w:pStyle w:val="Heading2"/>
      </w:pPr>
      <w:r>
        <w:t xml:space="preserve">En contra</w:t>
      </w:r>
    </w:p>
    <w:p>
      <w:pPr>
        <w:pStyle w:val="ListParagraph"/>
        <w:numPr>
          <w:ilvl w:val="0"/>
          <w:numId w:val="2"/>
        </w:numPr>
        <w:spacing w:after="60"/>
      </w:pPr>
      <w:r>
        <w:rPr>
          <w:b/>
        </w:rPr>
        <w:t xml:space="preserve">Riesgo de la IA</w:t>
      </w:r>
      <w:r>
        <w:t xml:space="preserve">: vende horas de prueba; las pruebas tradicionales ya caen y el bajista pierde un 27 % a 12 meses.</w:t>
      </w:r>
    </w:p>
    <w:p>
      <w:pPr>
        <w:pStyle w:val="ListParagraph"/>
        <w:numPr>
          <w:ilvl w:val="0"/>
          <w:numId w:val="2"/>
        </w:numPr>
        <w:spacing w:after="60"/>
      </w:pPr>
      <w:r>
        <w:rPr>
          <w:b/>
        </w:rPr>
        <w:t xml:space="preserve">Compras</w:t>
      </w:r>
      <w:r>
        <w:t xml:space="preserve">: fondo de comercio ≈ 69 % del patrimonio y deterioros cada año (Rise, −50 % en un año).</w:t>
      </w:r>
    </w:p>
    <w:p>
      <w:pPr>
        <w:pStyle w:val="ListParagraph"/>
        <w:numPr>
          <w:ilvl w:val="0"/>
          <w:numId w:val="2"/>
        </w:numPr>
        <w:spacing w:after="60"/>
      </w:pPr>
      <w:r>
        <w:rPr>
          <w:b/>
        </w:rPr>
        <w:t xml:space="preserve">Margen bajo</w:t>
      </w:r>
      <w:r>
        <w:t xml:space="preserve">: EBITDA del 13-15 % sin mejora en tres años.</w:t>
      </w:r>
    </w:p>
    <w:p>
      <w:pPr>
        <w:pStyle w:val="ListParagraph"/>
        <w:numPr>
          <w:ilvl w:val="0"/>
          <w:numId w:val="2"/>
        </w:numPr>
        <w:spacing w:after="60"/>
      </w:pPr>
      <w:r>
        <w:rPr>
          <w:b/>
        </w:rPr>
        <w:t xml:space="preserve">Gobierno</w:t>
      </w:r>
      <w:r>
        <w:t xml:space="preserve">: fundador con un tercio, remuneración decidida por él y cambio de auditor.</w:t>
      </w:r>
    </w:p>
    <w:p>
      <w:pPr>
        <w:pStyle w:val="ListParagraph"/>
        <w:numPr>
          <w:ilvl w:val="0"/>
          <w:numId w:val="2"/>
        </w:numPr>
        <w:spacing w:after="60"/>
      </w:pPr>
      <w:r>
        <w:rPr>
          <w:b/>
        </w:rPr>
        <w:t xml:space="preserve">Datos</w:t>
      </w:r>
      <w:r>
        <w:t xml:space="preserve">: dejó de publicar el número de ingenieros.</w:t>
      </w:r>
    </w:p>
    <w:p>
      <w:pPr>
        <w:pStyle w:val="Heading2"/>
      </w:pPr>
      <w:r>
        <w:t xml:space="preserve">Qué tiene que pasar para que la tesis funcione</w:t>
      </w:r>
    </w:p>
    <w:p>
      <w:pPr>
        <w:spacing w:after="100"/>
      </w:pPr>
      <w:r>
        <w:t xml:space="preserve">La tesis depende de que el paso de pruebas tradicionales a pruebas con IA suba el margen sin hundir el volumen total. La señal en contra sería un trimestre con las ventas del segmento de pruebas planas o el precio por proyecto bajando; la señal a favor, crecimiento orgánico ≥ 10 % y margen operativo ≥ 12 % en los resultados de enero o abril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segmento de pruebas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64.382 M (FY2026, +11,8 %)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Planas o en 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quita volumen.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proyecto (matriz)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 miles de JPY al mes (4T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Bajando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la hora frente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comprado de lo propio.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J-GAAP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supone ≈ 11,5 %.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las ventas con 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 (4T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Sube sin que suban las ventas totales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Sustitución frente a crecimiento.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 / 10,1x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36,8x / 19,0x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Masaru Tange funda SHIFT en septiembre de 2005 en Tokio como consultora de mejora de procesos para la industria [8]. En 2009 crea su división de pruebas de software y en 2010 su examen de aptitud para pruebas («CAT»), que le permite contratar personal sin experiencia informática y formarlo como probador [8]. Sale a bolsa en la Mothers de Tokio en noviembre de 2014, pasa a la primera sección en octubre de 2019 y a Prime en 2022 [8]. Desde 2016 compra empresas casi cada año (Methodologic, ALH, Airitech, System I, Bunsekiya, VISH, DICO, HumanSystem…) para añadir desarrollo, infraestructura y consultoría a las pruebas, y amplía capital en 2019 y 2020 [8]. Las ventas pasan de ≈ 1.000 M JPY a 161.600 M en FY2026 [1]. En 2025 compra el 33 % de Rise Consulting Group, que deteriora a la mitad un año después; en 2026 compra Nisseicom, paga su primer dividendo y crea un fondo de compras con Tokyo Gas [9, 10,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Masaru Tange en Tokio (consultoría de procesos para la industria).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pruebas de software y examen CAT para contratar probadores sin experiencia.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Mothers de Tokio (noviembre).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veinte compras de empresas de desarrollo, infraestructura y personal técnico; primera sección (2019) y Prime (2022).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Split 15:1 (enero), 33 % de Rise Consulting Group y entrada en el Nikkei 225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Rise, compra de Nisseicom (≈ 20.486 M), primer dividendo y fondo con Tokyo Gas [10, 12, 13,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SHIFT es la mayor empresa independiente de pruebas de software de Japón: comprueba que los sistemas y aplicaciones de grandes empresas funcionan antes de ponerlos en marcha, y desde hace unos años también desarrolla, opera sistemas y hace consultoría de TI, en parte con empresas compradas [8]. Vende todo en Japón [8].</w:t>
      </w:r>
    </w:p>
    <w:p>
      <w:pPr>
        <w:pStyle w:val="Heading2"/>
      </w:pPr>
      <w:r>
        <w:t xml:space="preserve">Cómo gana dinero</w:t>
      </w:r>
    </w:p>
    <w:p>
      <w:pPr>
        <w:spacing w:after="100"/>
      </w:pPr>
      <w:r>
        <w:t xml:space="preserve">Cobra por proyecto, sobre todo por horas de ingenieros y personal de pruebas asignados a cada cliente: ventas = proyectos × precio por proyecto [3]. Crece contratando (hasta 2025), subiendo el precio por proyecto (proyectos más grandes y consultoría) y comprando empresas de desarrollo y personal técnico [3]. Desde 2026 vende servicios «con IA» con más margen (42-55 % frente al 32 %), pero que necesitan menos horas [3, 4].</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Pruebas (Testing)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(Development)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plataforma de inversión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Pruebas (Testing)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(Development)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plataforma de inversión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Grandes empresas japonesas de finanzas, industria, comercio, telecomunicaciones y administración; ningún cliente supera el 10 % de las ventas (nota de segmentos) [1, 8]. Continuidad de clientes del 93,2 % por trimestre [3]. Poder de precios: el precio por proyecto sube por la mezcla (proyectos grandes y largos, consultoría) y por la IA, que la empresa cobra con más margen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proyecto (matriz, mensual)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 miles de JPY (4T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Consolidado: 2.921 miles; el KPI que la empresa prefiere al número de ingenieros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Proyectos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 (4T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los de las compras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con 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 (4T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42-55 % frente al 32 % tradicional; en gran parte sustituye pruebas tradicionales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Ocupación baja en el 1T por los ingenieros jóvenes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10.266 (ago-24)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11.688 (ago-25)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1.978 temporales; FY2026 sin publicar hasta el yuho de noviembre; no se contratan ingenieros desde el 2T FY2026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Continuidad de clientes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185 comerciales; ≈ 550 M JPY de ventas por comercial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los servicios de TI para empresas en Japón (pruebas y control de calidad, desarrollo, operación y consultoría de sistemas), donde SHIFT hace el 100 % de sus ventas [8]. IDC Japan lo mide en 7,5663 billones de JPY en 2025 (+7,3 %) [19]. Dentro, las pruebas de software: la empresa estima ≈ 5,5 billones como el 35 % del gasto en software (15,96 billones), pero buena parte la hacen los propios integradores y clientes, no especialistas como SHIFT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7.566.300 M JPY (servicios de TI de Japón, 2025, IDC Japan)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JPY (IDC Japan: 6,4608 billones en 2023, 7,5663 en 2025 y 10,2541 en 2030; años intermedios interpolados por el analista con la TCAC del 6,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Transformación digital y sustitución de sistemas antiguos en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TI +7,3 % en 2025 y TCAC del 6,2 % hasta 2030 [19]; información y comunicaciones +4,5 % interanual en mayo de 2026, 50 meses seguidos al alza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ingenieros de 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 millón de ingenieros de TI en Japón y oferta de empleo muy por encima de la demanda [8]: sube precios, pero limita el crecimiento por volumen.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que escribe y ejecuta pruebas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SHIFT dice que el coste por caso de prueba con IA baja un 92 % [3]; Daiwa rebajó la acción en junio de 2026 por el riesgo de sustitución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que multiplica el software que hay que probar y la seguridad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código generado por IA, más pruebas de IA, ciberseguridad y defensa: contratos de evaluación de IA de defensa en 2026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inversión empresarial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proyectos de TI se aplazan en recesión; las pruebas son de los primeros en recortarse.</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Integradores (NTT Data, Fujitsu, NEC) con sus propias pruebas, especialistas pequeños (Valtes, Digital Hearts) y consultoras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empresas con compras centralizadas; ningún cliente supera el 10 %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es el ingeniero: escasez en Japón y salarios al alza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 baja en capital pero alta en escala, método y base de clientes.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puede generar y ejecutar casos de prueba y revisar código: el trabajo de prueba manual por horas es el más expuesto [3, 22].</w:t>
            </w:r>
          </w:p>
        </w:tc>
      </w:tr>
    </w:tbl>
    <w:p>
      <w:pPr>
        <w:spacing w:after="160" w:before="0"/>
      </w:pPr>
    </w:p>
    <w:p>
      <w:pPr>
        <w:pStyle w:val="Heading2"/>
      </w:pPr>
      <w:r>
        <w:t xml:space="preserve">Ciclo</w:t>
      </w:r>
    </w:p>
    <w:p>
      <w:pPr>
        <w:spacing w:after="100"/>
      </w:pPr>
      <w:r>
        <w:t xml:space="preserve">El gasto en TI de Japón crece (+7,3 % en 2025) y SHIFT crece un 18 % orgánico; la IA cambia la mezcla dentro del mercado más que su tamaño a corto plazo [3, 19].</w:t>
      </w:r>
    </w:p>
    <w:p>
      <w:pPr>
        <w:pStyle w:val="Heading2"/>
      </w:pPr>
      <w:r>
        <w:t xml:space="preserve">Regulación</w:t>
      </w:r>
    </w:p>
    <w:p>
      <w:pPr>
        <w:spacing w:after="100"/>
      </w:pPr>
      <w:r>
        <w:t xml:space="preserve">Sin regulación sectorial específica: ley laboral (envío de personal y contratos de servicios), protección de datos y contratación pública; la certificación ISMAP para servicios en la nube de la administración [8].</w:t>
      </w:r>
    </w:p>
    <w:p>
      <w:pPr>
        <w:pStyle w:val="Heading2"/>
      </w:pPr>
      <w:r>
        <w:t xml:space="preserve">Tendencias y disrupción</w:t>
      </w:r>
    </w:p>
    <w:p>
      <w:pPr>
        <w:spacing w:after="100"/>
      </w:pPr>
      <w:r>
        <w:t xml:space="preserve">Tres tendencias: 1) la IA automatiza el diseño y la ejecución de pruebas: el trabajo tradicional de SHIFT pasó del 42 % al 19 % de sus ventas en un año, sustituido por servicios «con IA» con más margen [3]; 2) la IA genera más software y más riesgos (seguridad, calidad de la propia IA), que piden más verificación [3]; 3) los clientes japoneses externalizan cada vez más por la falta de ingenieros, pero los integradores grandes compiten por el mismo trabajo [8].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especialista independiente en pruebas de software de Japón; ≈ 2 % de los servicios de TI del país con 161.600 M JPY de ventas en FY2026 [8,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 riesgo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NTT Data, Fujitsu, NEC (pruebas dentro de la integración)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sus propias pruebas; son a la vez clientes y competidores.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Research Institute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829.393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Consultoría y sistemas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3626.T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606.274</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Integrador independiente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95.646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y pruebas de software y móviles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Hearts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Pruebas de software y videojuegos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Valtes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4442.T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12.199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Especialista en pruebas, mucho más pequeño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de clientes del 93 % y proyectos largos, pero los contratos son de servicios y se pueden cambiar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pruebas en Japón, método y herramientas propias (CAT, plataformas de IA)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el mayor equipo de pruebas del país, con contratación de no ingenieros formados por examen propio; IA interna que baja el coste por caso un 92 %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grande y fragmentado.</w:t>
            </w:r>
          </w:p>
        </w:tc>
      </w:tr>
    </w:tbl>
    <w:p>
      <w:pPr>
        <w:spacing w:after="160" w:before="0"/>
      </w:pPr>
    </w:p>
    <w:p>
      <w:pPr>
        <w:pStyle w:val="Heading2"/>
      </w:pPr>
      <w:r>
        <w:t xml:space="preserve">Amenazas</w:t>
      </w:r>
    </w:p>
    <w:p>
      <w:pPr>
        <w:spacing w:after="100"/>
      </w:pPr>
      <w:r>
        <w:t xml:space="preserve">La mayor amenaza es la IA: si los clientes o los integradores generan y ejecutan las pruebas con IA, el trabajo por horas de SHIFT se encoge; la propia SHIFT vende ya «pruebas con IA» que sustituyen a las tradicionales y dejó de contratar ingenieros jóvenes [3, 4]. Segundo, los integradores grandes, que pueden quedarse las pruebas dentro de sus proyectos. Tercero, la escasez de ingenieros encarece el crecimiento por volumen [8].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spacing w:after="100"/>
      </w:pPr>
      <w:r>
        <w:t xml:space="preserve">Crecimiento anual compuesto FY2022-FY2026: ingresos </w:t>
      </w:r>
      <w:r>
        <w:rPr>
          <w:b/>
          <w:bCs/>
        </w:rPr>
        <w:t xml:space="preserve">25,6 %</w:t>
      </w:r>
      <w:r>
        <w:t xml:space="preserve">, EBITDA </w:t>
      </w:r>
      <w:r>
        <w:rPr>
          <w:b/>
          <w:bCs/>
        </w:rPr>
        <w:t xml:space="preserve">26,8 %</w:t>
      </w:r>
      <w:r>
        <w:t xml:space="preserve">, BPA </w:t>
      </w:r>
      <w:r>
        <w:rPr>
          <w:b/>
          <w:bCs/>
        </w:rPr>
        <w:t xml:space="preserve">11,1 %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64.873 M JPY en FY2022 a 161.600 M en FY2026 (TCAC del 25,6 %), con compras cada año [1, 7]. En FY2026 crecieron un 24,5 %: ≈ 23.100 M orgánicos (+17,8 %) y ≈ 8.700 M de compras (Nisseicom y STEP) [3]. El resultado operativo J-GAAP (después de amortizar el fondo de comercio) subió de 6.913 M a 17.445 M, pero el margen bajó del 12,0 % de FY2025 al 10,8 % por el margen bruto (33,5 %, −1,1 puntos: ingenieros jóvenes contratados en el 1T que tardaron seis meses en ser productivos) y por las amortizaciones de las compras [1, 4]. El beneficio neto cayó un 16,8 % (7.430 M) por la pérdida de 3.861 M de Rise Consulting Group, una participada por puesta en equivalencia que se deterioró en el 3T, y 859 M de pérdidas extraordinarias [1, 10]. El EBITDA del informe es el de la empresa: resultado operativo + amortización + amortización del fondo de comercio (21.604 M, 13,4 %) [2]. Pérdidas extraordinarias todos los años por deterioros de filiales y participaciones: 2.263 M (FY2023), 2.053 M, 1.624 M y 859 M [1, 5, 7].</w:t>
      </w:r>
    </w:p>
    <w:p>
      <w:pPr>
        <w:pStyle w:val="Heading2"/>
      </w:pPr>
      <w:r>
        <w:t xml:space="preserve">Ajustes y partidas no recurrentes</w:t>
      </w:r>
    </w:p>
    <w:p>
      <w:pPr>
        <w:spacing w:after="100"/>
      </w:pPr>
      <w:r>
        <w:t xml:space="preserve">La empresa publica un resultado «ajustado» que suma la amortización del fondo de comercio y de los intangibles de clientes y los costes de las compras: resultado operativo ajustado de 20.259 M y BPA ajustado de 39,12 JPY en FY2026 [2]. El informe usa el BPA básico J-GAAP (28,72 JPY), después de amortizar el fondo de comercio, que es la base de la guía de BPA básico de FY2027 (52,16 JPY) y del consenso (54,06) [1]. BPA de FY2026 sin la pérdida de Rise: ≈ 43,6 JPY. Split 15:1 del 24-ene-2025 aplicado a toda la historia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 FY2026 (15-oct-2026): ventas de 161.600 M JPY (+24,5 %), resultado operativo ajustado de 20.259 M (+14,8 %) y EBITDA de 21.604 M; el 4T fue el mejor trimestre (ventas 45.752 M, +33 %; EBITDA 7.474 M, 16,3 %) [1, 2]. Guía de FY2027 sin compras nuevas: ventas de 190.000 M (+17,6 %), resultado operativo ajustado de 25.000 M y BPA básico de 52,16 JPY; caso ambicioso de 200.000 M [1, 3]. Plan SHIFT3000: 300.000 M de ventas y 52.500 M de resultado ajustado en FY2031 (≈ 20.000 M orgánicos y ≈ 6.000 M comprados al año) [3]. KPI: precio por proyecto de la matriz de 4.575 miles de JPY al mes en el 4T, 4.777 proyectos (3.851 un año antes), continuidad de clientes del 93,2 % [2, 3]. Las ventas con IA («With AI» y «AI Native») pasaron del 2,7 % al 28,4 % de las ventas consolidadas entre el 1T y el 4T, con margen bruto del 42,3 % y 54,7 % frente al 31,9 % del trabajo tradicional; al mismo tiempo las pruebas tradicionales bajaron del 42,3 % al 18,7 % de las ventas: buena parte es trabajo que antes se vendía sin IA [3]. En la sesión de preguntas el consejero delegado dijo que en el 2T dieron por hecho que los ingenieros de ≤ 6 M JPY de salario serían sustituidos por la IA y dejaron de contratar ingenieros; que no publican el número de ingenieros porque su KPI es el precio por proyecto; y que la ocupación del 4T es de las más altas de su historia (objetivo del 92 %) [4]. Primer dividendo (4,53 JPY) y fondo con Tokyo Gas de 15.000 M para compras [13,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(FY2023: Compras de varias empresas de desarrollo y personal técnico (≈ 3.864 M JPY de salida de caja) [7].; FY2024: HumanSystem y Club Nets, entre otras (4.624 M JPY) [6].; FY2025: Compra del 33 % de Rise Consulting Group (7.668 M JPY), por puesta en equivalencia desde el 31-may-2025 [9].; FY2026: Nisseicom (100 % por ≈ 20.486 M JPY, ventas ≈ 20.000 M al año, consolidada desde el 3T) y STEP; 20.982 M de salida de caja por compras de filiales; el crecimiento comprado aportó ≈ 8.700 M de ventas de los 31.800 M de aumento [1, 3, 12].).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ha cambiado con las compras: el fondo de comercio pasó de 7.866 M a 22.344 M JPY en FY2026 (Nisseicom) y, con los intangibles de clientes, es ≈ 69 % del patrimonio neto (41.559 M) [1, 11]. El fondo de comercio se amortiza (J-GAAP: 1.861 M en FY2026, ≈ 2.000-2.300 M en FY2027) y se deteriora con frecuencia: pérdidas extraordinarias por deterioro de filiales en cada uno de los últimos cuatro años [1, 5]. El circulante operativo es pequeño: cuentas a cobrar y activos de contrato (24.527 M, 55 días de ventas del 4T) casi compensados por los gastos de personal devengados, impuestos indirectos y bonus [1]. El patrimonio apenas subió (de 40.598 M a 41.559 M) porque la recompra de enero se llevó casi todo el beneficio [1, 17].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45.227</w:t>
      </w:r>
      <w:r>
        <w:t xml:space="preserve">, conversión </w:t>
      </w:r>
      <w:r>
        <w:rPr>
          <w:b/>
          <w:bCs/>
        </w:rPr>
        <w:t xml:space="preserve">138 %</w:t>
      </w:r>
      <w:r>
        <w:t xml:space="preserve"> del beneficio neto; adquisiciones 38.467, dividendos 0, recompras 11.548.</w:t>
      </w:r>
    </w:p>
    <w:p>
      <w:pPr>
        <w:spacing w:after="100"/>
      </w:pPr>
      <w:r>
        <w:t xml:space="preserve">El flujo operativo fue de 13.723 M JPY en FY2026 (15.652 M en FY2025), frente a un beneficio de 7.430 M: la conversión es buena porque la amortización del fondo de comercio y la pérdida de Rise no son caja [1]. La inversión en inmovilizado es pequeña (1.663 M, ≈ 1 % de las ventas; FY2024 fue la excepción por la nueva sede, 5.711 M) [1, 6]. Lo grande son las compras: 20.982 M en FY2026, 8.685 M en FY2025 (con Rise) y 4.624 M en FY2024 [1, 5, 6]. Flujo libre después de compras: −8.919 M en FY2026, financiado con deuda [1]. Sin dividendos pagados hasta noviembre de 2026; recompras de 6.547 M en FY2026 [1,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LLC desde FY2026 (antes Ernst &amp; Young ShinNihon, siete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el ejercicio a ago-2025 (EY) [8]; el informe del auditor de FY2026 llega con el yuho del 24-nov-2026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J-GAAP de un comprador en serie: el beneficio publicado lleva la amortización del fondo de comercio (≈ 1.900-2.300 M al año) y deterioros repetidos de filiales y participaciones, y la empresa empuja un beneficio «ajustado» que los quita todos [1, 2]. Los deterioros recurrentes (Rise, Gurunavi y filiales en FY2023-FY2026) dicen que algunas compras se pagaron caras: en FY2026 se deterioraron 3.861 M de Rise un año después de comprarla por 7.668 M [1, 10]. Cambio de auditor de EY a Deloitte en FY2026 [8]. El flujo operativo sigue al EBITDA. La empresa dejó de dar el número de ingenieros, un dato clave en un negocio de horas [4].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repetidos de compras y participadas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2.263 M (FY2023), 2.053 M, 1.624 M y 859 M + 3.861 M de Rise en FY2026 [1,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«ajustado» que excluye amortizaciones y costes de 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39,12 JPY frente al básico de 28,72 en FY2026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de clientes ≈ 69 % del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empresa quiere bajarlo comprando con capital de terceros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EY (siete años) a Deloitte en FY2026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Deja de publicar el número de ingenieros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consejero delegado prefiere el precio por proyecto como KPI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37.114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22.344 M en FY2026 (el 41 % del capital invertido medio); ha subido más de un 5 % en 2 de 4 años: compra única grande. ROIC publicado 28,2 %; sin fondo de comercio, 47,6 %.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27,9 % · </w:t>
      </w:r>
      <w:r>
        <w:rPr>
          <w:b/>
          <w:bCs/>
        </w:rPr>
        <w:t xml:space="preserve">WACC</w:t>
      </w:r>
      <w:r>
        <w:t xml:space="preserve">: 9,0 %.</w:t>
      </w:r>
    </w:p>
    <w:p>
      <w:pPr>
        <w:spacing w:after="100"/>
      </w:pPr>
      <w:r>
        <w:t xml:space="preserve">ROIC del 28,2 % en FY2026 (47,6 % sin el fondo de comercio) frente a un WACC del 9,0 %: 19 puntos por encima. El negocio vende horas de personas y apenas necesita capital: inmovilizado del 1 % de las ventas y circulante casi nulo, porque los gastos de personal devengados compensan las cuentas a cobrar [1]. La tendencia es a la baja: 44,4 % en FY2023, 39,7 % en FY2025 y 28,2 % en FY2026, porque el capital invertido crece con el fondo de comercio de las compras (Nisseicom: de 7.866 M a 22.344 M) más deprisa que el beneficio operativo. El ROIC incremental histórico (≈ 28 %) sigue muy por encima del WACC, pero las compras rinden menos que el negocio orgánico y algunas se deterioran (Rise). El ROE (18,1 %) es menor que el ROIC por la caja y la deuda. Lo que amenaza esta rentabilidad no es el capital sino el margen: si la IA baja el precio de la hora de prueba o las horas que se compran, el margen EBITDA del 13-15 % (ya bajo para el sector) cae y el ROIC con él.</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31.097 M JPY a 31-ago-2026 frente a 34.713 M de préstamos (7.175 a corto y 27.538 a largo): deuda neta de ≈ 3.600 M, ≈ 0,2 veces el EBITDA [1]. La deuda se triplicó en FY2026 (27.400 M de préstamos nuevos) para pagar Nisseicom (≈ 20.500 M) y la recompra (6.547 M) [1, 12,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 pública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Obligaciones por pensiones de 3.477 M JPY (planes de prestación definida de filiales compradas) [1]. Sin arrendamientos en balance (J-GAAP): los alquileres de oficinas van en gastos. Inversiones financieras de 4.961 M, con la participación del 33 % en Rise Consulting Group (cotizada, 9168.T) por puesta en equivalencia [1, 9].</w:t>
      </w:r>
    </w:p>
    <w:p>
      <w:pPr>
        <w:pStyle w:val="Heading1"/>
      </w:pPr>
      <w:r>
        <w:t xml:space="preserve">12. Asignación de capital</w:t>
      </w:r>
    </w:p>
    <w:p>
      <w:pPr>
        <w:pStyle w:val="Confianza"/>
        <w:spacing w:after="100"/>
      </w:pPr>
      <w:r>
        <w:t xml:space="preserve">Confianza: Alta</w:t>
      </w:r>
    </w:p>
    <w:p>
      <w:pPr>
        <w:spacing w:after="100"/>
      </w:pPr>
      <w:r>
        <w:t xml:space="preserve">Desde el 15-jul-2026 y hasta FY2028: retener ≈ 80 % del beneficio para crecer y devolver ≈ 20 % (≈ 10 % en dividendo y ≈ 10 % flexible); las compras grandes, sobre todo con capital de terceros (fondos), para no seguir inflando el fondo de comercio [11]. Primer dividendo de 4,53 JPY por FY2026 (1.172 M, registro 31-ago-2026, pago 26-nov-2026) y 5,20 JPY previstos para FY2027 [1, 15]. Fondo con Tokyo Gas de 15.000 M (SHIFT 32,3 %, Tokyo Gas 66,7 %) desde el 1-dic-2026, que se consolidará [13]. Recompra de 7,9 M de acciones (≈ 6.547 M) en enero de 2026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Nisseicom (desarrollo y operación de sistemas; ventas ≈ 20.900 M, resultado operativo ≈ 1.100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bancaria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3T; ≈ 0,98 veces ventas y ≈ 21 veces el beneficio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Rise Consulting Group (33 %, consultora cotizada)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3.861 M en FY2026; hoy vale ≈ 2.900 M en bolsa [9,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HumanSystem, Club Nets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Integradas [6].</w:t>
            </w:r>
          </w:p>
        </w:tc>
      </w:tr>
    </w:tbl>
    <w:p>
      <w:pPr>
        <w:spacing w:after="160" w:before="0"/>
      </w:pPr>
    </w:p>
    <w:p>
      <w:pPr>
        <w:spacing w:after="100"/>
      </w:pPr>
      <w:r>
        <w:t xml:space="preserve">SHIFT ha crecido comprando: ≈ 39.000 M JPY en compras y participaciones en cuatro años, más que todo su flujo libre antes de compras [1, 5, 6, 7]. El resultado es mixto: Nisseicom añade ≈ 20.000 M de ventas al año a ≈ 1 vez ventas, pero Rise perdió la mitad de su valor en un año y hay deterioros cada año [1, 10]. La nueva política reconoce el problema: menos fondo de comercio, compras con capital ajeno (el fondo con Tokyo Gas) y un primer dividendo [11, 13]. Las acciones en circulación bajaron de ≈ 263 M a 255,6 M con la recompra de enero [1, 17].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Masaru Tange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ejecutivo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SHIFT en 2005 como consultora de mejora de procesos y la convirtió en la mayor empresa de pruebas de software de Japón; con él las ventas pasaron de ≈ 1.000 M a 161.600 M JPY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Michio Sasaki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del consejo (ex presidente de Keyence)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presidente de Keyence; aporta disciplina comercial y de márgenes [8,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Motoya Kobayashi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negocio; 2,25 M de acciones [8].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130.000 M JPY; resultado operativo 13.500 M; beneficio 7.900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129.819; 15.628; 8.935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150.000 M; resultado operativo ajustado 20.000 M; beneficio ajustado 13.500 M (BPA ajustado 51,27)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161.600 (con compras); 20.259; 10.120 (BPA ajustado 39,12)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 (revisada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básico 24,35 JPY (desde 43,67) por el deterioro de Rise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28,72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190.000 M; resultado operativo ajustado 25.000 M; BPA básico 52,16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r>
    </w:tbl>
    <w:p>
      <w:pPr>
        <w:spacing w:after="160" w:before="0"/>
      </w:pPr>
    </w:p>
    <w:p>
      <w:pPr>
        <w:spacing w:after="100"/>
      </w:pPr>
      <w:r>
        <w:t xml:space="preserve">Empresa de fundador: Masaru Tange (consejero delegado desde 2005) tiene ≈ 32 % de las acciones en circulación y su grupo ≈ 33 % [8, 27]. Cumple la guía de ventas (con compras) y de resultado operativo, pero el beneficio de FY2026 falló un 25 % por la pérdida de Rise, una participada comprada un año antes [1, 10]. El presidente del consejo es Michio Sasaki, ex presidente de Keyence [23].</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Masaru Tange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Michio Sasaki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Motoya Kobayashi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Murakami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Fumiko Motoya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Hatta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(comisión de auditoría, a tiempo completo)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Nakagaki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(comisión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Yanaka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 (comisión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supervisión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98,8 %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el ejercicio a ago-2025 (EY) [8]; el informe del auditor de FY2026 llega con el yuho del 24-nov-2026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Masaru Tange (fundador y consejero delegado)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 sin cambios; su grupo bajó del 34,09 % al 33,18 % (enero de 2026)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y Custody Bank of Japan (fiduciarios)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Custodios de fondos japoneses [8]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Arcus Investment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5 % (13,41 M de acciones, marzo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y Sumitomo Mitsui Trust AM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informes de participación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en febrero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Motoya Kobayashi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conocidos [8]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6"/>
        <w:gridCol w:w="3381"/>
        <w:gridCol w:w="1521"/>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de Masaru Tange (personas vinculadas)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Tange cobró 147 M JPY en FY2025: 17 M de fijo y 129 M en acciones restringidas, sin variable ligado a resultados [8]. El consejo delega en el consejero delegado el reparto de la remuneración individual de los consejeros ejecutivos, algo que critican los asesores de voto [8, 26]. Ratio frente al salario medio de la matriz (6,849 M JPY): ≈ 21 veces [8]. En Japón no hay voto consultivo de la remuneración.</w:t>
      </w:r>
    </w:p>
    <w:p>
      <w:pPr>
        <w:pStyle w:val="Heading2"/>
      </w:pPr>
      <w:r>
        <w:t xml:space="preserve">Operaciones vinculadas, estructura de control y defensas</w:t>
      </w:r>
    </w:p>
    <w:p>
      <w:pPr>
        <w:spacing w:after="100"/>
      </w:pPr>
      <w:r>
        <w:t xml:space="preserve">El fundador controla de hecho la junta con ≈ 32-33 % (más de un tercio con su grupo hasta enero de 2026: bloqueo de acuerdos especiales) [8, 27]. Una acción, un voto. Sociedad con comisión de auditoría y supervisión: nueve consejeros, seis externos y tres mujeres; el presidente del consejo (Sasaki) no es el consejero delegado, pero es ejecutivo [23]. Tange fue reelegido con el 98,79 % en 2025 (99,08 % en 2024) [24, 25]. ISS recomendó votar en contra de dos consejeros de la comisión de auditoría en 2025 [26]. Sin medidas antiopa.</w:t>
      </w:r>
    </w:p>
    <w:p>
      <w:pPr>
        <w:pStyle w:val="Heading2"/>
      </w:pPr>
      <w:r>
        <w:t xml:space="preserve">Señales de alerta</w:t>
      </w:r>
    </w:p>
    <w:p>
      <w:pPr>
        <w:pStyle w:val="ListParagraph"/>
        <w:numPr>
          <w:ilvl w:val="0"/>
          <w:numId w:val="2"/>
        </w:numPr>
        <w:spacing w:after="60"/>
      </w:pPr>
      <w:r>
        <w:t xml:space="preserve">El fundador tiene un tercio: alinea intereses pero también decide solo las compras (Rise se deterioró a la mitad en un año) [8, 10].</w:t>
      </w:r>
    </w:p>
    <w:p>
      <w:pPr>
        <w:pStyle w:val="ListParagraph"/>
        <w:numPr>
          <w:ilvl w:val="0"/>
          <w:numId w:val="2"/>
        </w:numPr>
        <w:spacing w:after="60"/>
      </w:pPr>
      <w:r>
        <w:t xml:space="preserve">Remuneración del consejo decidida por el consejero delegado y sin variable ligado a resultados [8].</w:t>
      </w:r>
    </w:p>
    <w:p>
      <w:pPr>
        <w:pStyle w:val="ListParagraph"/>
        <w:numPr>
          <w:ilvl w:val="0"/>
          <w:numId w:val="2"/>
        </w:numPr>
        <w:spacing w:after="60"/>
      </w:pPr>
      <w:r>
        <w:t xml:space="preserve">Cambio de auditor de EY a Deloitte en FY2026 [8].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(sep-2026 a ago-2027), dada el 15-oct-2026, sin compras nuevas: ventas de 190.000 M JPY (+17,6 %), resultado operativo ajustado de 25.000 M, beneficio ajustado de 16.500 M, BPA ajustado de 63,75 JPY y BPA básico de 52,16; DPA de 5,20 JPY. Caso ambicioso: 200.000 M de ventas y 31.400 M de resultado ajustado. Plan SHIFT3000: 300.000 M de ventas y 52.500 M de resultado ajustado en FY2031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 analistas) y MarketScreener [29, 32]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(6 analistas) y MarketScreener [29,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210.316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780,00 – 1.250,00</w:t>
            </w:r>
          </w:p>
        </w:tc>
      </w:tr>
    </w:tbl>
    <w:p>
      <w:pPr>
        <w:spacing w:after="160" w:before="0"/>
      </w:pPr>
    </w:p>
    <w:p>
      <w:pPr>
        <w:pStyle w:val="Heading2"/>
      </w:pPr>
      <w:r>
        <w:t xml:space="preserve">Revisiones de estimaciones</w:t>
      </w:r>
    </w:p>
    <w:p>
      <w:pPr>
        <w:spacing w:after="100"/>
      </w:pPr>
      <w:r>
        <w:t xml:space="preserve">El BPA de FY2027 del consenso apenas se movió en 90 días (de 54,34 a 54,06 JPY) y el de FY2028 subió de 65,55 a 65,89 [29]. El objetivo medio (984 JPY, 8 analistas, 780-1.250) está por debajo del precio [32]. Daiwa rebajó la recomendación de 1 a 3 y el objetivo de 1.700 a 780 JPY el 2-jun-2026 por el riesgo de sustitución por IA; Iwai Cosmo la subió a A con objetivo de 1.050 el 21-abr-2026 [22]. En el foro se cita un informe de SBI con objetivo de 2.700 (no comprobado).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Acción muy volátil (62 % anual) que lleva cinco años por detrás del mercado: −8,1 % anual a cinco años frente al +18,0 % del TOPIX, tras caer un 75,6 % entre diciembre de 2023 y agosto de 2024 [28]. Desde el mínimo de febrero de 2026 (590 JPY, venta general del software por la IA) ha subido un 79 % [28]. Beta frente al ETF del TOPIX: 0,55 mensual a cinco años, 1,11 semanal a cinco años y 0,53 semanal a dos años; el ETF 1306.T tiene dos cierres anómalos que la herramienta descarta [28]. Liquidez alta: ≈ 5.400 M JPY negociados al día [28]. Entró en el Nikkei 225 en octubre de 2025 [22].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 / +55,4 % / +60,8 % / -11,5 %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-18,4 % / +78,6 %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1.196 JPY (27-oct-2025) al mínimo de 590 (24-feb-2026): primer trimestre por debajo de lo esperado (−8,5 % el 15-ene), recompra de enero y la venta general del software y los servicios de TI por el miedo a la IA en febrero, con caídas del −7 al −10 % en un día (4-feb, 24-feb) [22,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Daiwa rebaja la acción de 1 a 3 y el objetivo a 780 JPY por el riesgo de que la IA sustituya las pruebas por horas (3-jun)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primer dividendo y nueva política de capital (15-jul): cuatro sesiones de +8 a +9 % (17 a 28-jul) [22,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FY2026 (4T récord), guía de +17,6 % y fondo con Tokyo Gas (15-oct): stop-high del 16-oct (+16,5 %); −3,5 % el 21-oct [22,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ventas +24,5 %, 4T récord; guía de FY2027 de 190.000 M de ventas y BPA básico de 52,16; fondo de 15.000 M con Tokyo Gas para compras; dividendo de 4,53 JPY [1,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investigación para la certificación ISMAP de la administración; en agosto, contrato de evaluación de IA para defensa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trimestre; BPA de FY2026 rebajado de 43,67 a 24,35 JPY por el deterioro de Rise; 80 % del beneficio retenido y 20 % devuelto hasta FY2028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Daiwa rebaja de 1 a 3 (objetivo de 1.700 a 780 JPY) por el riesgo de sustitución por IA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deterioro de la participación en Rise Consulting Group (4.500 M en las cuentas individuales) y de Gurunavi (≈ 300 M); el 26-may, integración de la administración de 15 filiales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590 JPY en la venta general del software y los servicios de TI por la IA (el mismo día cayeron BayCurrent y otras) [22,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del fundador baja del 34,09 % al 33,18 % (personas vinculadas; Tange directo sin cambios)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flojo (−8,5 % al día siguiente); compra de Nisseicom (≈ 20.486 M) y recompra de hasta 10.000 M (7,9 M de acciones compradas hasta el 28-ene) [12,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Nikkei 225; máximo de 52 semanas (1.196 JPY) el 27-oct-2025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2027-01-14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de FY2027 hacia mediados de enero de 2027 (el año pasado, 14-ene)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Salta el aviso P1 (subida fuerte: +55 % en tres meses y +23,5 % en un mes) [28]. La subida tiene causa en hechos de la empresa —tercer y cuarto trimestres mejores, primer dividendo, guía de +17,6 % y fondo con Tokyo Gas— y en la vuelta del sector tras la venta por la IA de febrero, no en una operación corporativa ni en un rumor [1, 22]. La acción sigue un 18 % bajo su máximo de 52 semanas y un 56 % bajo el de cinco años: no es una burbuja de precio, es una recuperación. No hay colocaciones, ampliaciones ni litigios con fecha; la rebaja de Daiwa por la IA (junio) es una opinión que el informe recoge en el escenario bajista. Los próximos resultados (mediados de enero) están a casi tres meses.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ejercicio (31 de agosto o último día hábil) de Yahoo, ajustado por el split 15:1 [28]. En base adelantada (cierre ÷ BPA real del año siguiente) SHIFT cotizó a 52-103 veces entre 2019 y 2023, en plena época de crecimiento del 30-40 % y tipos cero; a 27 veces en agosto de 2024 y a ≈ 35 veces en agosto de 2025 (con el BPA de FY2026 sin la pérdida de Rise). Hoy, a ≈ 19-20 veces el BPA de los próximos 12 meses, está muy por debajo de su historia: el mercado ha dejado de pagarle como empresa de alto crecimiento.</w:t>
      </w:r>
    </w:p>
    <w:p>
      <w:pPr>
        <w:pStyle w:val="Heading1"/>
      </w:pPr>
      <w:r>
        <w:t xml:space="preserve">18. Comparables cotizados</w:t>
      </w:r>
    </w:p>
    <w:p>
      <w:pPr>
        <w:pStyle w:val="Confianza"/>
        <w:spacing w:after="100"/>
      </w:pPr>
      <w:r>
        <w:t xml:space="preserve">Confianza: Media</w:t>
      </w:r>
    </w:p>
    <w:p>
      <w:pPr>
        <w:spacing w:after="100"/>
      </w:pPr>
      <w:r>
        <w:t xml:space="preserve">Servicios de TI japoneses cotizados (NRI, TIS, NS Solutions, Systena), especialistas en pruebas (Digital Hearts, Valtes), BayCurrent (consultoría) y dos empresas extranjeras de ingeniería de software por horas (EPAM, Globant) [29]. Se deja fuera Pole To Win (pérdidas). Ninguna es igual: SHIFT crece más que los integradores y es mucho mayor que los especialistas en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Research Institute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916.739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 Hearts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Valtes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BayCurrent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NS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754.249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EPAM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1.067.607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285.836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 / 8,3x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14,2x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1,4x / 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1.064,36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SHIFT cotiza a ≈ 19-20 veces el BPA de los próximos 12 meses frente a una mediana de comparables de 14,2 veces [29]. Los integradores japoneses (TIS, NS Solutions) cotizan a 15-23 veces con crecimientos del 3-5 %; NRI a ≈ 26; los especialistas en pruebas (Digital Hearts, Valtes) a 12-15 veces; EPAM y Globant, empresas de horas de ingeniería expuestas a la IA, a 7-10 veces. SHIFT tiene prima por crecimiento (≈ 15-18 % frente al 3-10 %), pero su margen EBITDA (13 %) es de los más bajos.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Nisseicom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(SHIFT Growth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100 % del capital frente a ventas de 20.859 M y beneficio de 959 M (≈ 21 veces) del ejercicio a mar-2025; caja neta de Nisseicom no publicada [12].</w:t>
            </w:r>
          </w:p>
        </w:tc>
      </w:tr>
    </w:tbl>
    <w:p>
      <w:pPr>
        <w:spacing w:after="160" w:before="0"/>
      </w:pPr>
    </w:p>
    <w:p>
      <w:pPr>
        <w:spacing w:after="160" w:before="0"/>
      </w:pPr>
    </w:p>
    <w:p>
      <w:pPr>
        <w:spacing w:after="100"/>
      </w:pPr>
      <w:r>
        <w:t xml:space="preserve">Solo hay una transacción con datos: la propia compra de Nisseicom, a ≈ 1 vez ventas y ≈ 21 veces el beneficio [12]. No es comparable con SHIFT (empresa de desarrollo con margen del 5 %). La compra de Fuji Soft por KKR (2024-2025) no se usa: no se pudo comprobar el precio en fuente primaria. Peso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(+16,3 %, fijo): 188.000 M JPY, algo bajo la guía de 190.000 M (sin compras nuevas) y sobre el consenso (183.037 [29]); el 4T FY2026 (45.752 M) anualizado ya da 183.000 M y Nisseicom suma ≈ 6 puntos de arrastre al estar todo el año [2, 3]. Orgánico ≈ +10 %. Después, +12 % en FY2028e bajando al 5 % en FY2034e: ≈ 8-10 % orgánico más ≈ 2 puntos de compras pequeñas hasta FY2031e. Las ventas llegarían a ≈ 272.000 M en FY2031e, un 9 % menos que el plan SHIFT3000 (300.000 M) [3]. Proyectamos menos que el plan porque la IA ya está sustituyendo pruebas tradicionales y la empresa ha dejado de contratar ingenieros [4].</w:t>
      </w:r>
    </w:p>
    <w:p>
      <w:pPr>
        <w:keepNext/>
        <w:spacing w:after="100"/>
      </w:pPr>
      <w:r>
        <w:rPr>
          <w:b/>
          <w:bCs/>
        </w:rPr>
        <w:t xml:space="preserve">Márgenes.</w:t>
      </w:r>
    </w:p>
    <w:p>
      <w:pPr>
        <w:spacing w:after="100"/>
      </w:pPr>
      <w:r>
        <w:t xml:space="preserve">Margen EBITDA del informe (resultado operativo + amortización + fondo de comercio, igual que el de la empresa): 14,2 % en FY2027e, calibrado con la guía (resultado operativo ≈ 11,5 %) [1]; sube al 15,5 % en FY2030e por la mezcla de servicios con IA (margen bruto del 42-55 % frente al 32 % tradicional) y la escala de la administración (−113 personas de oficina con IA) [3]. Es el máximo histórico (15,1 % en FY2023); el plan apunta a un resultado ajustado del 17,5 % en FY2031 [3]: no lo damos por hecho, porque parte de la mejora de la IA se la llevará el cliente en precio.</w:t>
      </w:r>
    </w:p>
    <w:p>
      <w:pPr>
        <w:keepNext/>
        <w:spacing w:after="100"/>
      </w:pPr>
      <w:r>
        <w:rPr>
          <w:b/>
          <w:bCs/>
        </w:rPr>
        <w:t xml:space="preserve">Inversión y circulante.</w:t>
      </w:r>
    </w:p>
    <w:p>
      <w:pPr>
        <w:spacing w:after="100"/>
      </w:pPr>
      <w:r>
        <w:t xml:space="preserve">Inversión: inmovilizado ≈ 1,2 % de las ventas más compras de empresas por ≈ 2 % hasta FY2031e (las que dan los ≈ 2 puntos de crecimiento comprado, a ≈ 1 vez ventas como Nisseicom [12]): 3,2 %; 2,2 % al final. Amortización del 2,7 % bajando al 2,2 % (incluye el fondo de comercio, que no es caja y pesa menos a medida que las compras grandes pasan al fondo con Tokyo Gas). Circulante del 2 % de las ventas (2,2 % en FY2026) [1].</w:t>
      </w:r>
    </w:p>
    <w:p>
      <w:pPr>
        <w:keepNext/>
        <w:spacing w:after="100"/>
      </w:pPr>
      <w:r>
        <w:rPr>
          <w:b/>
          <w:bCs/>
        </w:rPr>
        <w:t xml:space="preserve">Coste del capital.</w:t>
      </w:r>
    </w:p>
    <w:p>
      <w:pPr>
        <w:spacing w:after="100"/>
      </w:pPr>
      <w:r>
        <w:t xml:space="preserve">Tasa libre del 2,927 % (bono japonés a 10 años del 20-oct-2026 [30]); beta de 1,1 (semanal a cinco años frente al TOPIX 1,11; la mensual, 0,55, no sirve por cierres anómalos del ETF [28]); prima de mercado del 5,5 % y 1 punto de prima adicional por el riesgo de que la IA reduzca las horas de prueba. Coste de la deuda del 1,5 % y peso del 11 % (34.713 M de préstamos). WACC del 8,99 %. Con la prima implícita del mercado (4,2 % [31]) el WACC baja al 7,7 % y el DCF sube a 1.527 JPY.</w:t>
      </w:r>
    </w:p>
    <w:p>
      <w:pPr>
        <w:keepNext/>
        <w:spacing w:after="100"/>
      </w:pPr>
      <w:r>
        <w:rPr>
          <w:b/>
          <w:bCs/>
        </w:rPr>
        <w:t xml:space="preserve">Valor terminal.</w:t>
      </w:r>
    </w:p>
    <w:p>
      <w:pPr>
        <w:spacing w:after="100"/>
      </w:pPr>
      <w:r>
        <w:t xml:space="preserve">Crecimiento a perpetuidad del 2,0 %, por debajo de la tasa libre menos medio punto (2,43 %). Equivale a 8,0 veces el EBITDA de salida, por debajo de las 12,7 veces de hoy: el DCF supone que en 2034 SHIFT es una empresa madura de servicios de TI. El valor terminal pesa un 64 %.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603.773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1.167,05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1.574,93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(reinvierte el 33 %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 (histórico: 27,9 %)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 frente al 9,2 %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FY2034e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 (hoy: 2,0 %)</w:t>
            </w:r>
          </w:p>
        </w:tc>
      </w:tr>
    </w:tbl>
    <w:p>
      <w:pPr>
        <w:spacing w:after="160" w:before="0"/>
      </w:pPr>
    </w:p>
    <w:p>
      <w:pPr>
        <w:spacing w:after="100"/>
      </w:pPr>
      <w:r>
        <w:t xml:space="preserve">La proyección apenas necesita inversión neta de la amortización (reinversión acumulada de 7.380 M, el 4 % del NOPAT, con un capex bruto medio del 2,6 % de las ventas). En un negocio de activos ligeros, el crecimiento medio del 9,2 % tiene que salir de subir precios y de ganar volumen sin capital nuevo, y la prueba es el poder de precios y la cuota (2,6 % del mercado en FY2034e, frente al 2,0 %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Arrastre de Nisseicom (+6,3 puntos, consolidada desde el 3T FY2026 con ≈ 20.000 M al año [12]); volumen +5,5 % (proyectos, sin contratar ingenieros) y precio por proyecto +4,5 % (más consultoría y servicios con IA)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precio +4 % y compras pequeñas +3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precio +3,5 % y compras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precio +3 % y compras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precio +3 % y compras +1,5 puntos: ≈ 272.000 M, un 9 % bajo el plan SHIFT3000 (300.000 M) [3].</w:t>
            </w:r>
          </w:p>
        </w:tc>
      </w:tr>
    </w:tbl>
    <w:p>
      <w:pPr>
        <w:spacing w:after="160" w:before="0"/>
      </w:pPr>
    </w:p>
    <w:p>
      <w:pPr>
        <w:spacing w:after="100"/>
      </w:pPr>
      <w:r>
        <w:t xml:space="preserve">El crecimiento proyectado (9,2 % medio en FY2027e-FY2034e) es un tercio del histórico (25,6 % anual en FY2022-FY2026, con compras) y queda dentro del financiable (9,4 %) con un ROIC del 28 %. La cuota pasaría del 2,0 % al 2,6 % de los servicios de TI de Japón, que crecen un 6 % al año [19]: posible para el mayor especialista en pruebas. La parte comprada (≈ 2 puntos al año hasta FY2031e) va pagada en el capex (compras del ≈ 2 % de las ventas a ≈ 1 vez ventas). El riesgo no es el capital sino la demanda: la IA puede reducir las horas de prueba que compran los clientes;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 (base: 8,1 %)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 (base: 15,5 %)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9,0 %)</w:t>
            </w:r>
          </w:p>
        </w:tc>
      </w:tr>
    </w:tbl>
    <w:p>
      <w:pPr>
        <w:spacing w:after="160" w:before="0"/>
      </w:pPr>
    </w:p>
    <w:p>
      <w:pPr>
        <w:spacing w:after="100"/>
      </w:pPr>
      <w:r>
        <w:t xml:space="preserve">El DCF da 1.231,16 JPY por acción, un 16,5 % sobre el precio, con un WACC del 8,99 % y un valor terminal que pesa el 64 %. El DCF inverso dice que el precio descuenta un crecimiento de las ventas del 5,2 % anual en FY2028e-FY2034e con nuestro margen (frente al 8,1 % de nuestro base), o un margen EBITDA del 13,6 % con nuestro crecimiento (frente al 15,5 %): el mercado paga a SHIFT como una empresa madura de servicios de TI con el margen de hoy, no como la empresa de crecimiento que fue. La rentabilidad implícita en el precio es del 10,1 % anual, algo sobre nuestro WACC. Con la prima de riesgo del mercado (4,2 %) el DCF vale 1.527 JPY (+44,5 %). El rango con ± 0,5 puntos de WACC y crecimiento terminal va de 1.094 a 1.413 JPY.</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sustituye las pruebas por horas: los clientes y los integradores generan y ejecutan pruebas con IA, y SHIFT vende los servicios «con IA» con más margen pero con muchas menos horas. Ventas 6 puntos por debajo del base cada año desde FY2028e (+6 % en FY2028e, después casi planas) y margen EBITDA 2,5 puntos menor por la presión de precios; WACC medio punto mayor y crecimiento terminal del 1,5 %. El DCF vale 655 JPY (−38,0 %).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servicios de TI en Japón sigue creciendo y SHIFT convierte su trabajo tradicional en servicios con IA de más margen sin perder volumen total: ventas +16,3 % en FY2027e (con Nisseicom todo el año) y +12 % en FY2028e bajando al 5 %; margen EBITDA del 14,2 % al 15,5 %.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cumple casi todo el plan SHIFT3000: 3 puntos más de crecimiento cada año (compras con el fondo y más consultoría) y 1,5 puntos más de margen por la IA interna; el DCF vale 1.604 JPY (+51,8 %).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JPY) · precio actual 1.0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1.132,97 JPY (+7,2 %).</w:t>
      </w:r>
    </w:p>
    <w:p>
      <w:pPr>
        <w:spacing w:after="100"/>
      </w:pPr>
      <w:r>
        <w:t xml:space="preserve">La asimetría del DCF es aceptable pero no holgada: el alcista vale 1.604 JPY (+51,8 %) y el bajista 655 (−38,0 %). El bajista pesa un 30 % (más que el alcista, 20 %) porque la sustitución ya se ve en las cuentas: las pruebas tradicionales bajaron del 42,3 % al 18,7 % de las ventas en un año y la empresa dejó de contratar ingenieros jóvenes porque da por hecho que la IA los sustituye [3, 4]. El valor ponderado de los escenarios (1.133 JPY) queda un 7,2 % sobre el precio.</w:t>
      </w:r>
    </w:p>
    <w:p>
      <w:pPr>
        <w:pStyle w:val="Heading1"/>
      </w:pPr>
      <w:r>
        <w:t xml:space="preserve">22. Suma de partes</w:t>
      </w:r>
    </w:p>
    <w:p>
      <w:pPr>
        <w:pStyle w:val="Confianza"/>
        <w:spacing w:after="100"/>
      </w:pPr>
      <w:r>
        <w:t xml:space="preserve">Confianza: Alta</w:t>
      </w:r>
    </w:p>
    <w:p>
      <w:pPr>
        <w:spacing w:after="100"/>
      </w:pPr>
      <w:r>
        <w:t xml:space="preserve">No aplica: todos los segmentos son servicios de TI para los mismos clientes japoneses, con la misma economía (horas de personas por proyecto) y solo dos años de cifras por segmento [14].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JPY) · precio actual 1.05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1.061,78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1.147,89 JPY (+8,7 % sobre 1.056,50).</w:t>
      </w:r>
    </w:p>
    <w:p>
      <w:pPr>
        <w:spacing w:after="100"/>
      </w:pPr>
      <w:r>
        <w:t xml:space="preserve">Pesos: DCF 50 %, escenarios 40 % y comparables 10 %. El DCF es el método más fiable para un negocio de servicios con poco capital, pero depende del WACC: con la prima del mercado sube de 1.231 a 1.527 JPY. Los escenarios recogen la asimetría por la IA (−38,0 % / +51,8 %). Los comparables pesan poco: su mediana (14,2 veces el BPA y ≈ 9 veces el EBITDA) mezcla integradores que crecen un 3-5 % con EPAM y Globant, castigadas por la IA, y dan 791 JPY. Sin transacciones comparables con múltiplo fiable (solo Nisseicom, a ≈ 1 vez ventas). El valor intrínseco de la síntesis es de 1.147,89 JPY (+8,7 %); con la prima del mercado, 1.401 JPY (+32,7 %). El puente resta 3.616 M de deuda neta, 3.477 M de pensiones, 145 M de minoritarios y 1.172 M del dividendo ya devengado, y suma 4.145 M de inversiones financieras (Rise a precio de mercado).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+73,3 %</w:t>
            </w:r>
          </w:p>
        </w:tc>
      </w:tr>
    </w:tbl>
    <w:p>
      <w:pPr>
        <w:spacing w:after="160" w:before="0"/>
      </w:pPr>
    </w:p>
    <w:p>
      <w:pPr>
        <w:spacing w:after="100"/>
      </w:pPr>
      <w:r>
        <w:rPr>
          <w:b/>
          <w:bCs/>
        </w:rPr>
        <w:t xml:space="preserve">Objetivo a 12 meses (ponderado):</w:t>
      </w:r>
      <w:r>
        <w:t xml:space="preserve"> 1.203,22 JPY · rentabilidad +14,3 % (base +15,4 %) · señal Mantener.</w:t>
      </w:r>
    </w:p>
    <w:p>
      <w:pPr>
        <w:spacing w:after="100"/>
      </w:pPr>
      <w:r>
        <w:t xml:space="preserve">Para comparar, con la regla v2 (historia al cierre, mismo precio): 16,7x / 19,7x / 25,6x, 14,3 % Mantener; con el tope anterior del base (×1,3, 14-oct mediodía): 48,7 % Comprar; con la v3 sin el selector (tope ×1,1): 25,9 % Comprar. Decide la v2, elegida por el selector de método (desrateada: la mediana adelantada (57,2x) es 2,9 veces el PER de hoy (19,7x); la historia es de otro régimen y decide la v2; METODO-VIGENTE.md).</w:t>
      </w:r>
    </w:p>
    <w:p>
      <w:pPr>
        <w:keepNext/>
        <w:spacing w:after="100"/>
      </w:pPr>
      <w:r>
        <w:rPr>
          <w:b/>
          <w:bCs/>
        </w:rPr>
        <w:t xml:space="preserve">Frente al consenso (solo contraste).</w:t>
      </w:r>
    </w:p>
    <w:p>
      <w:pPr>
        <w:spacing w:after="100"/>
      </w:pPr>
      <w:r>
        <w:t xml:space="preserve">Nuestro BPA de FY2027e (52,16 JPY) coincide con la guía y queda un 3,5 % bajo el consenso (54,06, solo 2 analistas); el de FY2028e (61,66) queda un 6,4 % bajo el consenso (65,89, 6 analistas, 58,54-70,40) [29]: ventas casi iguales (210.500 M frente a 210.316 M) con un margen algo menor (resultado operativo de ≈ 25.500 M frente a 26.584 M de MarketScreener [32]). Nuestro objetivo base a 12 meses (1.215 JPY) está un 23,4 % sobre el objetivo medio de los analistas (984 JPY, 8 analistas), muchos de ellos anteriores a los resultados del 15-oct y el más bajo (780) de Daiwa en junio, por el riesgo de la IA [22]; la diferencia está en el múltiplo (la regla deja 19,7 veces) más que en el BPA.</w:t>
      </w:r>
    </w:p>
    <w:p>
      <w:pPr>
        <w:keepNext/>
        <w:spacing w:after="100"/>
      </w:pPr>
      <w:r>
        <w:rPr>
          <w:b/>
          <w:bCs/>
        </w:rPr>
        <w:t xml:space="preserve">Del valor intrínseco al objetivo a 12 meses.</w:t>
      </w:r>
    </w:p>
    <w:p>
      <w:pPr>
        <w:spacing w:after="100"/>
      </w:pPr>
      <w:r>
        <w:t xml:space="preserve">El objetivo a 12 meses (1.203 JPY, ponderado 30/50/20) queda un 13,9 % sobre el precio (+14,3 % con el dividendo): se queda a 0,7 puntos del 15 % que pide un Comprar. El base (1.215 JPY, +15,4 % con dividendo) supone que el BPA crece hasta 61,66 JPY en FY2028e y que el PER se queda en el de hoy (19,7 veces). Decide la regla v2 porque el selector ve una acción «desrateada»: la mediana adelantada de cinco años (57,2 veces, de la época de crecimiento del 30-40 % y tipos cero) es 2,9 veces el PER de hoy; con la v3 sin selector la ponderada sería del 25,9 %, pero suponer que el PER sube a medio camino de 57 veces no es prudente para una empresa que ya no crece al 30 %. Crecimiento del BPA base: +18,9 % anual desde el BPA de FY2026 sin la pérdida de Rise (43,64), +46,5 % desde el publicado (28,72, deprimido por esa pérdida). El valor intrínseco (1.148 JPY) está un 8,7 % sobre el precio: el filtro de valor real pasa. Lo que falla es solo la ponderada, por el peso del 30 % del bajista de la IA.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2027-01-14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de FY2027 (fecha estimada por la del año pasado)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sin contratar ingenieros: ventas frente a la guía (+17,6 %), margen bruto y peso de las ventas con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del fondo con Tokyo Gas (15.000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compras con capital ajeno; se consolidan con ≈ 67 % de minoritarios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y yuho de FY2026 (24-nov)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Opinión del nuevo auditor (Deloitte), plantilla de FY2026 y remuneración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Herramientas de IA para generar y ejecutar pruebas (Anthropic, OpenAI, Google, GitHub) y resultados de EPAM, Globant o Accenture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Pueden repetir la venta del software de febrero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margen operativo sube hacia el 12-13 % que pide la guía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«flexible» (≈ 10 % del beneficio según la política de julio)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1.300 M al año: poco frente a la capitalización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los clientes compran menos horas de prueba o pagan menos por ellas (SHIFT vende horas de personas que prueban software)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(escenario bajista del DCF); −27 %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SHIFT ya vende servicios con IA (28 % de las ventas en el 4T) con más margen; más software generado por IA que verificar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totales del segmento de pruebas planas o en caída, precio por proyecto bajando o crecimiento orgánico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y deterioros: crecimiento comprado, fondo de comercio ≈ 69 % del patrimonio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julio: menos fondo de comercio y compras con capital de terceros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deterioro grande o una compra a más de 1,5 veces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ingenieros y salarios: crecer por volumen exige personal en un mercado de ≈ 1 millón de ingenieros de TI muy tensionado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 no ingenieros con su examen CAT y usa la IA para producir más con menos personas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bajo el 33 % o rotación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el margen EBITDA (13-15 %) es bajo y lleva tres años sin mejorar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resultado operativo ajustado del 13,2 % en FY2027 y servicios con IA de más margen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J-GAAP de FY2027 bajo el 11 %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fundador con un tercio, remuneración decidida por el consejero delegado, cambio de auditor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de nueve consejeros externos; presidente del consejo ex Keyence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Salvedades del nuevo auditor o ventas del fundador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préstamos triplicados (34.713 M) para Nisseicom y la recompra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 0,2 veces el EBITDA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1,5 veces el EBITDA</w:t>
            </w:r>
          </w:p>
        </w:tc>
      </w:tr>
    </w:tbl>
    <w:p>
      <w:pPr>
        <w:spacing w:after="160" w:before="0"/>
      </w:pPr>
    </w:p>
    <w:p>
      <w:pPr>
        <w:pStyle w:val="Heading2"/>
      </w:pPr>
      <w:r>
        <w:t xml:space="preserve">Pre-mortem</w:t>
      </w:r>
    </w:p>
    <w:p>
      <w:pPr>
        <w:spacing w:after="100"/>
      </w:pPr>
      <w:r>
        <w:t xml:space="preserve">Octubre de 2027: la acción ha caído un 30 %. Durante 2027 las grandes empresas japonesas adoptaron agentes de IA que escriben y ejecutan pruebas dentro de las herramientas de desarrollo; los integradores dejaron de subcontratar pruebas y los clientes pidieron a SHIFT el mismo trabajo con un tercio de las horas. SHIFT vendió más «pruebas con IA», con buen margen, pero las ventas de pruebas cayeron y el crecimiento orgánico bajó al 5 %. La guía de FY2027 se cumplió solo gracias a Nisseicom y a compras del fondo; el resultado operativo J-GAAP no pasó del 11 % y llegó otro deterioro de una filial. El mercado volvió a pagar 15-17 veces el beneficio, como a los integradores japoneses. Señal temprana: las ventas del segmento de pruebas creciendo menos que las de desarrollo y consultoría, y el precio por proyecto estancado en los resultados de enero o abril.</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−38 % en el bajista del DCF (−27 % a 12 meses); +10-15 % si la IA solo sube el margen sin quitar volumen</w:t>
      </w:r>
    </w:p>
    <w:p>
      <w:pPr>
        <w:spacing w:after="100"/>
      </w:pPr>
      <w:r>
        <w:t xml:space="preserve">Es el riesgo central. SHIFT vende horas de personas que diseñan y ejecutan pruebas de software: ventas = proyectos × precio por proyecto, y el precio por proyecto es sobre todo horas [2]. Lo que la IA RESTA: genera y ejecuta casos de prueba (la propia SHIFT dice que su coste por caso baja un 92 %) [3]; en un año las pruebas tradicionales pasaron del 42,3 % al 18,7 % de las ventas, sustituidas por servicios «con IA» que necesitan menos horas [3]; el consejero delegado dijo que dieron por hecho que los ingenieros de ≤ 6 M JPY de salario serían sustituidos por la IA y dejaron de contratar ingenieros en el 2T [4]; Daiwa rebajó la acción a 3 en junio por este riesgo [22]; y los integradores o los clientes pueden quedarse las pruebas dentro con herramientas de IA. Lo que la IA SUMA: margen (servicios con IA con margen bruto del 42-55 % frente al 32 % tradicional, −113 personas de oficina) [3]; más software generado por IA que hay que verificar; pruebas y seguridad de la propia IA (contrato de evaluación de IA de defensa) [22]; y la escasez de ingenieros deja de frenar el crecimiento. El neto hasta hoy es positivo (ventas +24,5 %, margen bruto del 4T recuperado), pero cuando el trabajo se hace con un tercio de las horas, el cliente acabará pidiendo parte del ahorro en precio. Nuestro bajista (30 % de probabilidad, más que el alcista) lo cuantifica: ventas 6 puntos menos al año y margen 2,5 puntos menor dan un BPA un 25 % inferior en FY2028e y un precio de 769 JPY (−27 %). Señales: ventas del segmento de pruebas planas, precio por proyecto bajando o crecimiento orgánico bajo el 8 %.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una empresa de servicios de TI lo material es la gente (contratación de no ingenieros formados por examen propio, rotación, horas de trabajo, salarios en un mercado escaso), la seguridad de la información de los clientes y la calidad del trabajo (fallos en sistemas críticos de bancos o administraciones) [8]. El impacto ambiental es pequeño (oficinas).</w:t>
      </w:r>
    </w:p>
    <w:p>
      <w:pPr>
        <w:pStyle w:val="Heading2"/>
      </w:pPr>
      <w:r>
        <w:t xml:space="preserve">Controversias</w:t>
      </w:r>
    </w:p>
    <w:p>
      <w:pPr>
        <w:spacing w:after="100"/>
      </w:pPr>
      <w:r>
        <w:t xml:space="preserve">Sin controversias graves encontradas. Puntos de gobierno: un fundador con un tercio del capital que decide las compras, remuneración del consejo decidida por el consejero delegado y sin variable ligado a resultados, deterioros repetidos de compras y cambio de auditor en FY2026 [8, 26]. ISS recomendó votar en contra de dos consejeros de la comisión de auditoría en 2025 [26]. Calificaciones de MSCI o Sustainalytics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horas facturables hay hoy frente a hace un año en los proyectos que han pasado de pruebas tradicionales a pruebas con IA, y cuánto ha cambiado el precio total de esos proyectos?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mejora de margen de la pérdida de volumen: es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ingenieros facturables tiene el grupo a ago-2026 y cuál es la ocupación?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dejó de publicarlo; sin él no se puede medir el precio por ingeniero.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orgánico da la guía de FY2027 sin el arrastre de Nisseicom?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Estimamos ≈ 10 %; el +17,6 % mezcla orgánico y comprado.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qué múltiplos tendrán las compras del fondo con Tokyo Gas y cómo se reparten los resultados con los minoritarios?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fondo se consolida con ≈ 67 % de minoritarios: ventas para SHIFT, beneficio sobre todo para Tokyo Gas.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filiales tienen fondo de comercio con riesgo de deterioro tras Rise y Gurunavi?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pérdidas extraordinarias cada año desde FY2023.</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 Finance Japón (foro de 3697)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semana: 61 % «comprar fuerte» y 11 % «comprar», frente a un 15 % «vender». Hablan de doblar el precio, de un objetivo de 2.700 JPY atribuido a SBI y de que SHIFT «deja de ser una empresa de pruebas»; los bajistas, de la media de 20 meses y de los cortos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Kabutan (noticias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Stop-high tras los resultados y el fondo con Tokyo Gas; en junio, la rebaja de Daiwa por la IA dominaba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 (MarketScreener)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comprar y 5 mantener; objetivo medio de 984 JPY, por debajo del precio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SHIFT gana con la IA (servicios con IA del 28 % de las ventas)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esos servicios es mayor, pero sustituyen pruebas tradicionales y necesitan menos horas: crecen las ventas con IA, no necesariamente las totales.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 de Daiwa: la IA sustituye las pruebas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el escenario bajista lo recoge.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técnica y cortos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parte de la violencia de las subidas; no dice nada del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y fondo con Tokyo Gas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comprado con capital ajeno; los deterioros de Rise piden prudencia.</w:t>
            </w:r>
          </w:p>
        </w:tc>
      </w:tr>
    </w:tbl>
    <w:p>
      <w:pPr>
        <w:spacing w:after="160" w:before="0"/>
      </w:pPr>
    </w:p>
    <w:p>
      <w:pPr>
        <w:spacing w:after="100"/>
      </w:pPr>
      <w:r>
        <w:t xml:space="preserve">El sentimiento ha pasado del miedo de febrero-junio (venta del software por la IA y rebaja de Daiwa) al optimismo de octubre (stop-high, 72 % de votos de compra en el foro) [22, 35]. Los analistas son más fríos: 5 de 8 dicen mantener y el objetivo medio queda bajo el precio [32]. No hay euforia de máximos (la acción está un 56 % bajo su máximo de cinco años), pero sí entusiasmo de corto plazo. Opiniones, no datos: ninguna cifra del informe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24 controles correctos y 5 explicados. Fuentes: 36 (26 primarias); citas distintas en el texto: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41,9 %: explica la causa (créditos fiscales, regularizaciones, mezcla de países) y no lo proyectes en el DCF. Explicación: J-GAAP: la amortización del fondo de comercio (1.451 M) y los deterioros de filiales (2.053 M de extraordinarios) no son deducibles. El DCF usa un 37 % mientras pesa el fondo de comercio y un 35 % después.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42,7 %: explica la causa (créditos fiscales, regularizaciones, mezcla de países) y no lo proyectes en el DCF. Explicación: La pérdida de 3.861 M de Rise por puesta en equivalencia y la amortización del fondo de comercio no son deducibles; sin Rise, el tipo sería ≈ 33 %. No se proyecta el 42,7 %.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 suman los ingresos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134.163 frente a ingresos 129.819 (3,3 %). Si hay eliminaciones entre segmentos, explícalo. Explicación: Los segmentos suman antes de eliminar las ventas entre segmentos (−4.345 M en FY2025 y −5.168 M en FY2026, ajustes de la nota de segmentos)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Segmentos suman los ingresos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166.765 frente a ingresos 161.600 (3,2 %). Si hay eliminaciones entre segmentos, explícalo. Explicación: Los segmentos suman antes de eliminar las ventas entre segmentos (−4.345 M en FY2025 y −5.168 M en FY2026, ajustes de la nota de segmentos)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2,6 % en FY2034e frente al 2,0 %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2,2 % real: genera una variación de circulante de 202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(61,66) supone un 46,5 % anual desde 28,72 (FY2026): explícalo en valoracion.objetivo_12m.comentario o la confianza es baja. Explicación: El BPA de FY2026 (28,72) está deprimido por la pérdida no recurrente de Rise (3.861 M): sin ella sería 43,64 y el crecimiento hasta FY2028e (61,66) es del 18,9 % anual; desde FY2025 (33,93), del 22,0 %. La guía de FY2027 (52,16) ya supone +82 % sobre el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16, 18, 33,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sectoriales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de ingenieros y precio por ingeniero de 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databook de FY2026 (no lo da); 2) presentación de resultados (solo plantilla de oficina, −113); 3) transcripción (la empresa no lo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precio por proyecto y los empleados del yuho de FY2025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opinión del auditor de FY2026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tanshin (sin auditoría); 2) lista de documentos de la empresa (yuho previsto para el 24-nov-2026); 3) EDINET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hasta el yuho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independiente del mercado de pruebas de software en Japón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SHIFT (estimación propia de ≈ 5,5 billones); 2) IDC Japan (solo servicios de TI en conjunto); 3) libro blanco del Ministerio del Interior (sin dato de pruebas)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mercado de servicios de TI de IDC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entrada de los consejeros externos y nombres completos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convocatoria de 2025 (inglés, sin fechas); 2) yuho en japonés (tabla mal extraída); 3) informe de gobierno (escaneado)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EV/EBITDA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Fuji Soft/KKR (nota de prensa bloqueada, 403); 2) Nisseicom (sin EBITDA ni caja neta); 3) búsqueda de compras de empresas de pruebas en Japón (sin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fiable frente al TOPIX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1321.T (beta −0,01, datos rotos); 2) 1306.T mensual a 5 años (0,55); 3) semanal a 5 años (1,11)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semanal a cinco años (1,11) y 1 punto de prima adicional por la IA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Results for the Fiscal Year Ended August 31, 2026 [Japanese GAAP] (tanshin anual: cuenta, balance, flujos, segmentos, guía del año a ago-2027)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https://contents.xj-storage.jp/xcontents/AS95685/286af478/7461/430c/b21e/cac18a8b1706/20261015200506922s.pdf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Data Book FY2026 (trimestres, EBITDA, resultado ajustado, KPI de precio por proyecto, ventas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SHIFT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https://contents.xj-storage.jp/xcontents/AS95685/469fdf11/1e60/4d82/8017/880fd714f68d/20261015204500962s.pdf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Presentation Material for the Fiscal Year Ended August 2026 (resultados, crecimiento orgánico y comprado, IA, plantilla, plan SHIFT3000)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https://contents.xj-storage.jp/xcontents/AS95685/db1aa6e7/73cc/41b4/88d1/22951806f007/20261015154445060s.pdf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presentación de resultados de FY2026 (preguntas de analistas: ocupación, contratación, IA, margen)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https://contents.xj-storage.jp/xcontents/AS95685/448d867a/fe86/4119/bd73/98af45de7b5b/20261019164813407s.pdf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August 31, 2025 [Japanese GAAP] (cuenta FY2024 reexpresada, guía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https://contents.xj-storage.jp/xcontents/AS95685/27f308ad/cc87/470a/937b/3930327f04f9/20251014165855041s.pdf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August 31, 2024 [Japanese GAAP]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https://contents.xj-storage.jp/xcontents/AS95685/a8d687a0/e44b/4685/a99f/a740ffa687bb/20241010142511080s.pdf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(estados financieros) del ejercicio a ago-2023: cuenta, balance y flujos de FY2022-FY2023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https://contents.xj-storage.jp/xcontents/AS95685/9a1a9cf8/7644/4f68/9dbd/c3080a65e3d2/20240117105600643s.pdf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有価証券報告書 del ejercicio a ago-2025 (resumen de cinco años, empleados, salario medio, auditor,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https://contents.xj-storage.jp/xcontents/AS95685/ee3ec680/bd4a/4a5c/977b/4c50ddbd6854/20251205133508678s.pdf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(estados financieros en inglés) del ejercicio a ago-2025: compra del 33 % de Rise Consulting Group,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https://contents.xj-storage.jp/xcontents/AS95685/e69414dc/c19f/4309/b263/41291828c0ef/20260114111309062s.pdf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Revision of Full-Year Forecasts (deterioro de Rise Consulting Group,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https://contents.xj-storage.jp/xcontents/AS95685/e744d5a9/0724/4560/8fd0/faca6f3a6188/140120260715594617.pdf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on Capital Policy (80 % del beneficio retenido y 20 % devuelto hasta FY2028; compras con capital externo)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https://contents.xj-storage.jp/xcontents/AS95685/42c1204d/9492/41d0/86e0/ba0af275862d/140120260715594640.pdf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Acquisition of Shares of Nisseicom Limited (compra del 100 % por ≈ 20.486 M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https://contents.xj-storage.jp/xcontents/AS95685/4d54b635/8060/4f27/b3ee/a1b967f912f5/140120260114533568.pdf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Establishment of a Joint Fund with Tokyo Gas (15.000 M JPY; SHIFT 32,3 %)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https://contents.xj-storage.jp/xcontents/AS95685/1bf65afe/61ef/451d/b6df/b26f76430234/140120261015551501.pdf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Change in Reportable Segments (consultoría, desarrollo, pruebas, BPaaS, plataforma de inversión)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https://contents.xj-storage.jp/xcontents/AS95685/318aea5b/f4bc/4188/ac7e/f3569d706596/140120261015551439.pdf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Dividend (primer dividendo: 4,53 JPY con fecha de registro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https://contents.xj-storage.jp/xcontents/AS95685/819f7c3f/5560/479d/a49a/259a59315454/140120261015551436.pdf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Expected Non-Operating Expenses and Extraordinary Losses (Rise Consulting Group y Gurunavi)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https://contents.xj-storage.jp/xcontents/AS95685/ee322207/bbc7/4bd0/b3c7/39b3dc1ed0e2/140120260529555896.pdf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Completion of Share Buyback (7,9 M de acciones, ≈ 6.547 M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https://contents.xj-storage.jp/xcontents/AS95685/fd099c56/e187/412d/9395/4375ec8515c4/140120260128540137.pdf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Tanshin y presentación del tercer trimestre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https://contents.xj-storage.jp/xcontents/AS95685/c512b7cb/6fee/4e6d/87f1/85c2fe0f07aa/20260715174147938s.pdf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IT Services Market Forecast 2025-2030 (7,5663 billones de JPY en 2025, +7,3 %; TCAC del 6,2 % hasta 10,2541 billones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sectoriales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https://www.idc.com/getdoc.jsp?containerId=prJPJ53233926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Encuesta mensual de servicios (información y comunicaciones +4,5 % interanual en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Oficina de Estadística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https://www.stat.go.jp/data/mbss/kekka/pdf/m202605pt.pdf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(ventas, EBITDA, estimaciones)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SHIFT en Kabutan (rebaja de Daiwa por el riesgo de sustitución por IA, venta de software y SaaS de febrero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https://kabutan.jp/stock/news?code=3697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20th Annual General Meeting of Shareholders (consejeros propuestos, comisiones)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https://contents.xj-storage.jp/xcontents/AS95685/78341647/8b0b/4cfe/8f6b/9489e846399f/140120251031585142.pdf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(resultados de las votaciones de la junta de noviembre de 2025 y su corrección)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https://contents.xj-storage.jp/xcontents/AS95685/c221ec7e/4005/4fcb/899a/d757a0a484d8/S100X6ZS.pdf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(votaciones de la junta de noviembre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https://contents.xj-storage.jp/xcontents/AS95685/4a70d2fc/6e5b/473f/a83d/e8bdbbf2bae1/S100UVG3.pdf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 de voto de ISS para la junta de 2025 (en contra de dos consejeros de la comisión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(respuesta a ISS)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https://contents.xj-storage.jp/xcontents/AS95685/da6b953f/9d51/433d/8788/f1c7145018a6/140120251107592502.pdf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participación significativa de Masaru Tange y personas vinculadas (del 34,09 % al 33,18 %)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EDINET (vía 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https://kabutan.jp/stock/holder?code=3697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3697.T, 1306.T (TOPIX) y 1626.T (sector TI y servicios): precio,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https://finance.yahoo.com/quote/3697.T/history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3697.T y comparables (BPA y ventas, objetivos, recomendaciones) y cierre del 21-oct-2026 (15:30 de Tokio):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https://finance.yahoo.com/quote/3697.T/analysis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(rendimiento del bono japonés a 10 años: 2,927 %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Hacienda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(3697): consenso de analistas (8 analistas, objetivo medio 984,29 JPY) y estimaciones de FY2027-FY2028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https://www.marketscreener.com/quote/stock/SHIFT-INC-18464297/consensus/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Rise Consulting Group (9168.T): capitalización del 21-oct-2026 (8.837 M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https://finance.yahoo.com/quote/9168.T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USD/JPY (157,913)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https://finance.yahoo.com/quote/JPY=X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SHIFT (3697) en Yahoo! Finance Japón: mensajes y votos de la semana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https://finance.yahoo.co.jp/quote/3697.T/forum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決算短信 del ejercicio a ago-2020 (BPA básico de FY2020: 104,50 JPY; de FY2019: 65,54 JPY, antes del split 15:1)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 Inc. (TDnet, 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https://www2.jpx.co.jp/disc/36970/140120201008401276.pdf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JPY, J-GAAP, con el ejercicio de septiembre a agosto etiquetado por el año en que TERMINA, como la empresa (FY2026 = sep-2025 a ago-2026). Japón no tiene XBRL en cuentas.mjs: cuenta, balance y flujos FY2022-FY2026 se copiaron de los tanshin en inglés y del resumen de cinco años del yuho [1, 5, 7, 8]. FY2026 es el último ejercicio real (publicado el 15-oct-2026) y hace de LTM. J-GAAP: el fondo de comercio se amortiza (el EBITDA del informe = resultado operativo + amortización + amortización del fondo de comercio, igual que el de la empresa) y no hay arrendamientos en balance (los alquileres van dentro del EBITDA). El resultado financiero del informe es BAI − resultado operativo: incluye la pérdida de 3.861 M de Rise (participada) y los extraordinarios. Sin proveedores separados: «proveedores» = pasivo corriente − deuda a corto − impuesto sobre beneficios. Los segmentos nuevos (consultoría, desarrollo, pruebas, BPaaS) solo tienen FY2025-FY2026 reexpresados [14]. La empresa no publica el número de ingenieros ni el precio por ingeniero desde FY2026 [4]: se usa el precio por proyecto. El fondo con Tokyo Gas (15.000 M, desde el 1-dic-2026) se consolidará con ≈ 67 % de minoritarios: la proyección no incluye sus compras ni su capital [13]. Precio: cierre del 21-oct-2026 en Tokio (1.056,5 JPY, 15:30 hora local [29]). Una acción cuesta ≈ 5,8 EUR; en Tokio se compra por lotes de 100 (≈ 580 EUR por lote).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SHIFT Inc. (3697.T)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1.056,50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(590,00 – 1.196,00)</c:v>
                </c:pt>
                <c:pt idx="1">
                  <c:v>Precio objetivo de los analistas (780,00 – 1.250,00)</c:v>
                </c:pt>
                <c:pt idx="2">
                  <c:v>Comparables: PER NTM (590,63 – 1.220,27)</c:v>
                </c:pt>
                <c:pt idx="3">
                  <c:v>DCF (WACC y g ± 0,5) (1.094,33 – 1.412,92)</c:v>
                </c:pt>
                <c:pt idx="4">
                  <c:v>Escenarios (bajista – alcista) (655,23 – 1.604,11)</c:v>
                </c:pt>
                <c:pt idx="5">
                  <c:v>DCF con la prima implícita del mercado (4,2 %)</c:v>
                </c:pt>
                <c:pt idx="6">
                  <c:v>Precio actual (1.056,50)</c:v>
                </c:pt>
              </c:strCache>
            </c:strRef>
          </c:cat>
          <c:val>
            <c:numRef>
              <c:f>Hoja1!$B$2:$B$8</c:f>
              <c:numCache>
                <c:formatCode>#,##0</c:formatCode>
                <c:ptCount val="7"/>
                <c:pt idx="0">
                  <c:v>590</c:v>
                </c:pt>
                <c:pt idx="1">
                  <c:v>780</c:v>
                </c:pt>
                <c:pt idx="2">
                  <c:v>590.63</c:v>
                </c:pt>
                <c:pt idx="3">
                  <c:v>1094.33</c:v>
                </c:pt>
                <c:pt idx="4">
                  <c:v>655.23</c:v>
                </c:pt>
                <c:pt idx="5">
                  <c:v>1395.9</c:v>
                </c:pt>
                <c:pt idx="6">
                  <c:v>1051.22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(590,00 – 1.196,00)</c:v>
                </c:pt>
                <c:pt idx="1">
                  <c:v>Precio objetivo de los analistas (780,00 – 1.250,00)</c:v>
                </c:pt>
                <c:pt idx="2">
                  <c:v>Comparables: PER NTM (590,63 – 1.220,27)</c:v>
                </c:pt>
                <c:pt idx="3">
                  <c:v>DCF (WACC y g ± 0,5) (1.094,33 – 1.412,92)</c:v>
                </c:pt>
                <c:pt idx="4">
                  <c:v>Escenarios (bajista – alcista) (655,23 – 1.604,11)</c:v>
                </c:pt>
                <c:pt idx="5">
                  <c:v>DCF con la prima implícita del mercado (4,2 %)</c:v>
                </c:pt>
                <c:pt idx="6">
                  <c:v>Precio actual (1.056,50)</c:v>
                </c:pt>
              </c:strCache>
            </c:strRef>
          </c:cat>
          <c:val>
            <c:numRef>
              <c:f>Hoja1!$C$2:$C$8</c:f>
              <c:numCache>
                <c:formatCode>#,##0</c:formatCode>
                <c:ptCount val="7"/>
                <c:pt idx="0">
                  <c:v>606</c:v>
                </c:pt>
                <c:pt idx="1">
                  <c:v>470</c:v>
                </c:pt>
                <c:pt idx="2">
                  <c:v>629.64</c:v>
                </c:pt>
                <c:pt idx="3">
                  <c:v>318.59000000000015</c:v>
                </c:pt>
                <c:pt idx="4">
                  <c:v>948.8799999999999</c:v>
                </c:pt>
                <c:pt idx="5">
                  <c:v>286.89999999999986</c:v>
                </c:pt>
                <c:pt idx="6">
                  <c:v>10.559999999999945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Pruebas (Testing)</c:v>
                </c:pt>
              </c:strCache>
            </c:strRef>
          </c:tx>
          <c:spPr>
            <a:solidFill>
              <a:srgbClr val="2A78D6"/>
            </a:solidFill>
            <a:ln w="12700">
              <a:solidFill>
                <a:srgbClr val="FFFFFF"/>
              </a:solidFill>
            </a:ln>
          </c:spPr>
          <c:invertIfNegative val="0"/>
          <c:cat>
            <c:strRef>
              <c:f>Hoja1!$A$2:$A$3</c:f>
              <c:strCache>
                <c:ptCount val="2"/>
                <c:pt idx="0">
                  <c:v>FY2025</c:v>
                </c:pt>
                <c:pt idx="1">
                  <c:v>FY2026</c:v>
                </c:pt>
              </c:strCache>
            </c:strRef>
          </c:cat>
          <c:val>
            <c:numRef>
              <c:f>Hoja1!$B$2:$B$3</c:f>
              <c:numCache>
                <c:formatCode>#,##0</c:formatCode>
                <c:ptCount val="2"/>
                <c:pt idx="0">
                  <c:v>57612</c:v>
                </c:pt>
                <c:pt idx="1">
                  <c:v>64382</c:v>
                </c:pt>
              </c:numCache>
            </c:numRef>
          </c:val>
        </c:ser>
        <c:ser>
          <c:idx val="1"/>
          <c:order val="1"/>
          <c:tx>
            <c:strRef>
              <c:f>Hoja1!$C$1</c:f>
              <c:strCache>
                <c:ptCount val="1"/>
                <c:pt idx="0">
                  <c:v>Desarrollo (Development)</c:v>
                </c:pt>
              </c:strCache>
            </c:strRef>
          </c:tx>
          <c:spPr>
            <a:solidFill>
              <a:srgbClr val="EB6834"/>
            </a:solidFill>
            <a:ln w="12700">
              <a:solidFill>
                <a:srgbClr val="FFFFFF"/>
              </a:solidFill>
            </a:ln>
          </c:spPr>
          <c:invertIfNegative val="0"/>
          <c:cat>
            <c:strRef>
              <c:f>Hoja1!$A$2:$A$3</c:f>
              <c:strCache>
                <c:ptCount val="2"/>
                <c:pt idx="0">
                  <c:v>FY2025</c:v>
                </c:pt>
                <c:pt idx="1">
                  <c:v>FY2026</c:v>
                </c:pt>
              </c:strCache>
            </c:strRef>
          </c:cat>
          <c:val>
            <c:numRef>
              <c:f>Hoja1!$C$2:$C$3</c:f>
              <c:numCache>
                <c:formatCode>#,##0</c:formatCode>
                <c:ptCount val="2"/>
                <c:pt idx="0">
                  <c:v>47949</c:v>
                </c:pt>
                <c:pt idx="1">
                  <c:v>65107</c:v>
                </c:pt>
              </c:numCache>
            </c:numRef>
          </c:val>
        </c:ser>
        <c:ser>
          <c:idx val="2"/>
          <c:order val="2"/>
          <c:tx>
            <c:strRef>
              <c:f>Hoja1!$D$1</c:f>
              <c:strCache>
                <c:ptCount val="1"/>
                <c:pt idx="0">
                  <c:v>Consultoría</c:v>
                </c:pt>
              </c:strCache>
            </c:strRef>
          </c:tx>
          <c:spPr>
            <a:solidFill>
              <a:srgbClr val="1BAF7A"/>
            </a:solidFill>
            <a:ln w="12700">
              <a:solidFill>
                <a:srgbClr val="FFFFFF"/>
              </a:solidFill>
            </a:ln>
          </c:spPr>
          <c:invertIfNegative val="0"/>
          <c:cat>
            <c:strRef>
              <c:f>Hoja1!$A$2:$A$3</c:f>
              <c:strCache>
                <c:ptCount val="2"/>
                <c:pt idx="0">
                  <c:v>FY2025</c:v>
                </c:pt>
                <c:pt idx="1">
                  <c:v>FY2026</c:v>
                </c:pt>
              </c:strCache>
            </c:strRef>
          </c:cat>
          <c:val>
            <c:numRef>
              <c:f>Hoja1!$D$2:$D$3</c:f>
              <c:numCache>
                <c:formatCode>#,##0</c:formatCode>
                <c:ptCount val="2"/>
                <c:pt idx="0">
                  <c:v>14789</c:v>
                </c:pt>
                <c:pt idx="1">
                  <c:v>19263</c:v>
                </c:pt>
              </c:numCache>
            </c:numRef>
          </c:val>
        </c:ser>
        <c:ser>
          <c:idx val="3"/>
          <c:order val="3"/>
          <c:tx>
            <c:strRef>
              <c:f>Hoja1!$E$1</c:f>
              <c:strCache>
                <c:ptCount val="1"/>
                <c:pt idx="0">
                  <c:v>BPaaS</c:v>
                </c:pt>
              </c:strCache>
            </c:strRef>
          </c:tx>
          <c:spPr>
            <a:solidFill>
              <a:srgbClr val="EDA100"/>
            </a:solidFill>
            <a:ln w="12700">
              <a:solidFill>
                <a:srgbClr val="FFFFFF"/>
              </a:solidFill>
            </a:ln>
          </c:spPr>
          <c:invertIfNegative val="0"/>
          <c:cat>
            <c:strRef>
              <c:f>Hoja1!$A$2:$A$3</c:f>
              <c:strCache>
                <c:ptCount val="2"/>
                <c:pt idx="0">
                  <c:v>FY2025</c:v>
                </c:pt>
                <c:pt idx="1">
                  <c:v>FY2026</c:v>
                </c:pt>
              </c:strCache>
            </c:strRef>
          </c:cat>
          <c:val>
            <c:numRef>
              <c:f>Hoja1!$E$2:$E$3</c:f>
              <c:numCache>
                <c:formatCode>#,##0</c:formatCode>
                <c:ptCount val="2"/>
                <c:pt idx="0">
                  <c:v>3817</c:v>
                </c:pt>
                <c:pt idx="1">
                  <c:v>5157</c:v>
                </c:pt>
              </c:numCache>
            </c:numRef>
          </c:val>
        </c:ser>
        <c:ser>
          <c:idx val="4"/>
          <c:order val="4"/>
          <c:tx>
            <c:strRef>
              <c:f>Hoja1!$F$1</c:f>
              <c:strCache>
                <c:ptCount val="1"/>
                <c:pt idx="0">
                  <c:v>Otros y plataforma de inversión</c:v>
                </c:pt>
              </c:strCache>
            </c:strRef>
          </c:tx>
          <c:spPr>
            <a:solidFill>
              <a:srgbClr val="E87BA4"/>
            </a:solidFill>
            <a:ln w="12700">
              <a:solidFill>
                <a:srgbClr val="FFFFFF"/>
              </a:solidFill>
            </a:ln>
          </c:spPr>
          <c:invertIfNegative val="0"/>
          <c:cat>
            <c:strRef>
              <c:f>Hoja1!$A$2:$A$3</c:f>
              <c:strCache>
                <c:ptCount val="2"/>
                <c:pt idx="0">
                  <c:v>FY2025</c:v>
                </c:pt>
                <c:pt idx="1">
                  <c:v>FY2026</c:v>
                </c:pt>
              </c:strCache>
            </c:strRef>
          </c:cat>
          <c:val>
            <c:numRef>
              <c:f>Hoja1!$F$2:$F$3</c:f>
              <c:numCache>
                <c:formatCode>#,##0</c:formatCode>
                <c:ptCount val="2"/>
                <c:pt idx="0">
                  <c:v>9996</c:v>
                </c:pt>
                <c:pt idx="1">
                  <c:v>12856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Pruebas (Testing)</c:v>
                </c:pt>
                <c:pt idx="1">
                  <c:v>Desarrollo (Development)</c:v>
                </c:pt>
                <c:pt idx="2">
                  <c:v>Consultoría</c:v>
                </c:pt>
                <c:pt idx="3">
                  <c:v>BPaaS</c:v>
                </c:pt>
                <c:pt idx="4">
                  <c:v>Otros y plataforma de inversión</c:v>
                </c:pt>
              </c:strCache>
            </c:strRef>
          </c:cat>
          <c:val>
            <c:numRef>
              <c:f>Hoja1!$B$2:$B$6</c:f>
              <c:numCache>
                <c:formatCode>General</c:formatCode>
                <c:ptCount val="5"/>
                <c:pt idx="0">
                  <c:v>38.6</c:v>
                </c:pt>
                <c:pt idx="1">
                  <c:v>39</c:v>
                </c:pt>
                <c:pt idx="2">
                  <c:v>11.6</c:v>
                </c:pt>
                <c:pt idx="3">
                  <c:v>3.1</c:v>
                </c:pt>
                <c:pt idx="4">
                  <c:v>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Japón</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JPY (IDC Japan: 6,4608 billones en 2023, 7,5663 en 2025 y 10,2541 en 2030; años intermedios interpolados por el analista con la TCAC del 6,2 %))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2023</c:v>
                </c:pt>
                <c:pt idx="1">
                  <c:v>2024</c:v>
                </c:pt>
                <c:pt idx="2">
                  <c:v>2025</c:v>
                </c:pt>
                <c:pt idx="3">
                  <c:v>2026e</c:v>
                </c:pt>
                <c:pt idx="4">
                  <c:v>2027e</c:v>
                </c:pt>
                <c:pt idx="5">
                  <c:v>2028e</c:v>
                </c:pt>
                <c:pt idx="6">
                  <c:v>2029e</c:v>
                </c:pt>
                <c:pt idx="7">
                  <c:v>2030e</c:v>
                </c:pt>
              </c:strCache>
            </c:strRef>
          </c:cat>
          <c:val>
            <c:numRef>
              <c:f>Hoja1!$B$2:$B$9</c:f>
              <c:numCache>
                <c:formatCode>#,##0</c:formatCode>
                <c:ptCount val="8"/>
                <c:pt idx="0">
                  <c:v>6460800</c:v>
                </c:pt>
                <c:pt idx="1">
                  <c:v>7051000</c:v>
                </c:pt>
                <c:pt idx="2">
                  <c:v>7566300</c:v>
                </c:pt>
                <c:pt idx="3">
                  <c:v>8035000</c:v>
                </c:pt>
                <c:pt idx="4">
                  <c:v>8533000</c:v>
                </c:pt>
                <c:pt idx="5">
                  <c:v>9062000</c:v>
                </c:pt>
                <c:pt idx="6">
                  <c:v>9624000</c:v>
                </c:pt>
                <c:pt idx="7">
                  <c:v>10254100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4</c:v>
                </c:pt>
                <c:pt idx="3">
                  <c:v>2</c:v>
                </c:pt>
                <c:pt idx="4">
                  <c:v>5</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SHIFT</c:v>
                </c:pt>
                <c:pt idx="1">
                  <c:v>NTT Data, Fujitsu, NEC (pruebas dentro de la integración)</c:v>
                </c:pt>
                <c:pt idx="2">
                  <c:v>Nomura Research Institute</c:v>
                </c:pt>
                <c:pt idx="3">
                  <c:v>TIS</c:v>
                </c:pt>
                <c:pt idx="4">
                  <c:v>Systena</c:v>
                </c:pt>
                <c:pt idx="5">
                  <c:v>Digital Hearts Holdings</c:v>
                </c:pt>
                <c:pt idx="6">
                  <c:v>Valtes Holdings</c:v>
                </c:pt>
              </c:strCache>
            </c:strRef>
          </c:cat>
          <c:val>
            <c:numRef>
              <c:f>Hoja1!$B$2:$B$8</c:f>
              <c:numCache>
                <c:formatCode>0.0"%"</c:formatCode>
                <c:ptCount val="7"/>
                <c:pt idx="0">
                  <c:v>10.8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2</c:v>
                </c:pt>
                <c:pt idx="3">
                  <c:v>3</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Hoja1!$B$2:$B$14</c:f>
              <c:numCache>
                <c:formatCode>#,##0</c:formatCode>
                <c:ptCount val="13"/>
                <c:pt idx="0">
                  <c:v>64873</c:v>
                </c:pt>
                <c:pt idx="1">
                  <c:v>88030</c:v>
                </c:pt>
                <c:pt idx="2">
                  <c:v>110627</c:v>
                </c:pt>
                <c:pt idx="3">
                  <c:v>129819</c:v>
                </c:pt>
                <c:pt idx="4">
                  <c:v>161600</c:v>
                </c:pt>
                <c:pt idx="5">
                  <c:v>187941</c:v>
                </c:pt>
                <c:pt idx="6">
                  <c:v>210494</c:v>
                </c:pt>
                <c:pt idx="7">
                  <c:v>231543</c:v>
                </c:pt>
                <c:pt idx="8">
                  <c:v>252382</c:v>
                </c:pt>
                <c:pt idx="9">
                  <c:v>272572</c:v>
                </c:pt>
                <c:pt idx="10">
                  <c:v>291653</c:v>
                </c:pt>
                <c:pt idx="11">
                  <c:v>309152</c:v>
                </c:pt>
                <c:pt idx="12">
                  <c:v>324609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Hoja1!$C$2:$C$14</c:f>
              <c:numCache>
                <c:formatCode>#,##0</c:formatCode>
                <c:ptCount val="13"/>
                <c:pt idx="0">
                  <c:v>8369</c:v>
                </c:pt>
                <c:pt idx="1">
                  <c:v>13285</c:v>
                </c:pt>
                <c:pt idx="2">
                  <c:v>13423</c:v>
                </c:pt>
                <c:pt idx="3">
                  <c:v>18867</c:v>
                </c:pt>
                <c:pt idx="4">
                  <c:v>21603</c:v>
                </c:pt>
                <c:pt idx="5">
                  <c:v>26688</c:v>
                </c:pt>
                <c:pt idx="6">
                  <c:v>31153</c:v>
                </c:pt>
                <c:pt idx="7">
                  <c:v>35195</c:v>
                </c:pt>
                <c:pt idx="8">
                  <c:v>39119</c:v>
                </c:pt>
                <c:pt idx="9">
                  <c:v>42249</c:v>
                </c:pt>
                <c:pt idx="10">
                  <c:v>45206</c:v>
                </c:pt>
                <c:pt idx="11">
                  <c:v>47919</c:v>
                </c:pt>
                <c:pt idx="12">
                  <c:v>50314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32.5</c:v>
                </c:pt>
                <c:pt idx="1">
                  <c:v>34</c:v>
                </c:pt>
                <c:pt idx="2">
                  <c:v>32</c:v>
                </c:pt>
                <c:pt idx="3">
                  <c:v>34.7</c:v>
                </c:pt>
                <c:pt idx="4">
                  <c:v>33.5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12.9</c:v>
                </c:pt>
                <c:pt idx="1">
                  <c:v>15.1</c:v>
                </c:pt>
                <c:pt idx="2">
                  <c:v>12.1</c:v>
                </c:pt>
                <c:pt idx="3">
                  <c:v>14.5</c:v>
                </c:pt>
                <c:pt idx="4">
                  <c:v>13.4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10.7</c:v>
                </c:pt>
                <c:pt idx="1">
                  <c:v>13.1</c:v>
                </c:pt>
                <c:pt idx="2">
                  <c:v>9.5</c:v>
                </c:pt>
                <c:pt idx="3">
                  <c:v>12</c:v>
                </c:pt>
                <c:pt idx="4">
                  <c:v>10.8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7.7</c:v>
                </c:pt>
                <c:pt idx="1">
                  <c:v>7.1</c:v>
                </c:pt>
                <c:pt idx="2">
                  <c:v>4.6</c:v>
                </c:pt>
                <c:pt idx="3">
                  <c:v>6.9</c:v>
                </c:pt>
                <c:pt idx="4">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 FY2025</c:v>
                </c:pt>
                <c:pt idx="1">
                  <c:v>2T FY2025</c:v>
                </c:pt>
                <c:pt idx="2">
                  <c:v>3T FY2025</c:v>
                </c:pt>
                <c:pt idx="3">
                  <c:v>4T FY2025</c:v>
                </c:pt>
                <c:pt idx="4">
                  <c:v>1T FY2026</c:v>
                </c:pt>
                <c:pt idx="5">
                  <c:v>2T FY2026</c:v>
                </c:pt>
                <c:pt idx="6">
                  <c:v>3T FY2026</c:v>
                </c:pt>
                <c:pt idx="7">
                  <c:v>4T FY2026</c:v>
                </c:pt>
              </c:strCache>
            </c:strRef>
          </c:cat>
          <c:val>
            <c:numRef>
              <c:f>Hoja1!$B$2:$B$9</c:f>
              <c:numCache>
                <c:formatCode>0.0"%"</c:formatCode>
                <c:ptCount val="8"/>
                <c:pt idx="0">
                  <c:v>20.3</c:v>
                </c:pt>
                <c:pt idx="1">
                  <c:v>15.7</c:v>
                </c:pt>
                <c:pt idx="2">
                  <c:v>16.9</c:v>
                </c:pt>
                <c:pt idx="3">
                  <c:v>16.7</c:v>
                </c:pt>
                <c:pt idx="4">
                  <c:v>15.5</c:v>
                </c:pt>
                <c:pt idx="5">
                  <c:v>18</c:v>
                </c:pt>
                <c:pt idx="6">
                  <c:v>29.9</c:v>
                </c:pt>
                <c:pt idx="7">
                  <c:v>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45</c:v>
                </c:pt>
                <c:pt idx="1">
                  <c:v>46</c:v>
                </c:pt>
                <c:pt idx="2">
                  <c:v>46</c:v>
                </c:pt>
                <c:pt idx="3">
                  <c:v>43</c:v>
                </c:pt>
                <c:pt idx="4">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7</c:v>
                </c:pt>
                <c:pt idx="1">
                  <c:v>5</c:v>
                </c:pt>
                <c:pt idx="2">
                  <c:v>5</c:v>
                </c:pt>
                <c:pt idx="3">
                  <c:v>7</c:v>
                </c:pt>
                <c:pt idx="4">
                  <c:v>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75</c:v>
                </c:pt>
                <c:pt idx="1">
                  <c:v>75</c:v>
                </c:pt>
                <c:pt idx="2">
                  <c:v>71</c:v>
                </c:pt>
                <c:pt idx="3">
                  <c:v>79</c:v>
                </c:pt>
                <c:pt idx="4">
                  <c:v>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6624</c:v>
                </c:pt>
                <c:pt idx="1">
                  <c:v>8992</c:v>
                </c:pt>
                <c:pt idx="2">
                  <c:v>3377</c:v>
                </c:pt>
                <c:pt idx="3">
                  <c:v>14174</c:v>
                </c:pt>
                <c:pt idx="4">
                  <c:v>12060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4974</c:v>
                </c:pt>
                <c:pt idx="1">
                  <c:v>6245</c:v>
                </c:pt>
                <c:pt idx="2">
                  <c:v>5127</c:v>
                </c:pt>
                <c:pt idx="3">
                  <c:v>8935</c:v>
                </c:pt>
                <c:pt idx="4">
                  <c:v>7430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28.5</c:v>
                </c:pt>
                <c:pt idx="1">
                  <c:v>44.4</c:v>
                </c:pt>
                <c:pt idx="2">
                  <c:v>31.9</c:v>
                </c:pt>
                <c:pt idx="3">
                  <c:v>39.7</c:v>
                </c:pt>
                <c:pt idx="4">
                  <c:v>28.2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9</c:v>
                </c:pt>
                <c:pt idx="1">
                  <c:v>9</c:v>
                </c:pt>
                <c:pt idx="2">
                  <c:v>9</c:v>
                </c:pt>
                <c:pt idx="3">
                  <c:v>9</c:v>
                </c:pt>
                <c:pt idx="4">
                  <c:v>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19.4</c:v>
                </c:pt>
                <c:pt idx="1">
                  <c:v>22.9</c:v>
                </c:pt>
                <c:pt idx="2">
                  <c:v>16.4</c:v>
                </c:pt>
                <c:pt idx="3">
                  <c:v>24.1</c:v>
                </c:pt>
                <c:pt idx="4">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-1.12</c:v>
                </c:pt>
                <c:pt idx="1">
                  <c:v>-0.96</c:v>
                </c:pt>
                <c:pt idx="2">
                  <c:v>-0.84</c:v>
                </c:pt>
                <c:pt idx="3">
                  <c:v>-0.62</c:v>
                </c:pt>
                <c:pt idx="4">
                  <c:v>0.17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FY2027</c:v>
                </c:pt>
                <c:pt idx="1">
                  <c:v>FY2028-FY2031</c:v>
                </c:pt>
              </c:strCache>
            </c:strRef>
          </c:cat>
          <c:val>
            <c:numRef>
              <c:f>Hoja1!$B$2:$B$3</c:f>
              <c:numCache>
                <c:formatCode>#,##0</c:formatCode>
                <c:ptCount val="2"/>
                <c:pt idx="0">
                  <c:v>7175</c:v>
                </c:pt>
                <c:pt idx="1">
                  <c:v>27538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312</c:v>
                </c:pt>
                <c:pt idx="1">
                  <c:v>3864</c:v>
                </c:pt>
                <c:pt idx="2">
                  <c:v>4624</c:v>
                </c:pt>
                <c:pt idx="3">
                  <c:v>8685</c:v>
                </c:pt>
                <c:pt idx="4">
                  <c:v>20982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1999</c:v>
                </c:pt>
                <c:pt idx="1">
                  <c:v>2001</c:v>
                </c:pt>
                <c:pt idx="2">
                  <c:v>2</c:v>
                </c:pt>
                <c:pt idx="3">
                  <c:v>999</c:v>
                </c:pt>
                <c:pt idx="4">
                  <c:v>6547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Masaru Tange (fundador y consejero delegado)</c:v>
                </c:pt>
                <c:pt idx="1">
                  <c:v>The Master Trust Bank of Japan y Custody Bank of Japan (fiduciarios)</c:v>
                </c:pt>
                <c:pt idx="2">
                  <c:v>Arcus Investment</c:v>
                </c:pt>
                <c:pt idx="3">
                  <c:v>Nomura Asset Management y Sumitomo Mitsui Trust AM</c:v>
                </c:pt>
                <c:pt idx="4">
                  <c:v>Goldman Sachs</c:v>
                </c:pt>
                <c:pt idx="5">
                  <c:v>Motoya Kobayashi (consejero)</c:v>
                </c:pt>
              </c:strCache>
            </c:strRef>
          </c:cat>
          <c:val>
            <c:numRef>
              <c:f>Hoja1!$B$2:$B$7</c:f>
              <c:numCache>
                <c:formatCode>0.0"%"</c:formatCode>
                <c:ptCount val="6"/>
                <c:pt idx="0">
                  <c:v>31.94</c:v>
                </c:pt>
                <c:pt idx="2">
                  <c:v>5.25</c:v>
                </c:pt>
                <c:pt idx="5">
                  <c:v>0.88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26.2</c:v>
                </c:pt>
                <c:pt idx="1">
                  <c:v>166.5</c:v>
                </c:pt>
                <c:pt idx="2">
                  <c:v>6.4</c:v>
                </c:pt>
                <c:pt idx="3">
                  <c:v>121.7</c:v>
                </c:pt>
                <c:pt idx="4">
                  <c:v>79.3</c:v>
                </c:pt>
                <c:pt idx="5">
                  <c:v>66.7</c:v>
                </c:pt>
                <c:pt idx="6">
                  <c:v>-2.2</c:v>
                </c:pt>
                <c:pt idx="7">
                  <c:v>53.5</c:v>
                </c:pt>
                <c:pt idx="8">
                  <c:v>-49.1</c:v>
                </c:pt>
                <c:pt idx="9">
                  <c:v>-19.1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22.1</c:v>
                </c:pt>
                <c:pt idx="2">
                  <c:v>-15.8</c:v>
                </c:pt>
                <c:pt idx="3">
                  <c:v>17.7</c:v>
                </c:pt>
                <c:pt idx="4">
                  <c:v>7.4</c:v>
                </c:pt>
                <c:pt idx="5">
                  <c:v>12.7</c:v>
                </c:pt>
                <c:pt idx="6">
                  <c:v>-2.4</c:v>
                </c:pt>
                <c:pt idx="7">
                  <c:v>28.2</c:v>
                </c:pt>
                <c:pt idx="8">
                  <c:v>20.3</c:v>
                </c:pt>
                <c:pt idx="9">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0.0"x"</c:formatCode>
                <c:ptCount val="9"/>
                <c:pt idx="4">
                  <c:v>41.7</c:v>
                </c:pt>
                <c:pt idx="5">
                  <c:v>38.9</c:v>
                </c:pt>
                <c:pt idx="6">
                  <c:v>17.1</c:v>
                </c:pt>
                <c:pt idx="7">
                  <c:v>20.8</c:v>
                </c:pt>
                <c:pt idx="8">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0.0"x"</c:formatCode>
                <c:ptCount val="9"/>
                <c:pt idx="0">
                  <c:v>20.8</c:v>
                </c:pt>
                <c:pt idx="1">
                  <c:v>20.8</c:v>
                </c:pt>
                <c:pt idx="2">
                  <c:v>20.8</c:v>
                </c:pt>
                <c:pt idx="3">
                  <c:v>20.8</c:v>
                </c:pt>
                <c:pt idx="4">
                  <c:v>20.8</c:v>
                </c:pt>
                <c:pt idx="5">
                  <c:v>20.8</c:v>
                </c:pt>
                <c:pt idx="6">
                  <c:v>20.8</c:v>
                </c:pt>
                <c:pt idx="7">
                  <c:v>20.8</c:v>
                </c:pt>
                <c:pt idx="8">
                  <c:v>20.8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SHIFT</c:v>
                </c:pt>
                <c:pt idx="1">
                  <c:v>Nomura Research Institute</c:v>
                </c:pt>
                <c:pt idx="2">
                  <c:v>TIS</c:v>
                </c:pt>
                <c:pt idx="3">
                  <c:v>Systena</c:v>
                </c:pt>
                <c:pt idx="4">
                  <c:v>Digital Hearts Holdings</c:v>
                </c:pt>
                <c:pt idx="5">
                  <c:v>Valtes Holdings</c:v>
                </c:pt>
                <c:pt idx="6">
                  <c:v>BayCurrent</c:v>
                </c:pt>
                <c:pt idx="7">
                  <c:v>NS Solutions</c:v>
                </c:pt>
                <c:pt idx="8">
                  <c:v>EPAM Systems</c:v>
                </c:pt>
                <c:pt idx="9">
                  <c:v>Globant</c:v>
                </c:pt>
              </c:strCache>
            </c:strRef>
          </c:cat>
          <c:val>
            <c:numRef>
              <c:f>Hoja1!$B$2:$B$11</c:f>
              <c:numCache>
                <c:formatCode>0.0"x"</c:formatCode>
                <c:ptCount val="10"/>
                <c:pt idx="0">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16234</c:v>
                </c:pt>
                <c:pt idx="1">
                  <c:v>14542</c:v>
                </c:pt>
                <c:pt idx="2">
                  <c:v>16861</c:v>
                </c:pt>
                <c:pt idx="3">
                  <c:v>18815</c:v>
                </c:pt>
                <c:pt idx="4">
                  <c:v>20625</c:v>
                </c:pt>
                <c:pt idx="5">
                  <c:v>23767</c:v>
                </c:pt>
                <c:pt idx="6">
                  <c:v>26376</c:v>
                </c:pt>
                <c:pt idx="7">
                  <c:v>27753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113297</c:v>
                </c:pt>
                <c:pt idx="1">
                  <c:v>205678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1.056,50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655.23</c:v>
                </c:pt>
                <c:pt idx="1">
                  <c:v>1231.16</c:v>
                </c:pt>
                <c:pt idx="2">
                  <c:v>1604.11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1.056,50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(590,00 – 1.196,00)</c:v>
                </c:pt>
                <c:pt idx="1">
                  <c:v>Precio objetivo de los analistas (780,00 – 1.250,00)</c:v>
                </c:pt>
                <c:pt idx="2">
                  <c:v>Comparables: PER NTM (590,63 – 1.220,27)</c:v>
                </c:pt>
                <c:pt idx="3">
                  <c:v>DCF (WACC y g ± 0,5) (1.094,33 – 1.412,92)</c:v>
                </c:pt>
                <c:pt idx="4">
                  <c:v>Escenarios (bajista – alcista) (655,23 – 1.604,11)</c:v>
                </c:pt>
                <c:pt idx="5">
                  <c:v>DCF con la prima implícita del mercado (4,2 %)</c:v>
                </c:pt>
                <c:pt idx="6">
                  <c:v>Precio actual (1.056,50)</c:v>
                </c:pt>
              </c:strCache>
            </c:strRef>
          </c:cat>
          <c:val>
            <c:numRef>
              <c:f>Hoja1!$B$2:$B$8</c:f>
              <c:numCache>
                <c:formatCode>#,##0</c:formatCode>
                <c:ptCount val="7"/>
                <c:pt idx="0">
                  <c:v>590</c:v>
                </c:pt>
                <c:pt idx="1">
                  <c:v>780</c:v>
                </c:pt>
                <c:pt idx="2">
                  <c:v>590.63</c:v>
                </c:pt>
                <c:pt idx="3">
                  <c:v>1094.33</c:v>
                </c:pt>
                <c:pt idx="4">
                  <c:v>655.23</c:v>
                </c:pt>
                <c:pt idx="5">
                  <c:v>1395.9</c:v>
                </c:pt>
                <c:pt idx="6">
                  <c:v>1051.22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(590,00 – 1.196,00)</c:v>
                </c:pt>
                <c:pt idx="1">
                  <c:v>Precio objetivo de los analistas (780,00 – 1.250,00)</c:v>
                </c:pt>
                <c:pt idx="2">
                  <c:v>Comparables: PER NTM (590,63 – 1.220,27)</c:v>
                </c:pt>
                <c:pt idx="3">
                  <c:v>DCF (WACC y g ± 0,5) (1.094,33 – 1.412,92)</c:v>
                </c:pt>
                <c:pt idx="4">
                  <c:v>Escenarios (bajista – alcista) (655,23 – 1.604,11)</c:v>
                </c:pt>
                <c:pt idx="5">
                  <c:v>DCF con la prima implícita del mercado (4,2 %)</c:v>
                </c:pt>
                <c:pt idx="6">
                  <c:v>Precio actual (1.056,50)</c:v>
                </c:pt>
              </c:strCache>
            </c:strRef>
          </c:cat>
          <c:val>
            <c:numRef>
              <c:f>Hoja1!$C$2:$C$8</c:f>
              <c:numCache>
                <c:formatCode>#,##0</c:formatCode>
                <c:ptCount val="7"/>
                <c:pt idx="0">
                  <c:v>606</c:v>
                </c:pt>
                <c:pt idx="1">
                  <c:v>470</c:v>
                </c:pt>
                <c:pt idx="2">
                  <c:v>629.64</c:v>
                </c:pt>
                <c:pt idx="3">
                  <c:v>318.59000000000015</c:v>
                </c:pt>
                <c:pt idx="4">
                  <c:v>948.8799999999999</c:v>
                </c:pt>
                <c:pt idx="5">
                  <c:v>286.89999999999986</c:v>
                </c:pt>
                <c:pt idx="6">
                  <c:v>10.559999999999945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