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Zhejiang DunAn Artificial Environment Co., Ltd. (浙江盾安人工环境股份有限公司)</w:t>
      </w:r>
    </w:p>
    <w:p>
      <w:pPr>
        <w:spacing w:after="60"/>
        <w:rPr>
          <w:color w:val="52514E"/>
          <w:sz w:val="22"/>
          <w:szCs w:val="22"/>
        </w:rPr>
      </w:pPr>
      <w:r>
        <w:rPr>
          <w:color w:val="52514E"/>
          <w:sz w:val="22"/>
          <w:szCs w:val="22"/>
        </w:rPr>
        <w:t xml:space="preserve">002011.SZ · Bolsa de Shenzhen (consejo principal, acciones A en CNY); comprable desde fuera de China por Shenzhen-Hong Kong Stock Connect (hacia el norte, compra y venta) · ISIN n.d.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19 oct 2026</w:t>
      </w:r>
      <w:r>
        <w:rPr>
          <w:color w:val="52514E"/>
          <w:sz w:val="18"/>
          <w:szCs w:val="18"/>
        </w:rPr>
        <w:t xml:space="preserve"> · Divisa: </w:t>
      </w:r>
      <w:r>
        <w:rPr>
          <w:b/>
          <w:bCs/>
          <w:color w:val="52514E"/>
          <w:sz w:val="18"/>
          <w:szCs w:val="18"/>
        </w:rPr>
        <w:t xml:space="preserve">CNY</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10,75 CNY</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13,18 CNY</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+23,5 % (base +21,2 %)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16,64 CNY · mercado 19,07</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11.551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-2,0x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Zhejiang DunAn Artificial Environment Co., Ltd. (浙江盾安人工环境股份有限公司)</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002011.SZ / n.d.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Shenzhen (consejo principal, acciones A en CNY); comprable desde fuera de China por Shenzhen-Hong Kong Stock Connect (hacia el norte, compra y venta)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CSI 300 (ETF 510300.SS)</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Componentes de construcción y climatización (válvulas y control de refrigerante)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Zhuji (Zhejiang) · n.d.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12.631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https://www.dunan.net</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10,75 (19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9,73 – 14,98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1.074,5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11.551 M CNY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8.321 M CNY</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351 M CNY/día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Baja · Objetivo a 12 meses </w:t>
      </w:r>
      <w:r>
        <w:rPr>
          <w:b/>
          <w:bCs/>
        </w:rPr>
        <w:t xml:space="preserve">13,18 CNY</w:t>
      </w:r>
      <w:r>
        <w:t xml:space="preserve"> frente a 10,75 · Rentabilidad a 12 meses </w:t>
      </w:r>
      <w:r>
        <w:rPr>
          <w:b/>
          <w:bCs/>
        </w:rPr>
        <w:t xml:space="preserve">+23,5 % (base +21,2 %)</w:t>
      </w:r>
      <w:r>
        <w:t xml:space="preserve"> · Valor intrínseco 16,64 CNY · con la prima implícita del mercado: 19,07 (+77,4 %) · Alcista / bajista +72,3 % / -3,3 %</w:t>
      </w:r>
    </w:p>
    <w:p>
      <w:pPr>
        <w:spacing w:after="100"/>
      </w:pPr>
      <w:r>
        <w:rPr>
          <w:b/>
        </w:rPr>
        <w:t xml:space="preserve">La recomendación y por qué.</w:t>
      </w:r>
      <w:r>
        <w:t xml:space="preserve"> Comprar con convicción baja. El objetivo a 12 meses es de 13,18 CNY: una rentabilidad ponderada del 23,5 % con dividendo y del 21,2 % en el caso base (12,93), frente a un precio de 10,75. El valor intrínseco es de 16,64 CNY (+54,8 %) y el objetivo medio de los analistas de 14,25 [25]. El mercado paga 10,6 veces nuestro beneficio de 2027 por un negocio con un ROIC del 26,7 % y una caja neta de 2.876 M, el 25 % de la capitalización [6]. La convicción baja de la Media que sugieren los criterios porque la señal es frágil: con la regla v2 de control la rentabilidad es del 11,3 % (Mantener) y con un BPA un 10 % menor también; la compra que aguanta todas las variantes está por debajo de 10,40 CNY. Subiría si el 3T26 (27-oct) muestra un margen bruto estable y el beneficio de 9M26 cae menos del 5 % [31].</w:t>
      </w:r>
    </w:p>
    <w:p>
      <w:pPr>
        <w:spacing w:after="100"/>
      </w:pPr>
      <w:r>
        <w:rPr>
          <w:b/>
        </w:rPr>
        <w:t xml:space="preserve">El negocio.</w:t>
      </w:r>
      <w:r>
        <w:t xml:space="preserve"> DunAn es, con Sanhua, uno de los dos grandes fabricantes mundiales de válvulas de cuatro vías y de expansión electrónicas para aire acondicionado, y vende también a la gestión térmica del coche eléctrico y a equipos de refrigeración [1]. Su ventaja es de rotación, no de margen: margen EBITDA del 10,8 % en 2025 frente al 19,5 % de Sanhua, pero un capital invertido de solo 3.832 M porque los proveedores financian el circulante [1, 27]. ROIC del 26,7 % frente a un WACC del 8,54 %. La calidad sostiene el crecimiento que proyectamos: el 5,4 % anual es menos que el histórico (7,3 %) y que el que financia la reinversión al ROIC actual (6,4 %), y no exige ganar cuota.</w:t>
      </w:r>
    </w:p>
    <w:p>
      <w:pPr>
        <w:spacing w:after="100"/>
      </w:pPr>
      <w:r>
        <w:rPr>
          <w:b/>
        </w:rPr>
        <w:t xml:space="preserve">Equipo y gobierno.</w:t>
      </w:r>
      <w:r>
        <w:t xml:space="preserve"> Gree controla el 38,13 % y es primer cliente; la empresa deposita caja en la financiera de Gree, y el 26 % de los votos minoritarios rechazó ese acuerdo en junio [6, 18]. Resta: la caja rinde poco y el reparto es bajo (dividendo de 0,10 CNY, el 0,9 % del precio), en parte porque la matriz arrastraba pérdidas [10].</w:t>
      </w:r>
    </w:p>
    <w:p>
      <w:pPr>
        <w:spacing w:after="100"/>
      </w:pPr>
      <w:r>
        <w:rPr>
          <w:b/>
        </w:rPr>
        <w:t xml:space="preserve">Valoración.</w:t>
      </w:r>
      <w:r>
        <w:t xml:space="preserve"> El DCF da 15,97 CNY (+48,6 %) con el valor terminal en el 73 %; pesa el 60 %, los escenarios el 30 % y los comparables el 10 %, porque su mediana (22,2 veces) está inflada por la refrigeración de centros de datos. El precio no se iguala con ningún crecimiento razonable: descuenta un margen EBITDA del 7,7 % para siempre, el de los años de crisis, o una rentabilidad del 13,3 % anual. Discrepamos del consenso en el margen: nuestro BPA de 2028e (1,105) está un 13 % por debajo de la media de los analistas [25].</w:t>
      </w:r>
    </w:p>
    <w:p>
      <w:pPr>
        <w:spacing w:after="100"/>
      </w:pPr>
      <w:r>
        <w:rPr>
          <w:b/>
        </w:rPr>
        <w:t xml:space="preserve">Riesgos y catalizadores.</w:t>
      </w:r>
      <w:r>
        <w:t xml:space="preserve"> El riesgo principal es que duren la caída del aire acondicionado chino (producción −6,2 % en el 1S26) y el cobre [6]: el bajista a 12 meses (6,32 CNY, −40,2 %) combina un BPA de 0,68 y 9,3 veces. El segundo, el gobierno: más caja en la financiera de Gree y compras desviadas. Catalizadores: el 3T26 del 27-oct y la propuesta de dividendo de 2026 en abril. El foro de Eastmoney está en capitulación tras devolver la subida del 51 % de septiembre por la refrigeración líquida, que nuestro caso base no cuenta [32, 34].</w:t>
      </w:r>
    </w:p>
    <w:p>
      <w:pPr>
        <w:spacing w:after="100"/>
      </w:pPr>
      <w:r>
        <w:rPr>
          <w:b/>
        </w:rPr>
        <w:t xml:space="preserve">Qué cambiaría la decisión.</w:t>
      </w:r>
      <w:r>
        <w:t xml:space="preserve"> Comprar por debajo de 11,55 CNY y vender por encima de 14,76; la compra robusta, por debajo de 10,40. Pasaríamos a Mantener si el margen bruto trimestral baja del 16 % dos trimestres seguidos o si el beneficio de 2026 queda por debajo de 950 M; un reparto de más del 30 % del beneficio subiría la convicción. Desde fuera de China se compra por Stock Connect: 002011 está en la lista de valores aptos para compra y venta de HKEX [30].</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Baja · Horizonte: 12 meses (tesis completa a 2-3 años) · Objetivo a 12 meses: </w:t>
      </w:r>
      <w:r>
        <w:rPr>
          <w:b/>
          <w:bCs/>
        </w:rPr>
        <w:t xml:space="preserve">13,18 CNY</w:t>
      </w:r>
      <w:r>
        <w:t xml:space="preserve"> (rentabilidad +23,5 % (base +21,2 %)) · Valor intrínseco: 16,64 CNY (+54,8 % sobre 10,75) · con la prima implícita del mercado: 19,07 (+77,4 %)</w:t>
      </w:r>
    </w:p>
    <w:p>
      <w:pPr>
        <w:spacing w:after="100"/>
      </w:pPr>
      <w:r>
        <w:t xml:space="preserve">DunAn fabrica válvulas de cuatro vías, válvulas de expansión electrónicas y otros componentes de refrigeración; con Sanhua forma el duopolio mundial de esas piezas para aire acondicionado y crece en la gestión térmica del coche eléctrico (+26 % en el 1S26) y en equipos [1, 6]. Ingresó 13.035 M CNY en 2025 con un beneficio de 1.078 M, y su ROIC del 26,7 % triplica el WACC del 8,54 %: el circulante lo financian los proveedores y el inmovilizado es pequeño [1].</w:t>
      </w:r>
    </w:p>
    <w:p>
      <w:pPr>
        <w:spacing w:after="100"/>
      </w:pPr>
      <w:r>
        <w:t xml:space="preserve">El precio de 10,75 CNY equivale a 10,6 veces nuestro BPA de 2027 y a 6,1 veces el EBITDA de los últimos 12 meses, con 2.876 M de caja neta (2,68 CNY por acción) [6]. El DCF inverso no tiene solución: aun sin crecer, el negocio vale más que el precio. Lo que el precio descuenta es un margen EBITDA del 7,7 % para siempre o una rentabilidad del 13,3 % anual.</w:t>
      </w:r>
    </w:p>
    <w:p>
      <w:pPr>
        <w:spacing w:after="100"/>
      </w:pPr>
      <w:r>
        <w:t xml:space="preserve">El mercado acierta en que 2026 es un mal año: el aire acondicionado chino cae y el cobre aprieta el margen [6]. Se equivoca, a nuestro juicio, en tratar la caída como permanente. Para invertir hay que creer que el margen vuelve al 10,5 % en 2028e (fue del 10,8 % en 2025), que Gree no usa su control contra los minoritarios y que la caja acabará repartiéndose o invirtiéndose bien.</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13,18 CNY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 × 0,68 = 6,32 · 11,7x × 1,10 = 12,93 · 15,8x × 1,30 = 20,54</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23,5 % / 21,2 %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14,25 (nuestro base -9,3 %)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16,64 CNY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72,3 % / -3,3 %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más de 20x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13,3 % frente a 8,5 % y 7,3 %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7,3 %)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19,07 CNY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(5,4 % anual proyectado; financiable al ROIC actual: 6,4 %)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(no llega a Alta: el precio descuenta un crecimiento sin calcular (&lt; 3))</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11,55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11,55 y 14,76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14,76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supera 11,55 CNY sin cambio en el BPA, pasaríamos a Mantener; por encima de 14,76, a Vender.</w:t>
      </w:r>
    </w:p>
    <w:p>
      <w:pPr>
        <w:pStyle w:val="ListParagraph"/>
        <w:numPr>
          <w:ilvl w:val="0"/>
          <w:numId w:val="2"/>
        </w:numPr>
        <w:spacing w:after="60"/>
      </w:pPr>
      <w:r>
        <w:t xml:space="preserve">Si el margen bruto trimestral baja del 16 % dos trimestres seguidos (3T26 y 4T26), pasaríamos a Mantener.</w:t>
      </w:r>
    </w:p>
    <w:p>
      <w:pPr>
        <w:pStyle w:val="ListParagraph"/>
        <w:numPr>
          <w:ilvl w:val="0"/>
          <w:numId w:val="2"/>
        </w:numPr>
        <w:spacing w:after="60"/>
      </w:pPr>
      <w:r>
        <w:t xml:space="preserve">Si el beneficio de 2026 queda por debajo de 950 M CNY (BPA &lt; 0,88), recortaríamos el BPA de 2028e y pasaríamos a Mantener.</w:t>
      </w:r>
    </w:p>
    <w:p>
      <w:pPr>
        <w:pStyle w:val="ListParagraph"/>
        <w:numPr>
          <w:ilvl w:val="0"/>
          <w:numId w:val="2"/>
        </w:numPr>
        <w:spacing w:after="60"/>
      </w:pPr>
      <w:r>
        <w:t xml:space="preserve">Si los depósitos en Gree Group Finance superan el 50 % de la caja o Gree reduce sus compras por debajo del 18 % de las ventas, pasaríamos a Mantener.</w:t>
      </w:r>
    </w:p>
    <w:p>
      <w:pPr>
        <w:pStyle w:val="ListParagraph"/>
        <w:numPr>
          <w:ilvl w:val="0"/>
          <w:numId w:val="2"/>
        </w:numPr>
        <w:spacing w:after="60"/>
      </w:pPr>
      <w:r>
        <w:t xml:space="preserve">Si la empresa propone repartir más del 30 % del beneficio de 2026, subiríamos la convicción.</w:t>
      </w:r>
    </w:p>
    <w:p>
      <w:pPr>
        <w:pStyle w:val="Heading2"/>
      </w:pPr>
      <w:r>
        <w:t xml:space="preserve">Dónde discrepamos del mercado</w:t>
      </w:r>
    </w:p>
    <w:p>
      <w:pPr>
        <w:keepNext/>
        <w:spacing w:after="100"/>
      </w:pPr>
      <w:r>
        <w:rPr>
          <w:b/>
          <w:bCs/>
        </w:rPr>
        <w:t xml:space="preserve">Lo que descuenta el precio.</w:t>
      </w:r>
    </w:p>
    <w:p>
      <w:pPr>
        <w:spacing w:after="100"/>
      </w:pPr>
      <w:r>
        <w:t xml:space="preserve">Un proveedor de aire acondicionado al principio de un ciclo bajista, controlado por Gree, con caja atrapada y una subida temática (refrigeración líquida) que ya se ha desinflado. El mercado le paga 10,6 veces el beneficio de 2027, el mínimo de cinco años, y valora la caja por debajo de la par.</w:t>
      </w:r>
    </w:p>
    <w:p>
      <w:pPr>
        <w:keepNext/>
        <w:spacing w:after="100"/>
      </w:pPr>
      <w:r>
        <w:rPr>
          <w:b/>
          <w:bCs/>
        </w:rPr>
        <w:t xml:space="preserve">Lo que creemos nosotros.</w:t>
      </w:r>
    </w:p>
    <w:p>
      <w:pPr>
        <w:spacing w:after="100"/>
      </w:pPr>
      <w:r>
        <w:t xml:space="preserve">El beneficio cae en 2026 (BPA de 0,95 en los últimos 12 meses) pero el negocio no se deteriora: el ROIC sigue por encima del 25 %, el flujo de caja libre de los últimos 12 meses es de 1.218 M y el coche eléctrico y los equipos compensan parte del aire acondicionado [6]. En 2028e esperamos un BPA de 1,105, por debajo del consenso (1,276) [25].</w:t>
      </w:r>
    </w:p>
    <w:p>
      <w:pPr>
        <w:keepNext/>
        <w:spacing w:after="100"/>
      </w:pPr>
      <w:r>
        <w:rPr>
          <w:b/>
          <w:bCs/>
        </w:rPr>
        <w:t xml:space="preserve">Por qué podemos tener razón.</w:t>
      </w:r>
    </w:p>
    <w:p>
      <w:pPr>
        <w:spacing w:after="100"/>
      </w:pPr>
      <w:r>
        <w:t xml:space="preserve">Nuestro BPA ya es más prudente que el de los analistas y aun así el objetivo a 12 meses sale un 23,5 % por encima del precio. Lo que no está claro es el plazo: la regla v2 y un BPA un 10 % menor dejan la rentabilidad en el 11,3 %. Por eso la convicción es baja y la compra robusta está por debajo de 10,40.</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CNY) · precio actual 10,7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Rentabilidad muy por encima de su coste</w:t>
      </w:r>
      <w:r>
        <w:t xml:space="preserve">: ROIC del 26,7 % frente a un WACC del 8,54 % [1].</w:t>
      </w:r>
    </w:p>
    <w:p>
      <w:pPr>
        <w:pStyle w:val="ListParagraph"/>
        <w:numPr>
          <w:ilvl w:val="0"/>
          <w:numId w:val="2"/>
        </w:numPr>
        <w:spacing w:after="60"/>
      </w:pPr>
      <w:r>
        <w:rPr>
          <w:b/>
        </w:rPr>
        <w:t xml:space="preserve">Precio que descuenta la crisis</w:t>
      </w:r>
      <w:r>
        <w:t xml:space="preserve">: el DCF inverso pide un margen EBITDA del 7,7 % para siempre, frente al 10,8 % de 2025.</w:t>
      </w:r>
    </w:p>
    <w:p>
      <w:pPr>
        <w:pStyle w:val="ListParagraph"/>
        <w:numPr>
          <w:ilvl w:val="0"/>
          <w:numId w:val="2"/>
        </w:numPr>
        <w:spacing w:after="60"/>
      </w:pPr>
      <w:r>
        <w:rPr>
          <w:b/>
        </w:rPr>
        <w:t xml:space="preserve">Balance con caja</w:t>
      </w:r>
      <w:r>
        <w:t xml:space="preserve">: 2.876 M de caja neta a junio de 2026, el 25 % de la capitalización [6].</w:t>
      </w:r>
    </w:p>
    <w:p>
      <w:pPr>
        <w:pStyle w:val="ListParagraph"/>
        <w:numPr>
          <w:ilvl w:val="0"/>
          <w:numId w:val="2"/>
        </w:numPr>
        <w:spacing w:after="60"/>
      </w:pPr>
      <w:r>
        <w:rPr>
          <w:b/>
        </w:rPr>
        <w:t xml:space="preserve">Duopolio mundial</w:t>
      </w:r>
      <w:r>
        <w:t xml:space="preserve"> con Sanhua en válvulas de cuatro vías y de expansión, con homologaciones largas [1, 13].</w:t>
      </w:r>
    </w:p>
    <w:p>
      <w:pPr>
        <w:pStyle w:val="ListParagraph"/>
        <w:numPr>
          <w:ilvl w:val="0"/>
          <w:numId w:val="2"/>
        </w:numPr>
        <w:spacing w:after="60"/>
      </w:pPr>
      <w:r>
        <w:rPr>
          <w:b/>
        </w:rPr>
        <w:t xml:space="preserve">Crecimiento fuera del aire acondicionado</w:t>
      </w:r>
      <w:r>
        <w:t xml:space="preserve">: gestión térmica del vehículo eléctrico +26 % y equipos +35 % en el 1S26 [6].</w:t>
      </w:r>
    </w:p>
    <w:p>
      <w:pPr>
        <w:pStyle w:val="Heading2"/>
      </w:pPr>
      <w:r>
        <w:t xml:space="preserve">En contra</w:t>
      </w:r>
    </w:p>
    <w:p>
      <w:pPr>
        <w:pStyle w:val="ListParagraph"/>
        <w:numPr>
          <w:ilvl w:val="0"/>
          <w:numId w:val="2"/>
        </w:numPr>
        <w:spacing w:after="60"/>
      </w:pPr>
      <w:r>
        <w:rPr>
          <w:b/>
        </w:rPr>
        <w:t xml:space="preserve">Beneficio a la baja en 2026</w:t>
      </w:r>
      <w:r>
        <w:t xml:space="preserve">: BPA de los últimos 12 meses de 0,95 frente a 1,02 en 2025 y objetivo de incentivos (1.245 M) que no se cumplirá [6, 12].</w:t>
      </w:r>
    </w:p>
    <w:p>
      <w:pPr>
        <w:pStyle w:val="ListParagraph"/>
        <w:numPr>
          <w:ilvl w:val="0"/>
          <w:numId w:val="2"/>
        </w:numPr>
        <w:spacing w:after="60"/>
      </w:pPr>
      <w:r>
        <w:rPr>
          <w:b/>
        </w:rPr>
        <w:t xml:space="preserve">Control de Gree</w:t>
      </w:r>
      <w:r>
        <w:t xml:space="preserve">: primer cliente y accionista del 38,13 %, con depósitos en su financiera que el 26 % de los minoritarios rechazó [6, 18].</w:t>
      </w:r>
    </w:p>
    <w:p>
      <w:pPr>
        <w:pStyle w:val="ListParagraph"/>
        <w:numPr>
          <w:ilvl w:val="0"/>
          <w:numId w:val="2"/>
        </w:numPr>
        <w:spacing w:after="60"/>
      </w:pPr>
      <w:r>
        <w:rPr>
          <w:b/>
        </w:rPr>
        <w:t xml:space="preserve">Margen de la mitad que Sanhua</w:t>
      </w:r>
      <w:r>
        <w:t xml:space="preserve">: EBITDA del 10,8 % frente al 19,5 % [27].</w:t>
      </w:r>
    </w:p>
    <w:p>
      <w:pPr>
        <w:pStyle w:val="ListParagraph"/>
        <w:numPr>
          <w:ilvl w:val="0"/>
          <w:numId w:val="2"/>
        </w:numPr>
        <w:spacing w:after="60"/>
      </w:pPr>
      <w:r>
        <w:rPr>
          <w:b/>
        </w:rPr>
        <w:t xml:space="preserve">Señal frágil</w:t>
      </w:r>
      <w:r>
        <w:t xml:space="preserve">: la regla v2 y un BPA un 10 % menor dan una rentabilidad a 12 meses del 11,3 % (Mantener).</w:t>
      </w:r>
    </w:p>
    <w:p>
      <w:pPr>
        <w:pStyle w:val="ListParagraph"/>
        <w:numPr>
          <w:ilvl w:val="0"/>
          <w:numId w:val="2"/>
        </w:numPr>
        <w:spacing w:after="60"/>
      </w:pPr>
      <w:r>
        <w:rPr>
          <w:b/>
        </w:rPr>
        <w:t xml:space="preserve">Reparto bajo</w:t>
      </w:r>
      <w:r>
        <w:t xml:space="preserve">: dividendo de 0,10 CNY, el 0,9 % del precio, con un payout del 10 % [10].</w:t>
      </w:r>
    </w:p>
    <w:p>
      <w:pPr>
        <w:pStyle w:val="Heading2"/>
      </w:pPr>
      <w:r>
        <w:t xml:space="preserve">Qué tiene que pasar para que la tesis funcione</w:t>
      </w:r>
    </w:p>
    <w:p>
      <w:pPr>
        <w:spacing w:after="100"/>
      </w:pPr>
      <w:r>
        <w:t xml:space="preserve">La tesis depende de que el margen EBITDA vuelva al 10,2-10,5 % en 2027-2028 (9,2 % en el 1S26). La señal de que no se cumple es un margen bruto trimestral por debajo del 16 % dos trimestres seguidos, o un 3T26 (27-oct) con el beneficio de 9M26 más de un 10 % por debajo del de 9M25 [6, 31]. En el gobierno, vigilar los depósitos en Gree Group Finance y que el dividendo de 2026 suba.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 en el 2T26 (15,4 % en el 1T26; 16,4 % en el 1S26), estimación con el 1T26 y el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16 % dos trimestres seguidos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el cobre y los precios de los clientes se repercuten [6].</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 en el 1S26; 10,8 % en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9 %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caso base pide un 10,5 % en 2028e.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gestión térmica del vehículo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 en el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&lt;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motor del crecimiento fuera del aire acondicionado [6].</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neta y depósitos en Gree Group Finance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caja neta de 2.876 M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depósitos &gt; 50 % de la caja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caja es el 25 % de la capitalización; si queda atrapada, el descuento es permanente [6].</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Dividendo por acción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0,10 CNY (payout 10 %)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sin subida en abril de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la vía para cerrar la distancia con el valor intrínseco [10].</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11,3x / 9,6x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-2,1x · -2,0x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DunAn nace en Zhuji (Zhejiang) en los años ochenta como fabricante de válvulas de cobre para aire acondicionado dentro del grupo privado DunAn Holding, y sale a bolsa en Shenzhen en 2004 [1]. Durante los 2010 diversifica hacia equipos de climatización y ahorro energético. En 2018 la crisis de deuda de DunAn Holding arrastra a la cotizada por garantías cruzadas: pérdidas de 1.033 M en 2020, patrimonio de solo 1.735 M en 2021 y pérdidas acumuladas de 1.437 M [1]. En abril de 2022 Gree Electric, su mayor cliente, compra el 29,48 % a DunAn Precision y toma el control; en enero de 2023 suscribe además 139,4 M de acciones nuevas a 5,81 CNY y llega al 38 % [1]. Desde entonces la empresa limpia el balance, vende el negocio de ahorro energético y crece en gestión térmica del vehículo eléctrico y en refrigeración para centros de datos [1,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la Bolsa de Shenzhen (002011)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Crisis de deuda del accionista DunAn Holding; garantías y préstamos cruzados contaminan la cotizada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de 1.033 M CNY por deterioros y provisiones del negocio de ahorro energético y de las garantías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Gree Electric compra 270,36 M de acciones a DunAn Precision (abril) y se convierte en accionista de control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de 810 M CNY suscrita por Gree (139,4 M de acciones a 5,81); primer plan de incentivos en acciones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65,95 % de Shanghai Dachuang (bombas y válvulas de agua para coche eléctrico) por 244,6 M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Récord de ventas (13.035 M) y beneficio (1.078 M); primer dividendo en años (0,10 CNY)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 del beneficio del 1S26 (−12,8 %) con el aire acondicionado doméstico chino a la baja; subida del 51 % de la acción en septiembre por la moda de la refrigeración líquida [6]</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DunAn fabrica los componentes que regulan el paso del refrigerante en un aparato de aire acondicionado o una bomba de calor: válvulas de cierre (primera del mundo en cuota), válvulas de cuatro vías y de expansión electrónica (segunda del mundo), solenoides, depósitos, intercambiadores de microcanal y conjuntos de tuberías [6]. Es el 75 % de las ventas y se vende a los grandes fabricantes chinos y extranjeros de aire acondicionado [1]. Un 9 % son equipos completos de aire acondicionado central y climatización especial (salas limpias de SMIC, CXMT o JCET, centrales nucleares —96 unidades en 34 plantas—, almacenamiento de energía con BYD o CRRC) y otro 9 % es gestión térmica del coche eléctrico (válvulas de refrigerante, bombas de agua) para BYD, Geely, SAIC, Chery, NIO, XPeng, Li Auto o Leapmotor [6]. Tiene 20 fábricas: 17 en China, muchas junto a las de sus clientes (Zhuji, Tianjin, Zhuhai, Nantong, Hefei, Wuhu, Chongqing…), y 3 en Tailandia, más 9 oficinas comerciales en el extranjero [1, 6].</w:t>
      </w:r>
    </w:p>
    <w:p>
      <w:pPr>
        <w:pStyle w:val="Heading2"/>
      </w:pPr>
      <w:r>
        <w:t xml:space="preserve">Cómo gana dinero</w:t>
      </w:r>
    </w:p>
    <w:p>
      <w:pPr>
        <w:spacing w:after="100"/>
      </w:pPr>
      <w:r>
        <w:t xml:space="preserve">Margen de fabricante de componentes: margen bruto del 18,5 % en 2025 y EBIT del 8,9 % [1]. Las ventas siguen a la producción de aire acondicionado en China (19.839 M de aparatos vendidos en 2025) con pedidos «bajo pedido» sin contratos plurianuales [1]. El 75,6 % del coste es materia prima (cobre, latón y acero), que se traslada al precio con retraso: cuando el cobre sube rápido, el margen cae unos trimestres (1S26) [1, 6]. Hay estacionalidad: el 2T es el trimestre fuerte (campaña de verano) y las existencias suben en el primer semestre [6]. El apalancamiento operativo es moderado: I+D (4,1 % de las ventas) y gastos comerciales y generales (5,4 %) son en gran parte fijos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Componentes de climatización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9.838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Equipos de refrigeración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Gestión térmica del vehículo eléctrico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negocios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Componentes de climatización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9.838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Equipos de refrigeración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Gestión térmica del vehículo eléctrico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negocios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Concentración alta: los cinco primeros clientes son el 45,1 % de las ventas de 2025 y el primero, el 20,6 %, es parte vinculada: Gree Electric, el accionista de control [1]. La junta aprobó para 2026 un techo de 3.300 M de operaciones vinculadas con Gree [1]. Los demás grandes clientes son fabricantes de aire acondicionado chinos y extranjeros (la empresa no da nombres). El poder de precio es limitado: la empresa repercute el cobre con retraso y el margen bruto de exportación cayó del 27,6 % en el 1S25 al 22,7 % en el 1S26 [6]. Las ventas a distribuidores bajaron un 26,7 % en 2025 y las directas subieron un 5,3 %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componentes de climatización (M CNY)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9.612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9.838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5.306 M en el 1S26, −2,0 %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gestión térmica del vehículo (M CNY)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1.234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606 M en el 1S26, +25,9 %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16,3 % en el 1S26 (17,8 % en la actividad principal)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de exportación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22,7 % en el 1S26, −4,9 pp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las ventas fuera de China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17,2 % en el 1S26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Equipos de refrigeración (M CNY)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1.496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1.163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652 M en el 1S26, +35,0 % (semiconductores, nuclear, almacenamiento) [1, 6]</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son los componentes de control del refrigerante (válvulas de cuatro vías, de expansión, de cierre, solenoides) para aire acondicionado doméstico y comercial, bombas de calor y, cada vez más, coche eléctrico y centros de datos. No hay una estadística pública del tamaño en valor de todo el conjunto; se usa la producción de aire acondicionado doméstico chino de Chanye Online (产业在线), que citan DunAn y Sanhua y marca el volumen de válvulas, y como contraste el mercado mundial de válvulas de expansión electrónica de Future Market Insights (886,5 M USD en 2025, +8,4 % anual hasta 2035) [1, 13, 15]. Las válvulas de expansión son solo una parte de las ventas de DunAn, por eso no se usa ese dato como mercado total.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198,4 M de aparatos de aire acondicionado doméstico vendidos por fabricantes chinos en 2025 (Chanye Online) [1]; válvulas de expansión electrónica: 886,5 M USD en 2025 (Future Market Insights) [15]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Contracción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aparatos de aire acondicionado doméstico vendidos por fabricantes chinos (Chanye Online))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Producción de aire acondicionado doméstico en 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+17,8 % en 2024, −1,2 % en 2025 y −6,2 % en ventas del 1S26, por el fin de las ayudas al recambio [1,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a refrigerantes de bajo potencial de calentamiento y más eficiencia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válvulas de expansión electrónica por aparato y válvulas de acero inoxidable (+100 % en algunos productos de DunAn en el 1S26)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Gestión térmica del coche eléctrico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china de eléctricos +6,7 % en el 1S26 y ventas del segmento de DunAn +25,9 %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Refrigeración de centros de datos y almacenamiento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Componentes de DunAn para centros de datos +40 % en el 1S26; exportación de aire acondicionado central +12,7 % en 2025 [6,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del cobre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75,6 % del coste de ventas es materia prima; margen bruto del 1S26 1,6 puntos por debajo de 2025 [1,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Aire acondicionado central y vivienda en 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chino de aire acondicionado central −18 % en el 1S26 (i-Media) [6]</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Duopolio mundial en válvulas de cuatro vías y de expansión (Sanhua primera, DunAn segunda) con márgenes distintos: EBIT del 16,1 % de Sanhua frente al 8,9 % de DunAn en 2025 [1, 13, 16]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muy concentrados (cinco primeros 45 %; Gree 20,6 % y accionista de control) que compran a dos o tres proveedores y negocian precio cada año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Cobre y latón cotizados; el 75,6 % del coste es materia prima y se repercute con retraso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Homologación larga con cada fabricante, escala y 5.076 patentes solicitadas por DunAn; en el coche eléctrico entran fabricantes de piezas de automoción [6]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válvula de expansión electrónica sustituye a la térmica, pero ambas las fabrica DunAn; no hay sustituto del ciclo de compresión a la vista [6]</w:t>
            </w:r>
          </w:p>
        </w:tc>
      </w:tr>
    </w:tbl>
    <w:p>
      <w:pPr>
        <w:spacing w:after="160" w:before="0"/>
      </w:pPr>
    </w:p>
    <w:p>
      <w:pPr>
        <w:pStyle w:val="Heading2"/>
      </w:pPr>
      <w:r>
        <w:t xml:space="preserve">Ciclo</w:t>
      </w:r>
    </w:p>
    <w:p>
      <w:pPr>
        <w:spacing w:after="100"/>
      </w:pPr>
      <w:r>
        <w:t xml:space="preserve">El aire acondicionado doméstico chino viene de un récord en 2024 (200,9 M de aparatos vendidos, +17,8 %) y cae: −1,2 % en 2025 y −6,2 % en el 1S26, con el mercado interior −5,6 % y la exportación −6,8 % [1, 2, 6]. El aire acondicionado central cae un 18 % en el 1S26 por la vivienda [6]. Lo sabemos por los datos de Chanye Online y por las ventas de componentes de DunAn (−2,0 %) y de Sanhua (+3,9 % en total en el 1S26) [6, 14]. En 2020 DunAn ya cayó por su propia crisis; en 2022 las ventas de componentes estuvieron planas (−0,5 %) [1].</w:t>
      </w:r>
    </w:p>
    <w:p>
      <w:pPr>
        <w:pStyle w:val="Heading2"/>
      </w:pPr>
      <w:r>
        <w:t xml:space="preserve">Regulación</w:t>
      </w:r>
    </w:p>
    <w:p>
      <w:pPr>
        <w:spacing w:after="100"/>
      </w:pPr>
      <w:r>
        <w:t xml:space="preserve">Las normas de «doble carbono» y de refrigerantes aceleran el paso a refrigerantes de bajo potencial de calentamiento y suben la exigencia de eficiencia, lo que eleva la barrera técnica de los componentes (la empresa lo cita como motor de sus válvulas de acero inoxidable y de expansión) [6]. Las cuotas chinas de producción de HFC (Enmienda de Kigali) y el reglamento europeo de gases fluorados empujan en la misma dirección (contexto general, sin cifra propia de la empresa). En China, el programa de ayudas al recambio de electrodomésticos de 2024-2025 adelantó la demanda y su retirada la frena en 2026 [6]. Los aranceles de EE. UU. afectan poco: las exportaciones son el 16,6 % de las ventas y no se desglosan por país [1].</w:t>
      </w:r>
    </w:p>
    <w:p>
      <w:pPr>
        <w:pStyle w:val="Heading2"/>
      </w:pPr>
      <w:r>
        <w:t xml:space="preserve">Tendencias y disrupción</w:t>
      </w:r>
    </w:p>
    <w:p>
      <w:pPr>
        <w:spacing w:after="100"/>
      </w:pPr>
      <w:r>
        <w:t xml:space="preserve">Tres tendencias favorecen a DunAn: la electrónica sustituye a la válvula térmica (más contenido por aparato), la bomba de calor gana peso en Europa y el coche eléctrico multiplica válvulas por vehículo (DunAn vende ya 1.234 M en gestión térmica) [1, 6]. La refrigeración de centros de datos de IA usa intercambiadores y válvulas de DunAn; es una fuente de crecimiento, pero pequeña frente a sus 13.000 M de ventas [6]. En contra: Sanhua crece más rápido en coche eléctrico y en robótica, y los fabricantes de aire acondicionado integran más componentes [13].</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Primera del mundo en válvulas de cierre y segunda en válvulas de cuatro vías y de expansión electrónica, detrás de Sanhua (datos de Chanye Online a 30-jun-2026) [6]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Zhejiang Sanhua Intelligent Controls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002050.SZ</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31.012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mundial en válvulas de cuatro vías y de expansión; crece más en coche eléctrico (Tesla, BYD) y robótica; beneficio de 4.063 M en 2025 (+31 %) [13,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Zhejiang Yinlun Machinery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002126.SZ</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15.678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Intercambiadores y gestión térmica de vehículo y de centros de datos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Nanjing Aotecar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002239.SZ</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Compresores y climatización de vehículo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Shanghai Songz Automobile Air Conditioning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002454.SZ</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Climatización de autobuses, ferrocarril y coche eléctrico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Shenzhen Envicool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002837.SZ</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Refrigeración de precisión y líquida para centros de datos y almacenamiento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Hanon Systems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018880.KS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54.544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mundial en gestión térmica de automóvil; ahora de Hankook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Saginomiya / Fujikoki / Danfoss (válvulas)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Japón / Dinamarca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Fabricantes de válvulas de expansión con cuota en aparatos japoneses y comerciales; no publican cuentas del negocio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aplican a un fabricante de componentes [B1]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Homologación de cada válvula en cada modelo de aparato o de coche; 120 nuevas adjudicaciones de válvulas de coche en el 1S26 [B2]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5.076 patentes solicitadas en China (1.488 de invención) y 538 PCT; participa en 105 normas [B2]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de segundo del mundo, pero margen EBIT del 8,9 % frente al 16,1 % de Sanhua: no tiene la ventaja de costes del líder [B1, B8]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Dos proveedores dominan el mundo en válvulas de cuatro vías y de expansión; poco espacio para un tercero rentable [B2]</w:t>
            </w:r>
          </w:p>
        </w:tc>
      </w:tr>
    </w:tbl>
    <w:p>
      <w:pPr>
        <w:spacing w:after="160" w:before="0"/>
      </w:pPr>
    </w:p>
    <w:p>
      <w:pPr>
        <w:pStyle w:val="Heading2"/>
      </w:pPr>
      <w:r>
        <w:t xml:space="preserve">Amenazas</w:t>
      </w:r>
    </w:p>
    <w:p>
      <w:pPr>
        <w:spacing w:after="100"/>
      </w:pPr>
      <w:r>
        <w:t xml:space="preserve">La más probable es la presión de precios de los fabricantes de aire acondicionado en un año de caída (probabilidad media-alta en 2026-2027), que ya se ve en el margen bruto de exportación (−4,9 puntos en el 1S26) [6]. La segunda, que Sanhua use su mayor margen para ganar cuota en válvulas de expansión y en coche eléctrico (media). La tercera, la dependencia de Gree: si Gree reparte compras o integra válvulas propias, DunAn pierde parte de su 20,6 % de ventas (baja mientras Gree sea el accionista de control) [1].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9.837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11.382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13.035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r>
    </w:tbl>
    <w:p>
      <w:pPr>
        <w:spacing w:after="160" w:before="0"/>
      </w:pPr>
    </w:p>
    <w:p>
      <w:pPr>
        <w:spacing w:after="100"/>
      </w:pPr>
      <w:r>
        <w:t xml:space="preserve">Crecimiento anual compuesto 2021-2025: ingresos </w:t>
      </w:r>
      <w:r>
        <w:rPr>
          <w:b/>
          <w:bCs/>
        </w:rPr>
        <w:t xml:space="preserve">7,3 %</w:t>
      </w:r>
      <w:r>
        <w:t xml:space="preserve">, EBITDA </w:t>
      </w:r>
      <w:r>
        <w:rPr>
          <w:b/>
          <w:bCs/>
        </w:rPr>
        <w:t xml:space="preserve">14,8 %</w:t>
      </w:r>
      <w:r>
        <w:t xml:space="preserve">, BPA </w:t>
      </w:r>
      <w:r>
        <w:rPr>
          <w:b/>
          <w:bCs/>
        </w:rPr>
        <w:t xml:space="preserve">23,4 %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CNY,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Ventas de 9.837 M CNY en 2021 a 13.035 M en 2025 (TCAC del 7,3 %), todo orgánico salvo Shanghai Dachuang (51 M de ventas en el 2S24) [1, 2]. El salto está en el margen: el margen bruto pasó del 16,3 % en 2021 al 18,5 % en 2025 y el EBIT (resultado de explotación sin ingresos financieros, de inversiones ni de valor razonable) del 6,1 % al 8,9 % [1, 4]. El componente que más pesa es la materia prima: el 75,6 % del coste de ventas de 2025 es cobre, acero y latón [1]. 2026 se tuerce: en el 1S26 las ventas crecen un 7,4 % (7.231 M), pero el beneficio atribuido cae un 12,8 % (467 M) por el cobre más caro, las diferencias de cambio (gasto financiero de 11,0 M frente a 0,5 M) y una mezcla con más «otros negocios» de margen bajo (+88,8 %) [6]. El 2T26 vendió 4.174 M (+12,6 %) con un beneficio de 271 M (−14,8 %) [6, 8].</w:t>
      </w:r>
    </w:p>
    <w:p>
      <w:pPr>
        <w:pStyle w:val="Heading2"/>
      </w:pPr>
      <w:r>
        <w:t xml:space="preserve">Ajustes y partidas no recurrentes</w:t>
      </w:r>
    </w:p>
    <w:p>
      <w:pPr>
        <w:spacing w:after="100"/>
      </w:pPr>
      <w:r>
        <w:t xml:space="preserve">Cifras CAS publicadas, sin ajustes. EBIT = resultado de explotación + gastos financieros netos − ingresos de inversiones − cambios de valor razonable; las partidas fuera de explotación (营业外) quedan en el resultado financiero del informe. Esas partidas fueron grandes en los años del saneamiento ligado a la quiebra del antiguo accionista (DunAn Holding): +432 M de ingresos extraordinarios en 2022, −117 M de gastos extraordinarios en 2023 y pérdidas por deterioro de cuentas a cobrar de 106 M en 2022 y 95 M en 2023, con reversión parcial en 2024 [3, 4]. El beneficio recurrente (扣非) fue de 821 M en 2023, 929 M en 2024 y 992 M en 2025 [1]. En 2025 hay además 43,6 M de deterioro del fondo de comercio de Dachuang [1].</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58"/>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Inferior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DunAn no publica transcripciones; el discurso sale de los informes de gestión del anual 2025 y del 1S26 [1, 6]. En abril la dirección vendía «crecimiento estable» con tres patas: componentes para aire acondicionado (75 % de las ventas), equipos (núcleo, semiconductores, almacenamiento) y gestión térmica del vehículo eléctrico (+52 % en 2025) [1]. En agosto el tono cambia: reconoce que el aire acondicionado doméstico chino produjo un 4,9 % menos en el 1S26, que el mercado de aire acondicionado central cayó un 18 % y que el fin de las ayudas al recambio pesa; pone el foco en los centros de datos («algunos componentes para refrigeración de centros de datos crecen más del 40 %»), en las válvulas de acero inoxidable (+100 % en algunos productos) y en 120 nuevas adjudicaciones de válvulas para coches [6]. No cuantifica el negocio de centros de datos ni da una guía anual; tampoco explica el peso del cobre en la caída del margen bruto de exportación (−4,9 puntos, al 22,7 %) [6]. BPA trimestral = beneficio atribuido ÷ 1.060 M de acciones medias (estimación propia; la empresa solo da el BPA semestral: 0,44 en el 1S26) [6].</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10.783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12.290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6.666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(2024: Shanghai Dachuang Automotive Technology (65,95 %), consolidada desde el 1-jul-2024: 244,6 M CNY, fondo de comercio de 181,9 M; aporta medio año en 2024).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balance pasó de la crisis a la caja neta: patrimonio de 1.735 M y deuda de 2.361 M en 2021, con pérdidas acumuladas de 1.437 M heredadas de las garantías al antiguo accionista; en 2025, patrimonio de 6.666 M y caja neta de unos 2.740 M [1, 4]. La ampliación de 810 M suscrita por Gree en 2022 (139,4 M de acciones a 5,81 CNY) y cuatro años de beneficios lo explican [3]. El circulante comercial (existencias + clientes + efectos − proveedores − efectos a pagar) ronda el 18-19 % de las ventas y sube en el primer semestre por la campaña (existencias de 1.688 M a jun-26) [6].</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2.909</w:t>
      </w:r>
      <w:r>
        <w:t xml:space="preserve">, conversión </w:t>
      </w:r>
      <w:r>
        <w:rPr>
          <w:b/>
          <w:bCs/>
        </w:rPr>
        <w:t xml:space="preserve">71 %</w:t>
      </w:r>
      <w:r>
        <w:t xml:space="preserve"> del beneficio neto; adquisiciones 109, dividendos 0, recompras 0.</w:t>
      </w:r>
    </w:p>
    <w:p>
      <w:pPr>
        <w:spacing w:after="100"/>
      </w:pPr>
      <w:r>
        <w:t xml:space="preserve">Flujo operativo de 1.440 M en 2025 (134 % del beneficio) y 547 M en el 1S26 (+71 %), por más cobros en caja y menos efectos [1, 6]. El capex fue de 369 M en 2025 y de 242 M en el 1S26, por la nueva sede y fábrica inteligente; con la amortización en 251 M, unos 250 M serían de mantenimiento (estimación propia: amortización) y el resto de crecimiento [1, 6]. 2021-2022 no son comparables: hubo desinversiones de activos del negocio de ahorro energético (361 M en 2021) y la ampliación de Gree (802 M netos en 2022) [4]. Los pagos de arrendamientos de 2021-2022 son los «alquileres y fianzas» que publica la empresa (6-7 M); desde 2023 se publica el pago de pasivos por arrendamiento (92 M en 2023, 61 M en 2025) [1, 3]. No se pagaron dividendos de 2021 a 2025: el primero, 107 M (0,10 CNY), se pagó en agosto de 2026 [10, 11].</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Zhongshen Zhonghuan (中审众环会计师事务所)</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en 2025, con control interno también auditado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El auditor (Zhongshen Zhonghuan, cuarto año) firmó sin salvedades las cuentas de 2025 y el control interno [1]. No hay capitalización de I+D relevante (todo a gasto: 535 M en 2025) ni cambios de criterio que muevan el beneficio; el cambio de política de agosto de 2026 es de presentación [1, 6]. El pago en acciones es pequeño: 13,5 M en 2025 (1,3 % del beneficio) [1]. Los tres indicadores del motor salen limpios en 2025: Altman Z de 3,32 (zona segura), Piotroski F de 9 sobre 9 y Beneish M de −2,52 (sin señal de manipulación); el flujo operativo acumulado es 1,27 veces el beneficio. Lo que pide atención es la herencia: entre 2020 y 2023 hubo grandes partidas fuera de explotación (pérdida de 703 M en 2020, ingreso de 432 M en 2022, gasto de 117 M en 2023) por las garantías al antiguo accionista y los litigios del negocio de ahorro energético, y deterioros de cuentas a cobrar de 95-106 M al año [3, 4, 5]. Desde 2024 son pequeñas. Los días de cobro (126) son altos porque se cuentan los efectos bancarios; sin ellos serían unos 68 días (estimación propia).</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Operaciones vinculadas con el accionista de control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Gree es el 20,6 % de las ventas y tiene 200 M de la caja en su financiera; precios no auditados de forma separada [1,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de comercio de Dachuang deteriorado dos años seguidos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56,1 M de 181,9 M; quedan 125,8 M (1 % del activo)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Partidas extraordinarias de 2020-2023</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Garantías y litigios heredados; desde 2024 el beneficio recurrente (扣非) se acerca al publicado (992 frente a 1.078 M en 2025) [1].</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126 M en 2025 (el 4 % del capital invertido medio); ha subido más de un 5 % en 0 de 4 años: sin compras. ROIC publicado 26,7 %; sin fondo de comercio, 27,7 %. Sin compras relevantes: el publicado ya es el ROIC del negocio.</w:t>
      </w:r>
    </w:p>
    <w:p>
      <w:pPr>
        <w:spacing w:after="100"/>
      </w:pPr>
      <w:r>
        <w:rPr>
          <w:b/>
          <w:bCs/>
        </w:rPr>
        <w:t xml:space="preserve">ROIC incremental</w:t>
      </w:r>
      <w:r>
        <w:t xml:space="preserve"> (variación del NOPAT sobre variación del capital invertido en el periodo): 74,8 % · </w:t>
      </w:r>
      <w:r>
        <w:rPr>
          <w:b/>
          <w:bCs/>
        </w:rPr>
        <w:t xml:space="preserve">WACC</w:t>
      </w:r>
      <w:r>
        <w:t xml:space="preserve">: 8,5 %.</w:t>
      </w:r>
    </w:p>
    <w:p>
      <w:pPr>
        <w:spacing w:after="100"/>
      </w:pPr>
      <w:r>
        <w:t xml:space="preserve">DunAn crea valor desde 2021: ROIC del 16,8 % en 2021, 26,0 % en 2023, 29,9 % en 2024 y 26,7 % en 2025, frente a un WACC del 8,54 %. El motor del ROIC es la rotación, no el margen: el capital invertido (3.832 M en 2025) es pequeño porque los proveedores y los efectos a pagar financian casi todo el circulante y el inmovilizado neto es de solo 1.238 M [1]. El margen EBIT del 8,9 % es la mitad que el de Sanhua (16,1 %), que tiene un ROIC de 12,4 % por su mayor capital invertido (fábricas en México, Polonia y Vietnam) [13, 27]. El ROIC incremental de 2021-2025 (74,8 %) está inflado: el beneficio de 2021 venía deprimido por el saneamiento y el capital apenas creció. Si se mete la caja en el capital, el rendimiento sobre fondos propios es del 17,7 % (ROE 2025) [1]. La señal a vigilar es el margen: con el EBITDA del 1S26 (9,2 %) el ROIC baja hacia el 22-24 % (estimación propia), todavía muy por encima del WACC.</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-2.876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-2.768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3.620 M CNY a 30-jun-2026 (135 M restringidos como garantía de efectos y otros) y efectos bancarios a cobrar de 2.245 M frente a 719 M de deuda bancaria y 28 M de arrendamientos [6]. 200 M de la caja están depositados en Gree Group Finance, la financiera del accionista de control (límite diario de 300 M) [6].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Sin pensiones de prestación definida relevantes ni bonos. La deuda bancaria bajó de 2.361 M en 2021 a 720 M en 2025 [1, 4]. Garantías a filiales dentro del grupo y avales de efectos comerciales (efectos a pagar de 1.502 M a jun-26) [6]. El circulante usa mucho efecto bancario: 2.245 M de efectos a cobrar (应收款项融资) y 1.502 M a pagar; se tratan como clientes y proveedores, no como caja ni deuda. Fondo de comercio residual de 125,8 M (Dachuang) tras deteriorar 56,1 M en 2024-2025; el plan de Dachuang (910 M de ventas y 71 M de beneficio acumulados en 2024-2026) está en riesgo [1].</w:t>
      </w:r>
    </w:p>
    <w:p>
      <w:pPr>
        <w:pStyle w:val="Heading1"/>
      </w:pPr>
      <w:r>
        <w:t xml:space="preserve">12. Asignación de capital</w:t>
      </w:r>
    </w:p>
    <w:p>
      <w:pPr>
        <w:pStyle w:val="Confianza"/>
        <w:spacing w:after="100"/>
      </w:pPr>
      <w:r>
        <w:t xml:space="preserve">Confianza: Media</w:t>
      </w:r>
    </w:p>
    <w:p>
      <w:pPr>
        <w:spacing w:after="100"/>
      </w:pPr>
      <w:r>
        <w:t xml:space="preserve">Primer dividendo en años: 0,10 CNY por acción con cargo a 2025 (107 M, el 9,97 % del beneficio), limitado por las reservas de la matriz (155 M distribuibles a fin de 2025, tras años de pérdidas) [10]. No hay recompras de acciones en el mercado; la autocartera contable (102 M) corresponde a las acciones restringidas de los planes de incentivos, que se recompran a precio de concesión cuando no se cumplen objetivos [1, 6]. La empresa invierte en la nueva sede y fábrica (智能智造总部基地) y prioriza gestión térmica del vehículo, centros de datos y almacenamiento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917,2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916,5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1.054,3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1.055,4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1.056,8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Shanghai Dachuang Automotive Technology (65,95 %; bombas y válvulas de agua para gestión térmica del vehículo)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Fondo de comercio de 181,9 M; deterioros de 12,5 M en 2024 y 43,6 M en 2025 [1, 2]</w:t>
            </w:r>
          </w:p>
        </w:tc>
      </w:tr>
    </w:tbl>
    <w:p>
      <w:pPr>
        <w:spacing w:after="160" w:before="0"/>
      </w:pPr>
    </w:p>
    <w:p>
      <w:pPr>
        <w:spacing w:after="100"/>
      </w:pPr>
      <w:r>
        <w:t xml:space="preserve">La dirección ha asignado la caja con prudencia y poca ambición: de 2021 a 2025 generó 2.909 M de flujo libre, pagó deuda (de 2.361 a 720 M), compró Dachuang (109 M netos de caja) y no repartió nada hasta el dividendo de 107 M de 2026 [1, 10]. El resultado es un balance con caja neta de 2.739 M a fin de 2025 (y 2.876 M a jun-26) que rinde poco: ingresos financieros de 38 M en 2025 [1]. El dividendo es bajo (payout del 10 %) por una razón contable: la matriz arrastraba pérdidas y solo tenía 155 M distribuibles [10]. La única compra relevante, Dachuang, ha decepcionado (fondo de comercio deteriorado un 31 %) [1]. Con reservas ya positivas en la matriz, la palanca para el accionista es subir el reparto: cada 0,30 CNY por acción son 322 M, menos de un tercio del beneficio.</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Fang Xiangjian (方祥建)</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(no ejecutivo en DunAn)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 de Gree desde 2001 (calidad, fábrica); vicepresidente ejecutivo de Gree desde enero de 2026. No cobra de DunAn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 Jianjun (李建军)</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y presidente ejecutivo (总裁)</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Ingeniero de la casa: dirigió el instituto de aire acondicionado central y DunAn Mechanical &amp; Electrical. Con él la empresa pasó de pérdidas (2020) a 1.078 M de beneficio (2025). Cobró 2,86 M CNY en 2025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Feng Zhongbo (冯忠波)</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y vicepresidente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Antiguo presidente de DunAn y de filiales químicas del grupo DunAn Holding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Xu Yangao (徐燕高)</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Doce años en el cargo, de la crisis al saneamiento; antes en el control financiero del grupo DunAn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Liu Che (刘掣)</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Nueve años en ventas de Sanhua y de la empresa conjunta Sanhua-Danfoss de microcanal; entró en 2024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Lou Jiayang (楼家杨)</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 y responsable de gestión térmica del vehículo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la casa desde 2005; dirige el negocio de coche eléctrico, que pasó de 51 M de ventas en 2021 a 1.234 M en 2025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del plan de incentivos 2023 para 2024 (beneficio recurrente)</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recurrente de 929 M (+13 %); objetivo cumplido y acciones liberadas en 2025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recurrente (sin coste de incentivos) ≥ 2024 × 1,141 = 1.060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992 M + 13,5 M de coste de incentivos = 1.006 M (94,9 %); liberación parcial</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Beneficio recurrente ≥ 2024 × 1,3402 = 1.245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467 M en el 1S26 (−9,7 %): muy lejos</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t xml:space="preserve">Equipo de la casa (presidente ejecutivo desde 2017, director financiero desde 2014) supervisado por Gree, que pone al presidente del consejo, dos consejeros y la secretaria del consejo [1]. La credibilidad se mide con los objetivos de los planes de incentivos, que son la única guía pública: cumplió 2024, se quedó a un 95 % en 2025 y 2026 va muy por debajo (el 1S26 da un 37 % del objetivo anual) [1, 12]. Hay pocos cambios en la cúpula: en 2025 entraron el vicepresidente de coche eléctrico y la secretaria del consejo por traslado [1]. No hay plan de sucesión publicado; la sucesión real la decide Gree.</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Fang Xiangjian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Zhang Zhouhu</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(secretario del consejo de Gree)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 Jianjun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y presidente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Feng Zhongbo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y vicepresidente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Zhang Xiuping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(China National Machinery)</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Liu Jinping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Hu Jiewu</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 (profesor de contabilidad)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Yan Hong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 (abogada)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Jin Guolin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representante de los trabajadores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33 %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8,1 %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en 2025, con control interno también auditado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operaciones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Gree Electric Appliances (珠海格力电器)</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control (industrial; cliente principal)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sus 139,4 M de acciones de la ampliación quedaron libres el 9-ene-2026 y no ha vendido [6, 21]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Zijin Mining Investment (Shanghai) (紫金矿业投资)</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 (entró en la reestructuración de DunAn Holding)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Vendió 4,52 M de acciones (0,42 %) entre sep y dic de 2025; del 7,37 % al 6,95 % y al 6,32 % a jun-26 [6, 19, 20]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Fondos de Orient Securities Asset Management (东方红)</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Fondos de inversión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Compraron 9,97 M de acciones en el 1S26 [6]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Hong Kong Securities Clearing (Stock Connect)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Inversores extranjeros por Stock Connect</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Vendió 4,11 M de acciones en el 1S26 [6]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Acciones de los planes de incentivos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2,79 M de acciones a fin de 2025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2,86 M</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presidente ejecutivo cobró 2,86 M CNY en 2025 y el conjunto del consejo y la alta dirección 16,8 M; el presidente del consejo no cobra (lo paga Gree) [1]. El informe no separa fijo y variable. El variable a largo plazo son acciones restringidas y opciones (plan de 2023 y plan de 2025: 10,1 M de acciones a 7,05 CNY y 4,77 M de opciones a 14,10 CNY) que se liberan si el beneficio recurrente crece un 14,1 %, 34,0 % y 51,8 % frente a 2024 en 2025, 2026 y 2027 [12]. Premia crecimiento del beneficio, no rentabilidad sobre el capital ni caja. Ratio frente al coste medio por empleado: 2,86 M ÷ 0,143 M (1.802 M pagados a 12.631 empleados) ≈ 20 veces (estimación propia) [1]. En la junta de 2026 el 8,1 % de los minoritarios votó contra la remuneración de los consejeros [18].</w:t>
      </w:r>
    </w:p>
    <w:p>
      <w:pPr>
        <w:pStyle w:val="Heading2"/>
      </w:pPr>
      <w:r>
        <w:t xml:space="preserve">Operaciones vinculadas, estructura de control y defensas</w:t>
      </w:r>
    </w:p>
    <w:p>
      <w:pPr>
        <w:spacing w:after="100"/>
      </w:pPr>
      <w:r>
        <w:t xml:space="preserve">Gree controla la junta con el 38,13 % (en la junta de 2026 fue el 97 % del capital presente) y nombra al presidente, dos consejeros y la secretaria del consejo [1, 18]. Gree no tiene a su vez accionista de control. Es a la vez el primer cliente (20,6 % de las ventas) y el banco: DunAn tiene 200 M depositados en Gree Group Finance y la junta aprobó para 2026 hasta 3.300 M de operaciones vinculadas [6, 22]. El acuerdo de servicios financieros con Gree Finance salió con un 26,0 % de votos en contra de los minoritarios, la mayor oposición de la junta [18]. No hay clases de acciones ni blindajes estatutarios. Desde 2025 no hay consejo de supervisión: lo sustituye la comisión de auditoría, presidida por un independiente [1].</w:t>
      </w:r>
    </w:p>
    <w:p>
      <w:pPr>
        <w:pStyle w:val="Heading2"/>
      </w:pPr>
      <w:r>
        <w:t xml:space="preserve">Señales de alerta</w:t>
      </w:r>
    </w:p>
    <w:p>
      <w:pPr>
        <w:pStyle w:val="ListParagraph"/>
        <w:numPr>
          <w:ilvl w:val="0"/>
          <w:numId w:val="2"/>
        </w:numPr>
        <w:spacing w:after="60"/>
      </w:pPr>
      <w:r>
        <w:t xml:space="preserve">Operaciones vinculadas con el accionista de control: Gree es el 20,6 % de las ventas y gestiona parte de la tesorería (Gree Finance); el 26,0 % de los minoritarios votó contra el acuerdo financiero [1, 18].</w:t>
      </w:r>
    </w:p>
    <w:p>
      <w:pPr>
        <w:pStyle w:val="ListParagraph"/>
        <w:numPr>
          <w:ilvl w:val="0"/>
          <w:numId w:val="2"/>
        </w:numPr>
        <w:spacing w:after="60"/>
      </w:pPr>
      <w:r>
        <w:t xml:space="preserve">Zijin Mining (6,32 %) vendió en 2025 y puede volver a vender: oferta latente de unos 68 M de acciones [6, 19].</w:t>
      </w:r>
    </w:p>
    <w:p>
      <w:pPr>
        <w:pStyle w:val="ListParagraph"/>
        <w:numPr>
          <w:ilvl w:val="0"/>
          <w:numId w:val="2"/>
        </w:numPr>
        <w:spacing w:after="60"/>
      </w:pPr>
      <w:r>
        <w:t xml:space="preserve">Fondo de comercio de Shanghai Dachuang deteriorado dos años seguidos (56,1 M de 181,9 M)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DunAn no publica guía anual de ventas ni de beneficio [6]. La única referencia son los objetivos de sus planes de incentivos: beneficio recurrente (sin coste de incentivos) de al menos 1.245 M en 2026 y 1.410 M en 2027 (+34,0 % y +51,8 % sobre 2024) [6]. Con el 1S26 en 467 M, el objetivo de 2026 no se alcanzará; los analistas, que antes del 1S26 estaban en 1,09-1,13 CNY por acción, lo bajaron a 0,90-1,11 [25].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86"/>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13.995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Eastmoney, media de seis meses (7 casas) [25]</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15.066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Eastmoney [25]</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16.197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Eastmoney [25]</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13.817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13.995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14.715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15.066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1.501</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15.671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16.197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 3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13,95 – 14,55</w:t>
            </w:r>
          </w:p>
        </w:tc>
      </w:tr>
    </w:tbl>
    <w:p>
      <w:pPr>
        <w:spacing w:after="160" w:before="0"/>
      </w:pPr>
    </w:p>
    <w:p>
      <w:pPr>
        <w:pStyle w:val="Heading2"/>
      </w:pPr>
      <w:r>
        <w:t xml:space="preserve">Revisiones de estimaciones</w:t>
      </w:r>
    </w:p>
    <w:p>
      <w:pPr>
        <w:spacing w:after="100"/>
      </w:pPr>
      <w:r>
        <w:t xml:space="preserve">Tras el 1S26 (26-ago) las cinco casas que publicaron rebajaron el BPA de 2026: Zhongyuan 0,90 (con «mantener»), Galaxy 0,95, Changjiang 0,97, Everbright 1,02 y CICC 1,11, frente a 1,09 (Southwest) y 1,13 (Shenwan Hongyuan) en mayo [25]. Para 2027 el rango es 1,05-1,28. La media de seis meses (1,007 / 1,146 / 1,276) aún mezcla las de mayo: la de las casas de después del 1S26 es 0,99 para 2026 (estimación propia, media simple de cinco). Los «aumentar» de Eastmoney van como «mantener» en el recuento. Contraste: Yahoo da dos analistas con objetivo medio de 13,98 CNY [27].</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-61,0 %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gana un 8,5 % anual en cinco años frente al −1,3 % del CSI 300, todo por 2021 (+247 %, cuando Gree negoció la compra del control) [24]. Desde entonces va por detrás: −1,7 % anual en tres años frente al +8,1 % del índice, y −17,1 % en un año frente al −5,9 % [24]. El beneficio subió de 738 M (2023) a 1.078 M (2025) y la acción no, porque el mercado no paga más de 10-11 veces por un proveedor de aire acondicionado en un ciclo que se enfría. En septiembre de 2026 subió un 51 % en un mes con la moda de la refrigeración líquida para centros de datos y lo devolvió en cuatro semanas [24].</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-18,2 % / +6,0 % / -9,5 % / -25,0 %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-27,2 % / +9,8 %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2026-10-27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sep-2026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con el grupo de refrigeración líquida de servidores de IA: límite al alza el 7-sep y volumen récord desde sep-2025 el 9-sep (1.015 M CNY) [34, 37]. Sin noticia propia de la empresa ni contratos cifrados.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 mayo-junio sin noticia propia identificada; coincide con la junta del 25-jun, donde el 26 % de los votos minoritarios rechazó el acuerdo con Gree Group Finance, y con la caída de la producción de aire acondicionado [18]. Causa no confirmada.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28-sep-2026 y 15-oct-2026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Dos caídas diarias (−8,9 % y −6,3 %) que devuelven la subida de septiembre: la primera con el desplome del mercado (comunicaciones −7,1 %), la segunda con el grupo de sensores [35, 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585"/>
        <w:gridCol w:w="3904"/>
        <w:gridCol w:w="1220"/>
        <w:gridCol w:w="1831"/>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c>
          <w:tcPr>
            <w:tcW w:type="dxa" w:w="18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Condición</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del 3T26 programado para el 27-oct, sin avance de beneficio (la ley china no lo exige si no cambia más del 50 %) [31].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el margen bruto del trimestre baja del 16 %, revisar el caso base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2026-09-15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casas que publican tras el 1S26 recortan el BPA de 2026e (de 1,09-1,13 a 0,90-1,11); el consenso sigue en comprar con objetivos de 13,95-14,55 [25, 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2026-08-27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Semestral 2026: ventas +7,4 % y beneficio en baja por el margen; caja operativa mucho mejor [6, 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2026-06-25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se aprueba el acuerdo de depósitos con Gree Group Finance con el 26 % de los votos minoritarios en contra [18].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2026-01-09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del bloqueo de las 139,4 M acciones de la ampliación suscrita por Gree; Gree no ha vendido [6, 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2025-12-12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Zijin Mining termina su plan de venta (0,42 % del capital entre sep y dic de 2025) y conserva el 6,32 % [19, 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 Zijin anuncia un nuevo plan de venta, esperar a que termine</w:t>
            </w:r>
          </w:p>
        </w:tc>
      </w:tr>
    </w:tbl>
    <w:p>
      <w:pPr>
        <w:spacing w:after="160" w:before="0"/>
      </w:pPr>
    </w:p>
    <w:p>
      <w:pPr>
        <w:spacing w:after="100"/>
      </w:pPr>
      <w:r>
        <w:t xml:space="preserve">La acción cae un 18 % en un mes y un 25 % en doce, pero casi todo es la vuelta de una subida temática (la refrigeración líquida, +51 % en septiembre) que el informe no usa: nuestro caso base no cuenta ventas de centros de datos [34, 35, 36]. La caída de fondo es la del beneficio de 2026, ya recogida en el BPA. No hay colocaciones pendientes de Gree, ni plan de venta vivo de Zijin, ni avisos de beneficio, ni litigios. Los resultados del 27-oct son una prueba, no un motivo para esperar. Veredicto: no cambia.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DunAn cotiza a 6,1 veces el EBITDA de los últimos 12 meses frente a una media de 10,8 en los cierres de 2021-2025 (mínimo 6,7) y a 11,3 veces el beneficio frente a una media de 14,4 (mínimo 10,9) [24]. Es el EV/EBITDA más bajo desde que la controla Gree, en parte porque la caja neta (2.876 M, el 25 % de la capitalización) rebaja el valor empresa. El descuento tiene una explicación: el beneficio cae en 2026 y el mercado paga poco por un proveedor de aire acondicionado al principio de un año malo. No vemos un cambio estructural (el ROIC sigue por encima del 25 %), así que la regla del objetivo a 12 meses sube el PER solo hasta el tope de ×1,1 (11,7x).</w:t>
      </w:r>
    </w:p>
    <w:p>
      <w:pPr>
        <w:pStyle w:val="Heading1"/>
      </w:pPr>
      <w:r>
        <w:t xml:space="preserve">18. Comparables cotizados</w:t>
      </w:r>
    </w:p>
    <w:p>
      <w:pPr>
        <w:pStyle w:val="Confianza"/>
        <w:spacing w:after="100"/>
      </w:pPr>
      <w:r>
        <w:t xml:space="preserve">Confianza: Media</w:t>
      </w:r>
    </w:p>
    <w:p>
      <w:pPr>
        <w:spacing w:after="100"/>
      </w:pPr>
      <w:r>
        <w:t xml:space="preserve">Fabricantes cotizados de componentes y sistemas de gestión térmica, con Sanhua (el rival directo en válvulas) primero: Yinlun, Aotecar y Songz (climatización y térmica del vehículo), Envicool y Shenling (refrigeración de centros de datos, a los que el mercado asoció a DunAn en septiembre), Hanon Systems y Modine (térmica de vehículo e industrial fuera de China). No hay otro fabricante cotizado de válvulas de cuatro vías: Saginomiya, Fujikoki y Danfoss no cotizan o no publican el negocio. Se excluye la línea H de Sanhua (2050.HK) para no contar dos veces la misma empresa. El PER de Modine se pondera con su ejercicio a marzo (5/12 del FY27 y 7/12 del FY28) [27].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DunAn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Zhejiang Sanhua Intelligent Controls (A)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137.392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Zhejiang Yinlun Machinery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25.967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Nanjing Aotecar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Shanghai Songz Auto Air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Shenzhen Envicool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56.857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Guangdong Shenling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Hanon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20.521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Modine Manufacturing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52.729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6"/>
        <w:gridCol w:w="1056"/>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 / 17,6x / 40,1x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 / 22,2x / 37,0x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13.536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 / 2,0x / 4,7x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61,71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+162,3 %</w:t>
            </w:r>
          </w:p>
        </w:tc>
      </w:tr>
    </w:tbl>
    <w:p>
      <w:pPr>
        <w:spacing w:after="160" w:before="0"/>
      </w:pPr>
    </w:p>
    <w:p>
      <w:pPr>
        <w:spacing w:after="100"/>
      </w:pPr>
      <w:r>
        <w:t xml:space="preserve">DunAn es la más barata del grupo: 9,6 veces el beneficio de los próximos 12 meses del consenso frente a una mediana de 22,2 veces, y 6,1 veces el EBITDA frente a 17,6. La mediana está inflada por Envicool y Shenling (40-42 veces), que el mercado paga como «refrigeración de centros de datos» con crecimientos del 77-101 % [27]. La comparación útil es con Sanhua: 27,2 veces con un margen EBITDA del 19,5 % y un 19,7 % de crecimiento esperado, frente al 10,2 % y el 9,8 % de DunAn [27]. Medio margen y medio crecimiento justifican un descuento, no uno del 65 %. Con Hanon (14,8x, ROIC 1 %) y Yinlun (16,9x) el descuento es del 35-45 %. Por eso pesamos los comparables solo un 10 % en el valor y no los usamos para el objetivo a 12 meses salvo en el techo del alcista, que la regla limita.</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Ventas de 2026e +6,0 % (fijo): el 1S26 creció un 7,4 % (7.231 M) y suponemos un 2S26 un 4 % por encima del 2S25, con el aire acondicionado chino a la baja y el coche eléctrico y los equipos al alza [6]. Después +6,5 % en 2027e-2028e, bajando al 3,5 % en 2031e. Es menos que la historia (TCAC del 7,3 % en 2021-2025) y que el consenso (+7,4 % y +7,7 % en 2026e-2027e) [25]: el componente de aire acondicionado (75 % de las ventas) crece con la producción china, que está en contracción (−6,2 % en el 1S26), y el crecimiento sale de gestión térmica del vehículo (+26 %) y equipos (+35 %) [6].</w:t>
      </w:r>
    </w:p>
    <w:p>
      <w:pPr>
        <w:keepNext/>
        <w:spacing w:after="100"/>
      </w:pPr>
      <w:r>
        <w:rPr>
          <w:b/>
          <w:bCs/>
        </w:rPr>
        <w:t xml:space="preserve">Márgenes.</w:t>
      </w:r>
    </w:p>
    <w:p>
      <w:pPr>
        <w:spacing w:after="100"/>
      </w:pPr>
      <w:r>
        <w:t xml:space="preserve">Margen EBITDA del 9,7 % en 2026e (9,2 % en el 1S26 y 10,9 % en el 2S25) que vuelve al 10,2-10,6 % en 2027e-2031e, por debajo del máximo de 2024 (11,3 %) y del 10,8 % de 2025 [1, 6]. El cobre se repercute con retraso: el margen bruto de 2026 baja, no se hunde. La mejora en vehículo eléctrico y equipos de mayor valor compensa una presión de precios de los clientes de aire acondicionado. El margen está a la mitad del de Sanhua (19,5 %), así que no suponemos que lo alcance [27].</w:t>
      </w:r>
    </w:p>
    <w:p>
      <w:pPr>
        <w:keepNext/>
        <w:spacing w:after="100"/>
      </w:pPr>
      <w:r>
        <w:rPr>
          <w:b/>
          <w:bCs/>
        </w:rPr>
        <w:t xml:space="preserve">Inversión y circulante.</w:t>
      </w:r>
    </w:p>
    <w:p>
      <w:pPr>
        <w:spacing w:after="100"/>
      </w:pPr>
      <w:r>
        <w:t xml:space="preserve">Capex del 3,8 % de las ventas en 2026e (nueva sede y fábrica inteligente; 242 M en el 1S26), bajando al 2,3 % en 2031e, por encima de la amortización (1,9 % → 2,2 %) [6]. Entre 2021 y 2025 el capex fue del 1,9-3,8 % de las ventas [1]. Circulante comercial del 19 % de las ventas, el de 2025 con efectos bancarios y activos de contrato incluidos. Tipo impositivo del 13,5 % (12,1 % en 2025, alta tecnología al 15 %) subiendo al 14 % [1].</w:t>
      </w:r>
    </w:p>
    <w:p>
      <w:pPr>
        <w:keepNext/>
        <w:spacing w:after="100"/>
      </w:pPr>
      <w:r>
        <w:rPr>
          <w:b/>
          <w:bCs/>
        </w:rPr>
        <w:t xml:space="preserve">Coste del capital.</w:t>
      </w:r>
    </w:p>
    <w:p>
      <w:pPr>
        <w:spacing w:after="100"/>
      </w:pPr>
      <w:r>
        <w:t xml:space="preserve">Tasa libre del 1,6497 % (bono chino a 10 años, ChinaBond, 19-oct-2026) en CNY, la divisa de los flujos [28]. Beta de 1,05: la mensual de cinco años frente al CSI 300 es de 1,00 y la semanal de dos años de 1,13 [24]. Prima de mercado del 5,5 % y prima adicional del 1,5 % (riesgo de China, control de Gree con operaciones vinculadas y concentración de clientes). Coste de la deuda del 3,0 % antes de impuestos (préstamos bancarios en CNY) con un 6 % de peso. Coste de los fondos propios del 8,92 % y WACC del 8,54 %. Con la prima implícita del mercado (4,2 %) el WACC sería del 7,26 % [29].</w:t>
      </w:r>
    </w:p>
    <w:p>
      <w:pPr>
        <w:keepNext/>
        <w:spacing w:after="100"/>
      </w:pPr>
      <w:r>
        <w:rPr>
          <w:b/>
          <w:bCs/>
        </w:rPr>
        <w:t xml:space="preserve">Valor terminal.</w:t>
      </w:r>
    </w:p>
    <w:p>
      <w:pPr>
        <w:spacing w:after="100"/>
      </w:pPr>
      <w:r>
        <w:t xml:space="preserve">Crecimiento a perpetuidad del 1,0 % en CNY, por debajo de la tasa libre menos medio punto (1,15 %) y con la inflación china cerca de cero. El valor terminal pesa el 73 % del valor de empresa y equivale a 8,2 veces el EBITDA del último año, frente a 6,1 veces hoy y a una media de 10,8 en 2021-2025 [24]: es coherente con la historia de la acción.</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7,26 %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Flujo de caja libre para la empresa proyectado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15.515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13.925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17.154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1.074,5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De dónde sale el valor empresa del DCF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15,53</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20,19</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1.643 M (24 %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 (ROIC 26,7 %)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 frente al 5,4 %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16,4 % (histórico: 74,8 %)</w:t>
            </w:r>
          </w:p>
        </w:tc>
      </w:tr>
    </w:tbl>
    <w:p>
      <w:pPr>
        <w:spacing w:after="160" w:before="0"/>
      </w:pPr>
    </w:p>
    <w:p>
      <w:pPr>
        <w:spacing w:after="100"/>
      </w:pPr>
      <w:r>
        <w:t xml:space="preserve">La proyección reinvierte el 24 % del NOPAT. Con el ROIC del último ejercicio (26,7 %), eso financia un crecimiento del 6,4 % anual, frente al 5,4 % de ingresos proyectado. Supone que el capital nuevo rinde un 16,4 %, frente a un ROIC incremental histórico del 74,8 %.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+3 % (vehículo eléctrico +26 % y equipos +35 % en el 1S26 frente a componentes −2 %), precio +2 % (repercusión del cobre) y +1 % de otros negocios (ventas de material, +89 % en el 1S26) [6].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+4,5 % con el aire acondicionado chino plano y el vehículo eléctrico y los centros de datos al alza; precio +0,5 %; mezcla +1,5 % (más válvulas electrónicas y de acero inoxidable por aparato) [6].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2027e: la regulación de refrigerantes sube el contenido por aparato y el vehículo eléctrico ya es el 9 % de las ventas [1, 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+4 %, precio +0,5 % y mezcla +1 %, convergiendo con el crecimiento del sector [15].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+3,5 % y precio y mezcla +1 %: crecimiento maduro.</w:t>
            </w:r>
          </w:p>
        </w:tc>
      </w:tr>
    </w:tbl>
    <w:p>
      <w:pPr>
        <w:spacing w:after="160" w:before="0"/>
      </w:pPr>
    </w:p>
    <w:p>
      <w:pPr>
        <w:spacing w:after="100"/>
      </w:pPr>
      <w:r>
        <w:t xml:space="preserve">Sí. El crecimiento proyectado (5,4 % de media) está por debajo del histórico (TCAC del 7,3 %) y del que financia la propia reinversión (6,4 % con el ROIC de 2025 del 26,7 %); el capital nuevo debe rendir un 16,4 %, por debajo del ROIC actual y del incremental histórico. No es un crecimiento que pida ganar cuota: suponemos que DunAn crece con su mercado (aire acondicionado plano, vehículo eléctrico y centros de datos al alza) y con un margen por debajo del de 2024-2025. El foso es estrecho (duopolio mundial con Sanhua en válvulas de cuatro vías y de expansión, homologaciones largas) y el poder de precio limitado, pero suficiente para repercutir el cobre con retraso. La prueba de cuota se hace a mano: sin un tamaño de mercado fiable en valor, comprobamos que las ventas de componentes de 2030e (≈ 12.100 M) solo exigen crecer un 4 % al año, como la producción de aire acondicionado de 2023-2025 [1, 2, 3].</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(2027e-2031e)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 (base: 5,3 %)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7,7 % (base: 10,6 %)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13,3 % (WACC: 8,5 %)</w:t>
            </w:r>
          </w:p>
        </w:tc>
      </w:tr>
    </w:tbl>
    <w:p>
      <w:pPr>
        <w:spacing w:after="160" w:before="0"/>
      </w:pPr>
    </w:p>
    <w:p>
      <w:pPr>
        <w:spacing w:after="100"/>
      </w:pPr>
      <w:r>
        <w:t xml:space="preserve">El DCF da 15,97 CNY por acción (+48,6 %), con un WACC del 8,54 % y un valor terminal que pesa el 73 %. Con la prima implícita del mercado sube a 18,74. El precio de 10,75 no se iguala con ningún crecimiento razonable: aun sin crecer, el negocio vale más. Lo que descuenta el precio es un margen EBITDA del 7,7 % para siempre (el de 2021-2022, con el balance en crisis) frente al 10,6 % del caso base, o una rentabilidad del 13,3 % al año frente a un coste de capital del 8,54 %. Es una previsión exigente con la empresa (pide volver al margen de la crisis) y conservadora para el inversor. La caja neta explica parte del descuento: 2.876 M (2,68 CNY por acción) que el mercado chino no valora a la par en una empresa controlada por otra, y que la empresa casi no reparte. Por eso el valor intrínseco no es el objetivo a 12 meses: para cerrar la distancia hace falta que el beneficio vuelva a crecer en 2027 o que suba el dividendo.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aire acondicionado chino cae dos años seguidos (como en 2022, cuando los componentes no crecieron), el cobre sigue caro y los clientes aprietan precios: ventas de 2027e un 5,5 % por debajo de 2026e y margen EBITDA del 8,1 % (el de 2022). Es lo que ya le pasa en el 1S26 a la exportación (−4,9 puntos de margen bruto).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Aire acondicionado plano, vehículo eléctrico y equipos al alza: ventas +6 % en 2026e y +6,5 % en 2027e-2028e, margen EBITDA del 9,7 % que vuelve al 10,5 % en 2028e.</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ciclo del aire acondicionado vuelve en 2027 y los centros de datos y el vehículo eléctrico ganan peso: crecimiento 3 puntos mayor y margen EBITDA un punto más alto (11,5 % en 2028e), todavía por debajo del de Sanhua.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Valor por acción por escenario (CNY) · precio actual 10,7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rPr>
          <w:b/>
          <w:bCs/>
        </w:rPr>
        <w:t xml:space="preserve">Valor ponderado por probabilidad:</w:t>
      </w:r>
      <w:r>
        <w:t xml:space="preserve"> 15,22 CNY (+41,6 %).</w:t>
      </w:r>
    </w:p>
    <w:p>
      <w:pPr>
        <w:spacing w:after="100"/>
      </w:pPr>
      <w:r>
        <w:t xml:space="preserve">El bajista vale 10,40 CNY (−3,3 %), el base 15,97 (+48,6 %) y el alcista 18,52 (+72,3 %). La asimetría es muy favorable porque el precio ya descuenta el margen del bajista. El riesgo no está en el valor sino en el tiempo: el bajista a 12 meses (PER de 9,3x sobre un BPA de 0,68) da 6,32 CNY (−41 %), porque el mercado recorta a la vez beneficio y múltiplo. Compensa: con probabilidades 25/50/25 la ponderada a 12 meses es del 23,5 %.</w:t>
      </w:r>
    </w:p>
    <w:p>
      <w:pPr>
        <w:pStyle w:val="Heading1"/>
      </w:pPr>
      <w:r>
        <w:t xml:space="preserve">22. Suma de partes</w:t>
      </w:r>
    </w:p>
    <w:p>
      <w:pPr>
        <w:pStyle w:val="Confianza"/>
        <w:spacing w:after="100"/>
      </w:pPr>
      <w:r>
        <w:t xml:space="preserve">Confianza: Media</w:t>
      </w:r>
    </w:p>
    <w:p>
      <w:pPr>
        <w:spacing w:after="100"/>
      </w:pPr>
      <w:r>
        <w:t xml:space="preserve">No aplica: la empresa publica un solo segmento (fabricación de equipos generales) y no da resultado por línea; los equipos (9 %) y la gestión térmica del vehículo (9 %) comparten fábricas, clientes y tecnología con los componentes [1].</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5" name="Gráfico 25" descr="Valor por acción según cada método (CNY) · precio actual 10,7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16,64 CNY (+54,8 % sobre 10,75).</w:t>
      </w:r>
    </w:p>
    <w:p>
      <w:pPr>
        <w:spacing w:after="100"/>
      </w:pPr>
      <w:r>
        <w:t xml:space="preserve">Pesamos el DCF un 60 %, los escenarios un 30 % y los comparables un 10 %. El DCF es el método más fiable aquí: flujos estables, poca inversión y una caja neta que los múltiplos de los comparables no recogen bien. Los comparables pesan poco porque su mediana (22,2 veces el beneficio) está inflada por las empresas de refrigeración de centros de datos (40-42 veces) y por Sanhua (27 veces), que tiene el doble de margen. No hay transacciones con múltiplo publicado. La dispersión es grande: el DCF da 14,58-17,77 con WACC y crecimiento ± 0,5, los escenarios 10,40-18,52 y los comparables 19,05-41,46, mientras el mercado paga 10,75 y los analistas apuntan a 13,95-14,55. El valor intrínseco ponderado es de 16,64 CNY (+54,8 %). El objetivo a 12 meses (13,18) es más prudente: la regla de múltiplos parte del PER que el mercado paga hoy.</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(10.6x) × 1.1 (tope: la mediana de 5 años, 14.3x,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+92,0 %</w:t>
            </w:r>
          </w:p>
        </w:tc>
      </w:tr>
    </w:tbl>
    <w:p>
      <w:pPr>
        <w:spacing w:after="160" w:before="0"/>
      </w:pPr>
    </w:p>
    <w:p>
      <w:pPr>
        <w:spacing w:after="100"/>
      </w:pPr>
      <w:r>
        <w:rPr>
          <w:b/>
          <w:bCs/>
        </w:rPr>
        <w:t xml:space="preserve">Objetivo a 12 meses (ponderado):</w:t>
      </w:r>
      <w:r>
        <w:t xml:space="preserve"> 13,18 CNY · rentabilidad +23,5 % (base +21,2 %) · señal Comprar.</w:t>
      </w:r>
    </w:p>
    <w:p>
      <w:pPr>
        <w:spacing w:after="100"/>
      </w:pPr>
      <w:r>
        <w:t xml:space="preserve">Para comparar, con la regla v2 (historia al cierre, mismo precio): 9,0x / 10,6x / 13,8x, 11,3 % Mantener; con el tope anterior del base (×1,3, 14-oct mediodía): 30,0 % Comprar.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2028e (1,105) está un 13 % por debajo de la media de seis meses de Eastmoney (1,276) y en línea con Changjiang (1,14) y Everbright (1,18), las casas que publicaron después del 1S26 [25]. La diferencia es de margen, no de ventas (15.671 M frente a 16.197 M): suponemos un margen EBITDA del 10,5 % en 2028e, por debajo del 10,8 % de 2025, porque el 1S26 mostró que el cobre y los precios de los clientes aprietan. Nuestro precio base (12,93) queda un 9 % por debajo del objetivo medio de los analistas (14,25); el objetivo ponderado (13,18), un 8 % por debajo.</w:t>
      </w:r>
    </w:p>
    <w:p>
      <w:pPr>
        <w:keepNext/>
        <w:spacing w:after="100"/>
      </w:pPr>
      <w:r>
        <w:rPr>
          <w:b/>
          <w:bCs/>
        </w:rPr>
        <w:t xml:space="preserve">Del valor intrínseco al objetivo a 12 meses.</w:t>
      </w:r>
    </w:p>
    <w:p>
      <w:pPr>
        <w:spacing w:after="100"/>
      </w:pPr>
      <w:r>
        <w:t xml:space="preserve">El objetivo a 12 meses (13,18 CNY, +23,5 % con dividendo; +21,2 % en el base) queda un 21 % por debajo del valor intrínseco (16,64). La distancia la explica la caja neta y el múltiplo: el mercado chino paga a DunAn 10-14 veces el beneficio y la regla solo sube el PER de 10,6x a 11,7x en un año. Para cerrar el resto hacen falta dos cosas que no tienen fecha: que el beneficio vuelva a crecer en 2027 (el 3T26 del 27-oct es la primera prueba) y que la empresa reparta la caja (payout del 10 %). La tesis completa es a dos o tres años.</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prueba de si el margen se estabiliza tras el −14,8 % de beneficio del 2T26; el consenso espera un BPA de 2026 de 0,90-1,11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Abril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propuesta de dividendo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reservas de la matriz ya positivas, un reparto del 30 % del beneficio (≈ 0,27 CNY) daría un 2,5 % de rentabilidad por dividendo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Liberación o recompra de acciones del plan de incentivos (objetivo 2026 de beneficio recurrente de 1.245 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objetivo no se alcanzará: acciones recompradas a 7,05 CNY y señal de que la guía interna falló</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meses</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Posible nuevo plan de venta de Zijin Mining (6,32 %)</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Oferta de hasta un 3 % del capital en tres meses, como en 2025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Mayo-junio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de Chanye Online de la campaña de aire acondicionado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la producción china vuelve a crecer, sube el volumen de válvulas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Adjudicaciones en vehículo eléctrico fuera de China (planta de Tailandia) y en centros de datos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peso de los negocios que crecen; la empresa ya cita colaboración con un fabricante internacional de coches eléctricos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del aire acondicionado chino más larga (fin de las ayudas al recambio, vivienda)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−35 % sobre el base (escenario bajista: 10,40 CNY)</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Vehículo eléctrico y equipos crecen un 26-35 %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de aire acondicionado de Chanye Online por debajo de −5 % en la campaña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Cobre caro y precios apretados por los clientes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Márgenes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punto de margen EBITDA ≈ −12 % del valor (estimación propia con el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Repercusión con retraso; coberturas de materias primas aprobadas en 2026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trimestral por debajo del 16 %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Dependencia de Gree (20,6 % de las ventas y accionista de control)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si Gree reparte compras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Gree es dueño del 38 %: le interesa que DunAn gane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vinculadas con Gree muy por debajo del techo de 3.300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retenida y operaciones con la financiera de Gree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−2,68 CNY por acción si la caja no se valora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Depósito en Gree Finance limitado a 300 M; primer dividendo en 2026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Depósitos en Gree Finance cerca del límite o payout que no sube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Sanhua gana cuota en válvulas de expansión y vehículo eléctrico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Duopolio con costes de cambio por homologación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componentes por debajo del sector dos semestres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 de Zijin Mining (6,32 %)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temporal</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medio de 351 M CNY al día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 de plan de venta (15 días hábiles antes)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Herencia del antiguo accionista (garantías, litigios)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Provisiones hechas en 2020-2023; partidas pequeñas desde 2024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Nuevas pérdidas fuera de explotación</w:t>
            </w:r>
          </w:p>
        </w:tc>
      </w:tr>
    </w:tbl>
    <w:p>
      <w:pPr>
        <w:spacing w:after="160" w:before="0"/>
      </w:pPr>
    </w:p>
    <w:p>
      <w:pPr>
        <w:pStyle w:val="Heading2"/>
      </w:pPr>
      <w:r>
        <w:t xml:space="preserve">Pre-mortem</w:t>
      </w:r>
    </w:p>
    <w:p>
      <w:pPr>
        <w:spacing w:after="100"/>
      </w:pPr>
      <w:r>
        <w:t xml:space="preserve">Octubre de 2029: DunAn cotiza a 6,5 CNY. La caída del aire acondicionado chino no fue de un año: tras las ayudas de 2024-2025, 2026 y 2027 cayeron un 6 % cada uno y los fabricantes, con exceso de capacidad, exigieron rebajas a sus proveedores. El cobre siguió por encima de 10.000 USD la tonelada. El margen EBITDA volvió al 8 %, el de 2022, y el beneficio a 0,70 CNY por acción. El vehículo eléctrico creció, pero Sanhua se quedó con las plataformas nuevas de los fabricantes chinos y la planta de Tailandia tardó en llenarse. Gree, con sus propios problemas, desvió parte de las compras a otros proveedores y la financiera del grupo acumuló más caja de DunAn. Zijin vendió su 6 % en dos tramos y el mercado, que ya pagaba 10 veces el beneficio, bajó a 9. Lo habrían anticipado tres indicadores: el margen bruto trimestral por debajo del 16 % dos trimestres seguidos, la producción de Chanye Online en negativo en la campaña de 2027 y el peso de Gree en las ventas por debajo del 18 %.</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Oportunidad · </w:t>
      </w:r>
      <w:r>
        <w:rPr>
          <w:b/>
          <w:bCs/>
        </w:rPr>
        <w:t xml:space="preserve">Efecto en valor (3-5 años):</w:t>
      </w:r>
      <w:r>
        <w:t xml:space="preserve"> +3 %</w:t>
      </w:r>
    </w:p>
    <w:p>
      <w:pPr>
        <w:spacing w:after="100"/>
      </w:pPr>
      <w:r>
        <w:t xml:space="preserve">La IA no sustituye una válvula de cobre: el negocio físico de DunAn no es automatizable por un modelo. Le toca por el lado de la demanda: los centros de datos de IA necesitan refrigeración y DunAn vende intercambiadores, válvulas y componentes para ella, con crecimientos de más del 40 % en algunos productos en el 1S26 [6]. Es pequeño frente a 13.035 M de ventas (la empresa no lo cifra), y el mercado ya lo sobrevaloró en septiembre (+51 % en un mes, devuelto) [34]. En costes, la empresa usa visión artificial para el control de calidad en fábrica [6]. Señal: que la empresa empiece a desglosar ventas de centros de datos o que superen el 5 % del total.</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Wind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2026-04</w:t>
            </w:r>
          </w:p>
        </w:tc>
      </w:tr>
    </w:tbl>
    <w:p>
      <w:pPr>
        <w:spacing w:after="160" w:before="0"/>
      </w:pPr>
    </w:p>
    <w:p>
      <w:pPr>
        <w:pStyle w:val="Heading2"/>
      </w:pPr>
      <w:r>
        <w:t xml:space="preserve">Asuntos materiales</w:t>
      </w:r>
    </w:p>
    <w:p>
      <w:pPr>
        <w:spacing w:after="100"/>
      </w:pPr>
      <w:r>
        <w:t xml:space="preserve">Dos asuntos mueven las cifras. El primero, los refrigerantes: la transición a gases de bajo potencial de calentamiento (Kigali, reglamento europeo de 2024) obliga a rediseñar válvulas y es una oportunidad (válvulas de acero inoxidable, +100 % en algunos productos) [6]. El segundo, la energía de una industria metalúrgica: emisiones de 16.165 t CO₂e de alcance 1 y 52.684 t de alcance 2 en 2025, pequeñas frente a 13.035 M de ventas [17]. La seguridad laboral en estampación y soldadura es el riesgo social principal [17].</w:t>
      </w:r>
    </w:p>
    <w:p>
      <w:pPr>
        <w:pStyle w:val="Heading2"/>
      </w:pPr>
      <w:r>
        <w:t xml:space="preserve">Controversias</w:t>
      </w:r>
    </w:p>
    <w:p>
      <w:pPr>
        <w:spacing w:after="100"/>
      </w:pPr>
      <w:r>
        <w:t xml:space="preserve">Las controversias son de gobierno y heredadas: las garantías al antiguo accionista DunAn Holding, que costaron pérdidas en 2020-2023 y litigios del negocio de ahorro energético (Zhejiang DunAn Energy Saving) resueltos con provisiones [1]. No hay sanciones ambientales ni del regulador bursátil en los tres últimos años en los informes anuales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descenso del margen bruto del 1S26 es cobre (temporal) y cuánto precio de los clientes (permanente)?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margen vuelve al 10,5 % del base o se queda en el 8 % del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hará la empresa con 2.876 M de caja neta (25 % de la capitalización)? ¿Subirá el payout del 10 %?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caja que no se reparte es la mayor parte de la distancia entre precio y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Gree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qué precios vende a Gree frente a otros clientes y por qué mantener depósitos en Gree Finance con un 26 % de los minoritarios en contra?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el 20,6 % de las ventas y parte de la tesorería pasan por el accionista de control.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Centros de datos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venden hoy a centros de datos y almacenamiento, y con qué margen?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parte que el mercado pagó en septiembre y la empresa no la cifra.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Vehículo eléctrico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empieza a facturar el contrato con el fabricante internacional de coches eléctricos y cuánto puede aportar la planta de Tailandia?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negocio que más crece (+26 %) y el que justificaría un múltiplo más alto.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Dachuang</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objetivo de 910 M de ventas y 71 M de beneficio de 2024-2026 se cumplirá y habrá compensación de los vendedores?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Queda un fondo de comercio de 125,8 M y es la única compra reciente.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Zijin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¿Tiene Zijin Mining intención de vender el 6,32 % restante?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la oferta latente más grande sobre la acción.</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Negativo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Eastmoney Guba (hilos del 15-19 de octubre)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Frustración tras devolver toda la subida de septiembre: «la historia de la refrigeración líquida se acabó, volvemos al punto de partida», «el capital especulativo subió y repartió»; muchos esperan los resultados del 3T del lunes 26-27 de octubre para ver si se corta la caída del beneficio [32].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Eastmoney Guba (septiembre-octubre, subida y reversión)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septiembre, entusiasmo por la refrigeración líquida, Tesla y la «vuelta del valor» («un DunAn de 20.000 M»); en octubre, quejas de que la acción «sube con la tecnología y no cae con ella» y temor a que Zijin vuelva a vender [33].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Refrigeración líquida y centros de datos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real pero pequeño: «algunos componentes para centros de datos crecen más del 40 %» dentro de una línea de 5.306 M que cae un 2 % en el 1S26 [34].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del beneficio en 2026</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1S26 cayó un 12,8 % y los analistas recortaron el BPA de 2026 a 0,90-1,11 [32].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 de Zijin Mining (6,3 %)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Vendió un 0,42 % en el 4T25; no hay plan nuevo publicado a 19-oct-2026 [33].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Barata frente a Sanhua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Cotiza a ~10 veces beneficio frente a ~27 de Sanhua, con la mitad de margen y menos crecimiento [32].</w:t>
            </w:r>
          </w:p>
        </w:tc>
      </w:tr>
    </w:tbl>
    <w:p>
      <w:pPr>
        <w:spacing w:after="160" w:before="0"/>
      </w:pPr>
    </w:p>
    <w:p>
      <w:pPr>
        <w:spacing w:after="100"/>
      </w:pPr>
      <w:r>
        <w:t xml:space="preserve">El foro de Eastmoney está en capitulación tras devolver en cuatro semanas la subida del 51 % de septiembre: los mensajes hablan de «acción muerta» y de que «la historia de la refrigeración líquida se acabó» [32, 33]. Coincide con las cifras en lo esencial: el beneficio cae en 2026 y el negocio de centros de datos es pequeño. Lo que el foro no mira es que la acción está a 10,6 veces nuestro beneficio de 2027 con un 25 % de la capitalización en caja neta. El sentimiento extremo y el recorte de los analistas (BPA de 2026 de 1,09-1,13 a 0,90-1,11) juegan a favor de una entrada si el 3T26 (27-oct) no empeora la tendencia del 2T26, pero no aportan ninguna cifra. No contradice al consenso de analistas, que sigue en «comprar» con objetivos de 13,95-14,55 [25].</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20 de 23 controles correctos y 2 explicados. Fuentes: 38 (22 primarias); citas distintas en el texto: 35.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11,0 %: explica la causa (créditos fiscales, regularizaciones, mezcla de países) y no lo proyectes en el DCF. Explicación: 11,0 % en 2024 por el tipo reducido del 15 % de empresa de alta tecnología de la matriz y las filiales, la deducción adicional de I+D y la reversión de provisiones no deducibles; el DCF usa el 13,5 % (12,1 % en 2025) [1, 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hay solución en un rango razonable: revisa circulante, capex o márgenes del DCF (un supuesto extremo hace que el valor no responda al crecimiento). Explicación: El precio vale menos que el DCF incluso con crecimiento cero: no hay crecimiento que lo iguale en el rango del motor. Lo que descuenta el precio se lee en el margen: un margen EBITDA del 7,7 % para siempre (frente al 10,6 % del base y el 10,8 % de 2025), o una rentabilidad implícita del 13,3 % frente al WACC del 8,54 %.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16,4 % frente a un ROIC de 26,7 % y un incremental histórico de 74,8 %: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19,0 % frente a 19,0 % real: genera una variación de circulante de 142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73 %.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 robusta (v3 y v2 dan Comprar)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v2 (historia al cierre) da Mantener con 11,3 %: para comprar o ampliar hace falta motivo de negocio propio; para mantener basta la vigente.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«Media» (no llega a Alta: el precio descuenta un crecimiento sin calcular (&lt; 3))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38 fuentes (22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7, 9, 23.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trimestral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trimestrales CAS (cuenta abreviada sin amortización); 2) informe semestral (amortización solo semestral); 3) prorratear la amortización semestral: descartado por las diferencias de cambio que mueven el resultado de cada trimestre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anuales de DunAn y Sanhua (solo dan posición, no cuota); 2) Chanye Online: datos de pago; 3) informes de mercado de válvulas (FMI, Lucintel): sin cuota de los cinco primeros en lo publicado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semestral 2026 (solo «segunda mundial»); 2) informe de Sanhua (no da cuota de rivales); 3) FMI: no publica cuotas por empresa en el comunicado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remuneracion_ceo (fijo y variable)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(solo total por persona); 2) plan de remuneración 2026 de la junta (solo criterios); 3) informe ESG 2025: sin desglose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anuales de DunAn y Sanhua: compras sin múltiplo publicado (Shanghai Dachuang, 244,6 M por el 65,95 %, sin EBITDA del objetivo); 2) compra del control de DunAn por Gree (2022) y de Hanon por Hankook (2024): precio por acción, sin EBITDA del perímetro en un documento primario abierto; 3) prensa sectorial de válvulas (Danfoss, Saginomiya): operaciones privadas sin múltiplo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 de Shenzhen: no publica posiciones cortas por valor; 2) saldo de préstamo de valores (融券) no publicado de forma abierta; 3) Yahoo y Stock Analysis: sin dato para acciones 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ev_ebitda_ntm</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sin EBITDA estimado; 2) Eastmoney: solo ventas, beneficio y BPA; 3) MarketScreener: página de DunAn no disponible sin suscripción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revisadas (otras plataformas)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Xueqiu (雪球): exige JavaScript y no devuelve mensajes; 2) Stocktwits y Reddit: sin hilos sobre 002011 en tres meses; 3) Seeking Alpha: sin cobertura de la acción 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2025年年度报告 (informe anual 2025, CAS: cuentas consolidadas, ventas por producto y región, trimestres, notas de deuda, arrendamientos, fondo de comercio, auditor)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Zhejiang DunAn Artificial Environment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http://static.cninfo.com.cn/finalpage/2026-04-29/1225243151.PDF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2024年年度报告 (informe anual 2024: compra de Shanghai Dachuang, trimestres 2024, desglose de la deuda)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Zhejiang DunAn Artificial Environment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http://static.cninfo.com.cn/finalpage/2025-04-18/1223129034.PDF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2023年年度报告 (informe anual 2023: cuentas 2023 y 2022 reexpresado, trimestres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Zhejiang DunAn Artificial Environment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http://static.cninfo.com.cn/finalpage/2024-04-19/1219666793.PDF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2022年年度报告 (informe anual 2022: cuentas 2022 y 2021, balance de apertura de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Zhejiang DunAn Artificial Environment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http://static.cninfo.com.cn/finalpage/2023-04-22/1216526985.PDF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2021年年度报告 (informe anual 2021: cuenta 2021 y 2020, ventas por producto)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Zhejiang DunAn Artificial Environment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abr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http://static.cninfo.com.cn/finalpage/2022-04-08/1212839637.PDF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2026年半年度报告 (informe semestral 2026: balance a 30-jun-2026, cuenta y flujos del 1S26, ventas por producto, caja restringida)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Zhejiang DunAn Artificial Environment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http://static.cninfo.com.cn/finalpage/2026-08-27/1225513924.PDF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2025年半年度报告 (informe semestral 2025: cuenta, amortizaciones y flujos del 1S25)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Zhejiang DunAn Artificial Environment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http://static.cninfo.com.cn/finalpage/2025-08-23/1224559348.PDF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2026年一季度报告 (informe del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Zhejiang DunAn Artificial Environment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http://static.cninfo.com.cn/finalpage/2026-04-29/1225243159.PDF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2025年三季度报告 (informe del 3T25)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Zhejiang DunAn Artificial Environment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http://static.cninfo.com.cn/finalpage/2025-10-25/1224731955.PDF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2025年度利润分配预案公告 (propuesta de dividendo de 0,10 CNY; sin dividendo en 2023 y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Zhejiang DunAn Artificial Environment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http://static.cninfo.com.cn/finalpage/2026-04-29/1225243161.PDF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2025年年度权益分派实施公告 (pago del dividendo sobre 1.074.477.339 acciones)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Zhejiang DunAn Artificial Environment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http://static.cninfo.com.cn/finalpage/2026-08-05/1225458512.PDF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关于向激励对象授予限制性股票与股票期权的公告 (plan de incentivos 2025: 10,075 M acciones restringidas a 7,05 CNY y 4,77 M opciones a 14,10 CNY; objetivos de beneficio 2025-2027)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Zhejiang DunAn Artificial Environment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http://static.cninfo.com.cn/finalpage/2025-11-27/1224828992.PDF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Zhejiang Sanhua Intelligent Controls: 2025年年度报告摘要 (resumen del informe anual 2025: ventas 31.012 M, beneficio 4.063 M, clientes)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Zhejiang Sanhua Intelligent Controls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http://static.cninfo.com.cn/finalpage/2026-03-24/1225026521.PDF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Zhejiang Sanhua Intelligent Controls: 2026年半年度报告摘要 (1S26: ventas 16.900 M, +3,9 %; beneficio 2.044 M, −3,1 %)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Zhejiang Sanhua Intelligent Controls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http://static.cninfo.com.cn/finalpage/2026-08-27/1225514003.PDF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Electronic Expansion Valves Market … USD 1,986.0 Million by 2035 … 8.4% CAGR (886,5 M USD en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Future Market Insights / 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https://www.globenewswire.com/news-release/2025/01/14/3008963/0/en/Global-Electronic-Expansion-Valves-Market-Set-to-Achieve-Remarkable-Growth-with-a-Projected-Size-of-USD-1-986-0-Million-by-2035-Driven-by-a-Decent-8-4-CAGR-Future-Market-Insights-I.html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de Yahoo Finance (cuentas anuales 2025: ventas y EBIT de Yinlun, Aotecar, Songz, Envicool, Shenling, Hanon Systems y Modine)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2025年度环境、社会及公司治理（ESG）报告 (informe ESG 2025: emisiones de alcance 1 y 2, calificación Wind 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Zhejiang DunAn Artificial Environment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http://static.cninfo.com.cn/finalpage/2026-04-29/1225243173.PDF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2025年年度股东会决议公告 (resultado de la junta del 25-jun-2026, votos de los minoritarios)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Zhejiang DunAn Artificial Environment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http://static.cninfo.com.cn/finalpage/2026-06-26/1225388782.PDF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关于持股5%以上股东减持股份触及1%整数倍的公告 (Zijin Mining Investment vende 4,52 M de acciones, 15-sep a 8-dic-2025)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Zhejiang DunAn Artificial Environment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http://static.cninfo.com.cn/finalpage/2025-12-09/1224859663.PDF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关于股东减持计划实施期限届满暨实施结果的公告 (fin del plan de venta de Zijin, 12-dic-2025)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Zhejiang DunAn Artificial Environment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http://static.cninfo.com.cn/finalpage/2025-12-13/1224875480.PDF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关于非公开发行股票限售股份解除限售上市流通的提示性公告 (fin del bloqueo de las 139,4 M acciones de Gree, 9-ene-2026)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Zhejiang DunAn Artificial Environment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http://static.cninfo.com.cn/finalpage/2026-01-08/1224922840.PDF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关于2026年度日常关联交易预计的公告 (operaciones vinculadas con Gree de hasta 3.300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Zhejiang DunAn Artificial Environment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http://static.cninfo.com.cn/finalpage/2026-04-29/1225243164.PDF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de consejeros y directivos de 002011 (base de datos de Eastmoney sobre los registros de la Bolsa de Shenzhen): última compra o venta en el mercado, 25-nov-2021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Eastmoney Data Center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https://data.eastmoney.com/executive/002011.html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002011.SZ, 510300.SS (CSI 300) y 159996.SZ (electrodomésticos): precio, rentabilidades, beta, volatilidad y cierres de ejercicio (herramientas/bolsa.mjs)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https://finance.yahoo.com/quote/002011.SZ/history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Previsiones de beneficio de 002011 (盈利预测): media de seis meses y detalle por casa (CICC, Galaxy, Everbright, Changjiang, Zhongyuan, Southwest, Shenwan Hongyuan)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Eastmoney (东方财富) F10</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https://emweb.securities.eastmoney.com/PC_HSF10/ProfitForecast/Index?code=SZ002011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 de analistas sobre 002011 (Southwest, Kaiyuan, Huaan, Huaxin, 2024-2026) y objetivo de precio de 13,95-14,55 CNY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Eastmoney (东方财富)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https://data.eastmoney.com/report/stock.jshtml?code=002011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de Yahoo Finance de los comparables (precio, capitalización, cuentas, estimaciones de BPA y ventas a 0 y +1 años; script del scratchpad sobre herramientas/yahoo.mjs)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Curva de la deuda pública china (中债国债收益率曲线), 10 años a 19-oct-2026: 1,6497 %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ChinaBond (中央国债登记结算)</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https://yield.chinabond.com.cn/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ERPbymonth.xlsx: prima implícita del S&amp;P 500 de octubre de 2026 (4,20 %, con payout sostenible)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List of SZSE Securities / China Connect Securities (eligible for both buy and sell), actualizada el 16-oct-2026: 002011 «ZHEJIANG DUN'AN ARTIFICIAL ENVIRONMENT», código CCASS 72011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HKEX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https://www.hkex.com.hk/-/media/HKEX-Market/Mutual-Market/Stock-Connect/Eligible-Stocks/View-All-Eligible-Securities_xls/SZSE_Securities.xls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定期报告预约披露 (calendario de resultados): informe del 3T26 de 002011 previsto para el 27-oct-2026 (primera fecha, 28-oct)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http://www.cninfo.com.cn/new/commonUrl?url=data/yypl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Eastmoney Guba (股吧) de 002011: hilos de particulares, páginas 1-3 (15-19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Eastmoney Guba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https://guba.eastmoney.com/list,002011.html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Eastmoney Guba de 002011: hilos de septiembre y octubre sobre la subida por la refrigeración líquida y su reversión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Eastmoney Guba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https://guba.eastmoney.com/list,002011_2.html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Eastmoney: «液冷服务器板块涨势扩大» (DunAn sube al límite con el grupo de refrigeración líquida, 7-sep-2026)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Primera Finanzas (第一财经) / Eastmoney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https://finance.eastmoney.com/a/202609073866609064.html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Eastmoney: «今日沪指跌1.74% 通信行业跌幅最大» (28-sep-2026: comunicaciones −7,1 %, electrónica −4,8 %, electrodomésticos −1,0 % a mediodía)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Securities Times (证券时报) / Eastmoney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https://finance.eastmoney.com/a/202609283885074635.html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Eastmoney: «传感器板块震荡走弱，紫竹高科触及跌停» (15-oct-2026: DunAn cae con el grupo de sensores)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Jiemian (界面新闻) / Eastmoney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https://finance.eastmoney.com/a/202610153896759158.html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Eastmoney: «盾安环境成交额创2025年9月23日以来新高» (9-sep-2026: volumen de 1.015 M CNY)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Securities Times (证券时报) / Eastmoney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https://finance.eastmoney.com/a/202609093869276271.html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Eastmoney: resumen del informe semestral de DunAn («上半年营收72.31亿元，现金流大幅改善»)</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Securities Times (证券时报) / Eastmoney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https://finance.eastmoney.com/a/202608273856251945.html</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84,0 %</w:t>
      </w:r>
      <w:r>
        <w:t xml:space="preserve"> · Secciones con menos del 60 % de campos cubiertos: </w:t>
      </w:r>
      <w:r>
        <w:rPr>
          <w:b/>
          <w:bCs/>
        </w:rPr>
        <w:t xml:space="preserve">transacciones</w:t>
      </w:r>
      <w:r>
        <w:t xml:space="preserve"> · Generado el 19 oct 2026.</w:t>
      </w:r>
    </w:p>
    <w:p>
      <w:pPr>
        <w:pStyle w:val="Nota"/>
        <w:spacing w:after="100"/>
      </w:pPr>
      <w:r>
        <w:t xml:space="preserve">Acciones A de la Bolsa de Shenzhen en CNY, la única línea cotizada; desde fuera de China se compran por Shenzhen-Hong Kong Stock Connect (002011 está en la lista de valores aptos para compra y venta hacia el norte de HKEX del 16-oct-2026, código CCASS 72011) [30]. China no publica XBRL: las cuentas son las CAS de los informes anuales 2021-2025 y semestrales de CNINFO, leídas en el PDF. 2022 es el reexpresado del informe de 2023 (fusión bajo control común; ventas +65 M). El EBIT del informe excluye ingresos financieros, de inversiones, de valor razonable y las partidas fuera de explotación (营业外), que van al resultado financiero; en 2021-2023 esas partidas son grandes por el saneamiento del antiguo accionista. Clientes y proveedores incluyen los efectos bancarios a cobrar (应收款项融资) y a pagar. El BPA trimestral es estimación propia. El 3T26 sale el 27-oct-2026, después de la fecha de corte [31]. ISIN no verificado en los documentos descargados.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19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Zhejiang DunAn Artificial Environment Co., Ltd. (浙江盾安人工环境股份有限公司) (002011.SZ)</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(CNY) · precio actual 10,75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(9,73 – 14,98)</c:v>
                </c:pt>
                <c:pt idx="1">
                  <c:v>Precio objetivo de los analistas (13,95 – 14,55)</c:v>
                </c:pt>
                <c:pt idx="2">
                  <c:v>Comparables: PER NTM (19,05 – 41,46)</c:v>
                </c:pt>
                <c:pt idx="3">
                  <c:v>DCF (WACC y g ± 0,5) (14,58 – 17,77)</c:v>
                </c:pt>
                <c:pt idx="4">
                  <c:v>Escenarios (bajista – alcista) (10,40 – 18,52)</c:v>
                </c:pt>
                <c:pt idx="5">
                  <c:v>DCF con la prima implícita del mercado (4,2 %)</c:v>
                </c:pt>
                <c:pt idx="6">
                  <c:v>Precio actual (10,75)</c:v>
                </c:pt>
              </c:strCache>
            </c:strRef>
          </c:cat>
          <c:val>
            <c:numRef>
              <c:f>Hoja1!$B$2:$B$8</c:f>
              <c:numCache>
                <c:formatCode>#,##0.0</c:formatCode>
                <c:ptCount val="7"/>
                <c:pt idx="0">
                  <c:v>9.73</c:v>
                </c:pt>
                <c:pt idx="1">
                  <c:v>13.95</c:v>
                </c:pt>
                <c:pt idx="2">
                  <c:v>19.05</c:v>
                </c:pt>
                <c:pt idx="3">
                  <c:v>14.58</c:v>
                </c:pt>
                <c:pt idx="4">
                  <c:v>10.4</c:v>
                </c:pt>
                <c:pt idx="5">
                  <c:v>17.53</c:v>
                </c:pt>
                <c:pt idx="6">
                  <c:v>10.7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(9,73 – 14,98)</c:v>
                </c:pt>
                <c:pt idx="1">
                  <c:v>Precio objetivo de los analistas (13,95 – 14,55)</c:v>
                </c:pt>
                <c:pt idx="2">
                  <c:v>Comparables: PER NTM (19,05 – 41,46)</c:v>
                </c:pt>
                <c:pt idx="3">
                  <c:v>DCF (WACC y g ± 0,5) (14,58 – 17,77)</c:v>
                </c:pt>
                <c:pt idx="4">
                  <c:v>Escenarios (bajista – alcista) (10,40 – 18,52)</c:v>
                </c:pt>
                <c:pt idx="5">
                  <c:v>DCF con la prima implícita del mercado (4,2 %)</c:v>
                </c:pt>
                <c:pt idx="6">
                  <c:v>Precio actual (10,75)</c:v>
                </c:pt>
              </c:strCache>
            </c:strRef>
          </c:cat>
          <c:val>
            <c:numRef>
              <c:f>Hoja1!$C$2:$C$8</c:f>
              <c:numCache>
                <c:formatCode>#,##0.0</c:formatCode>
                <c:ptCount val="7"/>
                <c:pt idx="0">
                  <c:v>5.25</c:v>
                </c:pt>
                <c:pt idx="1">
                  <c:v>0.6000000000000014</c:v>
                </c:pt>
                <c:pt idx="2">
                  <c:v>22.41</c:v>
                </c:pt>
                <c:pt idx="3">
                  <c:v>3.1899999999999995</c:v>
                </c:pt>
                <c:pt idx="4">
                  <c:v>8.12</c:v>
                </c:pt>
                <c:pt idx="5">
                  <c:v>2.629999999999999</c:v>
                </c:pt>
                <c:pt idx="6">
                  <c:v>0.10000000000000142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(CNY, millones)</a:t>
            </a:r>
          </a:p>
        </c:rich>
      </c:tx>
      <c:overlay val="0"/>
    </c:title>
    <c:autoTitleDeleted val="0"/>
    <c:plotArea>
      <c:layout/>
      <c:barChart>
        <c:barDir val="col"/>
        <c:grouping val="stacked"/>
        <c:varyColors val="0"/>
        <c:ser>
          <c:idx val="0"/>
          <c:order val="0"/>
          <c:tx>
            <c:strRef>
              <c:f>Hoja1!$B$1</c:f>
              <c:strCache>
                <c:ptCount val="1"/>
                <c:pt idx="0">
                  <c:v>Componentes de climatización</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7757.56</c:v>
                </c:pt>
                <c:pt idx="1">
                  <c:v>7776.11</c:v>
                </c:pt>
                <c:pt idx="2">
                  <c:v>8455.95</c:v>
                </c:pt>
                <c:pt idx="3">
                  <c:v>9612.12</c:v>
                </c:pt>
                <c:pt idx="4">
                  <c:v>9837.72</c:v>
                </c:pt>
              </c:numCache>
            </c:numRef>
          </c:val>
        </c:ser>
        <c:ser>
          <c:idx val="1"/>
          <c:order val="1"/>
          <c:tx>
            <c:strRef>
              <c:f>Hoja1!$C$1</c:f>
              <c:strCache>
                <c:ptCount val="1"/>
                <c:pt idx="0">
                  <c:v>Equipos de refrigeración</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1492.83</c:v>
                </c:pt>
                <c:pt idx="1">
                  <c:v>1489.54</c:v>
                </c:pt>
                <c:pt idx="2">
                  <c:v>1646.38</c:v>
                </c:pt>
                <c:pt idx="3">
                  <c:v>1495.53</c:v>
                </c:pt>
                <c:pt idx="4">
                  <c:v>1162.96</c:v>
                </c:pt>
              </c:numCache>
            </c:numRef>
          </c:val>
        </c:ser>
        <c:ser>
          <c:idx val="2"/>
          <c:order val="2"/>
          <c:tx>
            <c:strRef>
              <c:f>Hoja1!$D$1</c:f>
              <c:strCache>
                <c:ptCount val="1"/>
                <c:pt idx="0">
                  <c:v>Gestión térmica del vehículo eléctrico</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51.25</c:v>
                </c:pt>
                <c:pt idx="1">
                  <c:v>199.89</c:v>
                </c:pt>
                <c:pt idx="2">
                  <c:v>472.82</c:v>
                </c:pt>
                <c:pt idx="3">
                  <c:v>811.65</c:v>
                </c:pt>
                <c:pt idx="4">
                  <c:v>1234.03</c:v>
                </c:pt>
              </c:numCache>
            </c:numRef>
          </c:val>
        </c:ser>
        <c:ser>
          <c:idx val="3"/>
          <c:order val="3"/>
          <c:tx>
            <c:strRef>
              <c:f>Hoja1!$E$1</c:f>
              <c:strCache>
                <c:ptCount val="1"/>
                <c:pt idx="0">
                  <c:v>Otros negocios</c:v>
                </c:pt>
              </c:strCache>
            </c:strRef>
          </c:tx>
          <c:spPr>
            <a:solidFill>
              <a:srgbClr val="EDA1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Hoja1!$E$2:$E$6</c:f>
              <c:numCache>
                <c:formatCode>#,##0</c:formatCode>
                <c:ptCount val="5"/>
                <c:pt idx="0">
                  <c:v>535.34</c:v>
                </c:pt>
                <c:pt idx="1">
                  <c:v>743.34</c:v>
                </c:pt>
                <c:pt idx="2">
                  <c:v>807.3</c:v>
                </c:pt>
                <c:pt idx="3">
                  <c:v>759.07</c:v>
                </c:pt>
                <c:pt idx="4">
                  <c:v>799.79</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Componentes de climatización</c:v>
                </c:pt>
                <c:pt idx="1">
                  <c:v>Equipos de refrigeración</c:v>
                </c:pt>
                <c:pt idx="2">
                  <c:v>Gestión térmica del vehículo eléctrico</c:v>
                </c:pt>
                <c:pt idx="3">
                  <c:v>Otros negocios</c:v>
                </c:pt>
              </c:strCache>
            </c:strRef>
          </c:cat>
          <c:val>
            <c:numRef>
              <c:f>Hoja1!$B$2:$B$5</c:f>
              <c:numCache>
                <c:formatCode>General</c:formatCode>
                <c:ptCount val="4"/>
                <c:pt idx="0">
                  <c:v>75.5</c:v>
                </c:pt>
                <c:pt idx="1">
                  <c:v>8.9</c:v>
                </c:pt>
                <c:pt idx="2">
                  <c:v>9.5</c:v>
                </c:pt>
                <c:pt idx="3">
                  <c:v>6.1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China</c:v>
                </c:pt>
                <c:pt idx="1">
                  <c:v>Fuera de China</c:v>
                </c:pt>
              </c:strCache>
            </c:strRef>
          </c:cat>
          <c:val>
            <c:numRef>
              <c:f>Hoja1!$B$2:$B$3</c:f>
              <c:numCache>
                <c:formatCode>0"%"</c:formatCode>
                <c:ptCount val="2"/>
                <c:pt idx="0">
                  <c:v>83.35</c:v>
                </c:pt>
                <c:pt idx="1">
                  <c:v>16.65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aparatos de aire acondicionado doméstico vendidos por fabricantes chinos (Chanye Online))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2023</c:v>
                </c:pt>
                <c:pt idx="1">
                  <c:v>2024</c:v>
                </c:pt>
                <c:pt idx="2">
                  <c:v>2025</c:v>
                </c:pt>
              </c:strCache>
            </c:strRef>
          </c:cat>
          <c:val>
            <c:numRef>
              <c:f>Hoja1!$B$2:$B$4</c:f>
              <c:numCache>
                <c:formatCode>#,##0</c:formatCode>
                <c:ptCount val="3"/>
                <c:pt idx="0">
                  <c:v>170.44</c:v>
                </c:pt>
                <c:pt idx="1">
                  <c:v>200.85</c:v>
                </c:pt>
                <c:pt idx="2">
                  <c:v>198.39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4</c:v>
                </c:pt>
                <c:pt idx="2">
                  <c:v>3</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DunAn</c:v>
                </c:pt>
                <c:pt idx="1">
                  <c:v>Zhejiang Sanhua Intelligent Controls</c:v>
                </c:pt>
                <c:pt idx="2">
                  <c:v>Zhejiang Yinlun Machinery</c:v>
                </c:pt>
                <c:pt idx="3">
                  <c:v>Nanjing Aotecar</c:v>
                </c:pt>
                <c:pt idx="4">
                  <c:v>Shanghai Songz Automobile Air Conditioning</c:v>
                </c:pt>
                <c:pt idx="5">
                  <c:v>Shenzhen Envicool</c:v>
                </c:pt>
                <c:pt idx="6">
                  <c:v>Hanon Systems</c:v>
                </c:pt>
                <c:pt idx="7">
                  <c:v>Saginomiya / Fujikoki / Danfoss (válvulas)</c:v>
                </c:pt>
              </c:strCache>
            </c:strRef>
          </c:cat>
          <c:val>
            <c:numRef>
              <c:f>Hoja1!$B$2:$B$9</c:f>
              <c:numCache>
                <c:formatCode>0.0"%"</c:formatCode>
                <c:ptCount val="8"/>
                <c:pt idx="0">
                  <c:v>8.9</c:v>
                </c:pt>
                <c:pt idx="1">
                  <c:v>16.1</c:v>
                </c:pt>
                <c:pt idx="2">
                  <c:v>8.6</c:v>
                </c:pt>
                <c:pt idx="3">
                  <c:v>3</c:v>
                </c:pt>
                <c:pt idx="4">
                  <c:v>5.8</c:v>
                </c:pt>
                <c:pt idx="5">
                  <c:v>10.3</c:v>
                </c:pt>
                <c:pt idx="6">
                  <c:v>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3</c:v>
                </c:pt>
                <c:pt idx="2">
                  <c:v>2</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(CNY,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Hoja1!$A$2:$A$12</c:f>
              <c:strCache>
                <c:ptCount val="11"/>
                <c:pt idx="0">
                  <c:v>2021</c:v>
                </c:pt>
                <c:pt idx="1">
                  <c:v>2022</c:v>
                </c:pt>
                <c:pt idx="2">
                  <c:v>2023</c:v>
                </c:pt>
                <c:pt idx="3">
                  <c:v>2024</c:v>
                </c:pt>
                <c:pt idx="4">
                  <c:v>2025</c:v>
                </c:pt>
                <c:pt idx="5">
                  <c:v>2026e</c:v>
                </c:pt>
                <c:pt idx="6">
                  <c:v>2027e</c:v>
                </c:pt>
                <c:pt idx="7">
                  <c:v>2028e</c:v>
                </c:pt>
                <c:pt idx="8">
                  <c:v>2029e</c:v>
                </c:pt>
                <c:pt idx="9">
                  <c:v>2030e</c:v>
                </c:pt>
                <c:pt idx="10">
                  <c:v>2031e</c:v>
                </c:pt>
              </c:strCache>
            </c:strRef>
          </c:cat>
          <c:val>
            <c:numRef>
              <c:f>Hoja1!$B$2:$B$12</c:f>
              <c:numCache>
                <c:formatCode>#,##0</c:formatCode>
                <c:ptCount val="11"/>
                <c:pt idx="0">
                  <c:v>9836.98</c:v>
                </c:pt>
                <c:pt idx="1">
                  <c:v>10208.89</c:v>
                </c:pt>
                <c:pt idx="2">
                  <c:v>11382.45</c:v>
                </c:pt>
                <c:pt idx="3">
                  <c:v>12678.36</c:v>
                </c:pt>
                <c:pt idx="4">
                  <c:v>13034.51</c:v>
                </c:pt>
                <c:pt idx="5">
                  <c:v>13817</c:v>
                </c:pt>
                <c:pt idx="6">
                  <c:v>14715</c:v>
                </c:pt>
                <c:pt idx="7">
                  <c:v>15671</c:v>
                </c:pt>
                <c:pt idx="8">
                  <c:v>16533</c:v>
                </c:pt>
                <c:pt idx="9">
                  <c:v>17277</c:v>
                </c:pt>
                <c:pt idx="10">
                  <c:v>17882</c:v>
                </c:pt>
              </c:numCache>
            </c:numRef>
          </c:val>
        </c:ser>
        <c:ser>
          <c:idx val="1"/>
          <c:order val="1"/>
          <c:tx>
            <c:strRef>
              <c:f>Hoja1!$C$1</c:f>
              <c:strCache>
                <c:ptCount val="1"/>
                <c:pt idx="0">
                  <c:v>EBITDA</c:v>
                </c:pt>
              </c:strCache>
            </c:strRef>
          </c:tx>
          <c:spPr>
            <a:solidFill>
              <a:srgbClr val="EB6834"/>
            </a:solidFill>
            <a:ln w="9525">
              <a:noFill/>
            </a:ln>
          </c:spPr>
          <c:invertIfNegative val="0"/>
          <c:cat>
            <c:strRef>
              <c:f>Hoja1!$A$2:$A$12</c:f>
              <c:strCache>
                <c:ptCount val="11"/>
                <c:pt idx="0">
                  <c:v>2021</c:v>
                </c:pt>
                <c:pt idx="1">
                  <c:v>2022</c:v>
                </c:pt>
                <c:pt idx="2">
                  <c:v>2023</c:v>
                </c:pt>
                <c:pt idx="3">
                  <c:v>2024</c:v>
                </c:pt>
                <c:pt idx="4">
                  <c:v>2025</c:v>
                </c:pt>
                <c:pt idx="5">
                  <c:v>2026e</c:v>
                </c:pt>
                <c:pt idx="6">
                  <c:v>2027e</c:v>
                </c:pt>
                <c:pt idx="7">
                  <c:v>2028e</c:v>
                </c:pt>
                <c:pt idx="8">
                  <c:v>2029e</c:v>
                </c:pt>
                <c:pt idx="9">
                  <c:v>2030e</c:v>
                </c:pt>
                <c:pt idx="10">
                  <c:v>2031e</c:v>
                </c:pt>
              </c:strCache>
            </c:strRef>
          </c:cat>
          <c:val>
            <c:numRef>
              <c:f>Hoja1!$C$2:$C$12</c:f>
              <c:numCache>
                <c:formatCode>#,##0</c:formatCode>
                <c:ptCount val="11"/>
                <c:pt idx="0">
                  <c:v>815.4</c:v>
                </c:pt>
                <c:pt idx="1">
                  <c:v>905.06</c:v>
                </c:pt>
                <c:pt idx="2">
                  <c:v>1223.39</c:v>
                </c:pt>
                <c:pt idx="3">
                  <c:v>1434.07</c:v>
                </c:pt>
                <c:pt idx="4">
                  <c:v>1414.07</c:v>
                </c:pt>
                <c:pt idx="5">
                  <c:v>1340</c:v>
                </c:pt>
                <c:pt idx="6">
                  <c:v>1501</c:v>
                </c:pt>
                <c:pt idx="7">
                  <c:v>1645</c:v>
                </c:pt>
                <c:pt idx="8">
                  <c:v>1753</c:v>
                </c:pt>
                <c:pt idx="9">
                  <c:v>1831</c:v>
                </c:pt>
                <c:pt idx="10">
                  <c:v>1895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16.3</c:v>
                </c:pt>
                <c:pt idx="1">
                  <c:v>16.9</c:v>
                </c:pt>
                <c:pt idx="2">
                  <c:v>19.2</c:v>
                </c:pt>
                <c:pt idx="3">
                  <c:v>18.2</c:v>
                </c:pt>
                <c:pt idx="4">
                  <c:v>18.5</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8.3</c:v>
                </c:pt>
                <c:pt idx="1">
                  <c:v>8.9</c:v>
                </c:pt>
                <c:pt idx="2">
                  <c:v>10.7</c:v>
                </c:pt>
                <c:pt idx="3">
                  <c:v>11.3</c:v>
                </c:pt>
                <c:pt idx="4">
                  <c:v>10.8</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6.1</c:v>
                </c:pt>
                <c:pt idx="1">
                  <c:v>6.5</c:v>
                </c:pt>
                <c:pt idx="2">
                  <c:v>8.5</c:v>
                </c:pt>
                <c:pt idx="3">
                  <c:v>9.2</c:v>
                </c:pt>
                <c:pt idx="4">
                  <c:v>8.9</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4.1</c:v>
                </c:pt>
                <c:pt idx="1">
                  <c:v>8.2</c:v>
                </c:pt>
                <c:pt idx="2">
                  <c:v>6.5</c:v>
                </c:pt>
                <c:pt idx="3">
                  <c:v>8.2</c:v>
                </c:pt>
                <c:pt idx="4">
                  <c:v>8.3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4.1</c:v>
                </c:pt>
                <c:pt idx="1">
                  <c:v>13.8</c:v>
                </c:pt>
                <c:pt idx="2">
                  <c:v>15</c:v>
                </c:pt>
                <c:pt idx="3">
                  <c:v>-0.3</c:v>
                </c:pt>
                <c:pt idx="4">
                  <c:v>0.1</c:v>
                </c:pt>
                <c:pt idx="5">
                  <c:v>-0.9</c:v>
                </c:pt>
                <c:pt idx="6">
                  <c:v>1.2</c:v>
                </c:pt>
                <c:pt idx="7">
                  <c:v>12.6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95</c:v>
                </c:pt>
                <c:pt idx="1">
                  <c:v>88</c:v>
                </c:pt>
                <c:pt idx="2">
                  <c:v>122</c:v>
                </c:pt>
                <c:pt idx="3">
                  <c:v>122</c:v>
                </c:pt>
                <c:pt idx="4">
                  <c:v>126</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65</c:v>
                </c:pt>
                <c:pt idx="1">
                  <c:v>54</c:v>
                </c:pt>
                <c:pt idx="2">
                  <c:v>51</c:v>
                </c:pt>
                <c:pt idx="3">
                  <c:v>58</c:v>
                </c:pt>
                <c:pt idx="4">
                  <c:v>46</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113</c:v>
                </c:pt>
                <c:pt idx="1">
                  <c:v>105</c:v>
                </c:pt>
                <c:pt idx="2">
                  <c:v>133</c:v>
                </c:pt>
                <c:pt idx="3">
                  <c:v>137</c:v>
                </c:pt>
                <c:pt idx="4">
                  <c:v>121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(CNY,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128.15999999999997</c:v>
                </c:pt>
                <c:pt idx="1">
                  <c:v>960.67</c:v>
                </c:pt>
                <c:pt idx="2">
                  <c:v>235.61999999999995</c:v>
                </c:pt>
                <c:pt idx="3">
                  <c:v>598.26</c:v>
                </c:pt>
                <c:pt idx="4">
                  <c:v>986.32</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405.36</c:v>
                </c:pt>
                <c:pt idx="1">
                  <c:v>833.98</c:v>
                </c:pt>
                <c:pt idx="2">
                  <c:v>738.04</c:v>
                </c:pt>
                <c:pt idx="3">
                  <c:v>1044.89</c:v>
                </c:pt>
                <c:pt idx="4">
                  <c:v>1077.93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16.8</c:v>
                </c:pt>
                <c:pt idx="1">
                  <c:v>18.6</c:v>
                </c:pt>
                <c:pt idx="2">
                  <c:v>26</c:v>
                </c:pt>
                <c:pt idx="3">
                  <c:v>29.9</c:v>
                </c:pt>
                <c:pt idx="4">
                  <c:v>26.7</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8.5</c:v>
                </c:pt>
                <c:pt idx="1">
                  <c:v>8.5</c:v>
                </c:pt>
                <c:pt idx="2">
                  <c:v>8.5</c:v>
                </c:pt>
                <c:pt idx="3">
                  <c:v>8.5</c:v>
                </c:pt>
                <c:pt idx="4">
                  <c:v>8.5</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23.4</c:v>
                </c:pt>
                <c:pt idx="1">
                  <c:v>31</c:v>
                </c:pt>
                <c:pt idx="2">
                  <c:v>18.3</c:v>
                </c:pt>
                <c:pt idx="3">
                  <c:v>21.1</c:v>
                </c:pt>
                <c:pt idx="4">
                  <c:v>17.7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1.89</c:v>
                </c:pt>
                <c:pt idx="1">
                  <c:v>-0.38</c:v>
                </c:pt>
                <c:pt idx="2">
                  <c:v>-0.98</c:v>
                </c:pt>
                <c:pt idx="3">
                  <c:v>-1.23</c:v>
                </c:pt>
                <c:pt idx="4">
                  <c:v>-1.94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(CNY,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2026</c:v>
                </c:pt>
                <c:pt idx="1">
                  <c:v>2027+</c:v>
                </c:pt>
              </c:strCache>
            </c:strRef>
          </c:cat>
          <c:val>
            <c:numRef>
              <c:f>Hoja1!$B$2:$B$3</c:f>
              <c:numCache>
                <c:formatCode>#,##0</c:formatCode>
                <c:ptCount val="2"/>
                <c:pt idx="0">
                  <c:v>234.9</c:v>
                </c:pt>
                <c:pt idx="1">
                  <c:v>484.5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(CNY,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0</c:v>
                </c:pt>
                <c:pt idx="1">
                  <c:v>0</c:v>
                </c:pt>
                <c:pt idx="2">
                  <c:v>0</c:v>
                </c:pt>
                <c:pt idx="3">
                  <c:v>109.4</c:v>
                </c:pt>
                <c:pt idx="4">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0</c:v>
                </c:pt>
                <c:pt idx="1">
                  <c:v>0</c:v>
                </c:pt>
                <c:pt idx="2">
                  <c:v>0</c:v>
                </c:pt>
                <c:pt idx="3">
                  <c:v>0</c:v>
                </c:pt>
                <c:pt idx="4">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0</c:v>
                </c:pt>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Dominical</c:v>
                </c:pt>
                <c:pt idx="1">
                  <c:v>Ejecutivo</c:v>
                </c:pt>
                <c:pt idx="2">
                  <c:v>Otro externo</c:v>
                </c:pt>
                <c:pt idx="3">
                  <c:v>Independiente</c:v>
                </c:pt>
              </c:strCache>
            </c:strRef>
          </c:cat>
          <c:val>
            <c:numRef>
              <c:f>Hoja1!$B$2:$B$5</c:f>
              <c:numCache>
                <c:formatCode>0</c:formatCode>
                <c:ptCount val="4"/>
                <c:pt idx="0">
                  <c:v>2</c:v>
                </c:pt>
                <c:pt idx="1">
                  <c:v>3</c:v>
                </c:pt>
                <c:pt idx="2">
                  <c:v>1</c:v>
                </c:pt>
                <c:pt idx="3">
                  <c:v>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Gree Electric Appliances (珠海格力电器)</c:v>
                </c:pt>
                <c:pt idx="1">
                  <c:v>Zijin Mining Investment (Shanghai) (紫金矿业投资)</c:v>
                </c:pt>
                <c:pt idx="2">
                  <c:v>Fondos de Orient Securities Asset Management (东方红)</c:v>
                </c:pt>
                <c:pt idx="3">
                  <c:v>Hong Kong Securities Clearing (Stock Connect)</c:v>
                </c:pt>
                <c:pt idx="4">
                  <c:v>Consejeros y directivos</c:v>
                </c:pt>
              </c:strCache>
            </c:strRef>
          </c:cat>
          <c:val>
            <c:numRef>
              <c:f>Hoja1!$B$2:$B$6</c:f>
              <c:numCache>
                <c:formatCode>0.0"%"</c:formatCode>
                <c:ptCount val="5"/>
                <c:pt idx="0">
                  <c:v>38.13</c:v>
                </c:pt>
                <c:pt idx="1">
                  <c:v>6.32</c:v>
                </c:pt>
                <c:pt idx="2">
                  <c:v>2.44</c:v>
                </c:pt>
                <c:pt idx="3">
                  <c:v>0.72</c:v>
                </c:pt>
                <c:pt idx="4">
                  <c:v>0.26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c:formatCode>
                <c:ptCount val="9"/>
                <c:pt idx="0">
                  <c:v>-14.9</c:v>
                </c:pt>
                <c:pt idx="1">
                  <c:v>-47.4</c:v>
                </c:pt>
                <c:pt idx="2">
                  <c:v>14.7</c:v>
                </c:pt>
                <c:pt idx="3">
                  <c:v>-18.6</c:v>
                </c:pt>
                <c:pt idx="4">
                  <c:v>246.8</c:v>
                </c:pt>
                <c:pt idx="5">
                  <c:v>-4.2</c:v>
                </c:pt>
                <c:pt idx="6">
                  <c:v>4.7</c:v>
                </c:pt>
                <c:pt idx="7">
                  <c:v>-21.4</c:v>
                </c:pt>
                <c:pt idx="8">
                  <c:v>17.3</c:v>
                </c:pt>
              </c:numCache>
            </c:numRef>
          </c:val>
        </c:ser>
        <c:ser>
          <c:idx val="1"/>
          <c:order val="1"/>
          <c:tx>
            <c:strRef>
              <c:f>Hoja1!$C$1</c:f>
              <c:strCache>
                <c:ptCount val="1"/>
                <c:pt idx="0">
                  <c:v>Índice</c:v>
                </c:pt>
              </c:strCache>
            </c:strRef>
          </c:tx>
          <c:spPr>
            <a:solidFill>
              <a:srgbClr val="EB6834"/>
            </a:solidFill>
            <a:ln w="9525">
              <a:no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Hoja1!$C$2:$C$10</c:f>
              <c:numCache>
                <c:formatCode>0"%"</c:formatCode>
                <c:ptCount val="9"/>
                <c:pt idx="0">
                  <c:v>23.4</c:v>
                </c:pt>
                <c:pt idx="1">
                  <c:v>-24.2</c:v>
                </c:pt>
                <c:pt idx="2">
                  <c:v>38.6</c:v>
                </c:pt>
                <c:pt idx="3">
                  <c:v>29.1</c:v>
                </c:pt>
                <c:pt idx="4">
                  <c:v>-4</c:v>
                </c:pt>
                <c:pt idx="5">
                  <c:v>-20.1</c:v>
                </c:pt>
                <c:pt idx="6">
                  <c:v>-9.8</c:v>
                </c:pt>
                <c:pt idx="7">
                  <c:v>17.4</c:v>
                </c:pt>
                <c:pt idx="8">
                  <c:v>20.8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17.2</c:v>
                </c:pt>
                <c:pt idx="1">
                  <c:v>12.8</c:v>
                </c:pt>
                <c:pt idx="2">
                  <c:v>10.8</c:v>
                </c:pt>
                <c:pt idx="3">
                  <c:v>6.7</c:v>
                </c:pt>
                <c:pt idx="4">
                  <c:v>7.5</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10.8</c:v>
                </c:pt>
                <c:pt idx="1">
                  <c:v>10.8</c:v>
                </c:pt>
                <c:pt idx="2">
                  <c:v>10.8</c:v>
                </c:pt>
                <c:pt idx="3">
                  <c:v>10.8</c:v>
                </c:pt>
                <c:pt idx="4">
                  <c:v>10.8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(CNY,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2026e</c:v>
                </c:pt>
                <c:pt idx="1">
                  <c:v>2027e</c:v>
                </c:pt>
                <c:pt idx="2">
                  <c:v>2028e</c:v>
                </c:pt>
                <c:pt idx="3">
                  <c:v>2029e</c:v>
                </c:pt>
                <c:pt idx="4">
                  <c:v>2030e</c:v>
                </c:pt>
                <c:pt idx="5">
                  <c:v>2031e</c:v>
                </c:pt>
              </c:strCache>
            </c:strRef>
          </c:cat>
          <c:val>
            <c:numRef>
              <c:f>Hoja1!$B$2:$B$7</c:f>
              <c:numCache>
                <c:formatCode>#,##0</c:formatCode>
                <c:ptCount val="6"/>
                <c:pt idx="0">
                  <c:v>527</c:v>
                </c:pt>
                <c:pt idx="1">
                  <c:v>667</c:v>
                </c:pt>
                <c:pt idx="2">
                  <c:v>816</c:v>
                </c:pt>
                <c:pt idx="3">
                  <c:v>964</c:v>
                </c:pt>
                <c:pt idx="4">
                  <c:v>1072</c:v>
                </c:pt>
                <c:pt idx="5">
                  <c:v>1159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(CNY,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3795</c:v>
                </c:pt>
                <c:pt idx="1">
                  <c:v>10130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(CNY) · precio actual 10,75</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10.4</c:v>
                </c:pt>
                <c:pt idx="1">
                  <c:v>15.97</c:v>
                </c:pt>
                <c:pt idx="2">
                  <c:v>18.52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(CNY) · precio actual 10,75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(9,73 – 14,98)</c:v>
                </c:pt>
                <c:pt idx="1">
                  <c:v>Precio objetivo de los analistas (13,95 – 14,55)</c:v>
                </c:pt>
                <c:pt idx="2">
                  <c:v>Comparables: PER NTM (19,05 – 41,46)</c:v>
                </c:pt>
                <c:pt idx="3">
                  <c:v>DCF (WACC y g ± 0,5) (14,58 – 17,77)</c:v>
                </c:pt>
                <c:pt idx="4">
                  <c:v>Escenarios (bajista – alcista) (10,40 – 18,52)</c:v>
                </c:pt>
                <c:pt idx="5">
                  <c:v>DCF con la prima implícita del mercado (4,2 %)</c:v>
                </c:pt>
                <c:pt idx="6">
                  <c:v>Precio actual (10,75)</c:v>
                </c:pt>
              </c:strCache>
            </c:strRef>
          </c:cat>
          <c:val>
            <c:numRef>
              <c:f>Hoja1!$B$2:$B$8</c:f>
              <c:numCache>
                <c:formatCode>#,##0.0</c:formatCode>
                <c:ptCount val="7"/>
                <c:pt idx="0">
                  <c:v>9.73</c:v>
                </c:pt>
                <c:pt idx="1">
                  <c:v>13.95</c:v>
                </c:pt>
                <c:pt idx="2">
                  <c:v>19.05</c:v>
                </c:pt>
                <c:pt idx="3">
                  <c:v>14.58</c:v>
                </c:pt>
                <c:pt idx="4">
                  <c:v>10.4</c:v>
                </c:pt>
                <c:pt idx="5">
                  <c:v>17.53</c:v>
                </c:pt>
                <c:pt idx="6">
                  <c:v>10.7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(9,73 – 14,98)</c:v>
                </c:pt>
                <c:pt idx="1">
                  <c:v>Precio objetivo de los analistas (13,95 – 14,55)</c:v>
                </c:pt>
                <c:pt idx="2">
                  <c:v>Comparables: PER NTM (19,05 – 41,46)</c:v>
                </c:pt>
                <c:pt idx="3">
                  <c:v>DCF (WACC y g ± 0,5) (14,58 – 17,77)</c:v>
                </c:pt>
                <c:pt idx="4">
                  <c:v>Escenarios (bajista – alcista) (10,40 – 18,52)</c:v>
                </c:pt>
                <c:pt idx="5">
                  <c:v>DCF con la prima implícita del mercado (4,2 %)</c:v>
                </c:pt>
                <c:pt idx="6">
                  <c:v>Precio actual (10,75)</c:v>
                </c:pt>
              </c:strCache>
            </c:strRef>
          </c:cat>
          <c:val>
            <c:numRef>
              <c:f>Hoja1!$C$2:$C$8</c:f>
              <c:numCache>
                <c:formatCode>#,##0.0</c:formatCode>
                <c:ptCount val="7"/>
                <c:pt idx="0">
                  <c:v>5.25</c:v>
                </c:pt>
                <c:pt idx="1">
                  <c:v>0.6000000000000014</c:v>
                </c:pt>
                <c:pt idx="2">
                  <c:v>22.41</c:v>
                </c:pt>
                <c:pt idx="3">
                  <c:v>3.1899999999999995</c:v>
                </c:pt>
                <c:pt idx="4">
                  <c:v>8.12</c:v>
                </c:pt>
                <c:pt idx="5">
                  <c:v>2.629999999999999</c:v>
                </c:pt>
                <c:pt idx="6">
                  <c:v>0.10000000000000142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