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Electrical Industries Company</w:t>
      </w:r>
    </w:p>
    <w:p>
      <w:pPr>
        <w:spacing w:after="60"/>
        <w:rPr>
          <w:color w:val="52514E"/>
          <w:sz w:val="22"/>
          <w:szCs w:val="22"/>
        </w:rPr>
      </w:pPr>
      <w:r>
        <w:rPr>
          <w:color w:val="52514E"/>
          <w:sz w:val="22"/>
          <w:szCs w:val="22"/>
        </w:rPr>
        <w:t xml:space="preserve">1303.SR · Saudi Exchange (Tadawul), mercado principal; cotiza de domingo a jueves · ISIN SA13LG50KBH9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11,99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10,84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-7,5 % (base -3,8 %)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8,67 SAR · mercado 9,58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13.450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Electrical Industries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1303.SR / SA13LG50KBH9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 mercado principal; cotiza de domingo a jueves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(rentabilidades con el ETF iShares MSCI Saudi Arabia, KSA)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(transformadores y aparamenta)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Dammam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https://www.eic.com.sa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11,99 (18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 – 19,90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13.450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13.680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 M SAR/día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10,84 SAR</w:t>
      </w:r>
      <w:r>
        <w:t xml:space="preserve"> frente a 11,99 · Rentabilidad a 12 meses </w:t>
      </w:r>
      <w:r>
        <w:rPr>
          <w:b/>
          <w:bCs/>
        </w:rPr>
        <w:t xml:space="preserve">-7,5 % (base -3,8 %)</w:t>
      </w:r>
      <w:r>
        <w:t xml:space="preserve"> · Valor intrínseco 8,67 SAR · con la prima implícita del mercado: 9,58 (-20,1 %) · Alcista / bajista -31,9 % / -66,8 %</w:t>
      </w:r>
    </w:p>
    <w:p>
      <w:pPr>
        <w:spacing w:after="100"/>
      </w:pPr>
      <w:r>
        <w:rPr>
          <w:b/>
        </w:rPr>
        <w:t xml:space="preserve">La recomendación y por qué.</w:t>
      </w:r>
      <w:r>
        <w:t xml:space="preserve"> Mantener, con convicción baja. El objetivo a 12 meses es de 10,84 SAR (ponderado) y 11,28 SAR en el caso base, frente a un precio de 11,99 SAR: la rentabilidad a 12 meses, con el dividendo ordinario, es del -7,5 % ponderada y del -3,8 % en el base, cerca del umbral de venta (−10 %, que se cruza por encima de 12,32 SAR). El valor intrínseco (8,67 SAR, -27,7 %) dice vender: el DCF descuenta que el margen vuelve desde el pico. La convicción es baja porque las dos medidas se separan mucho: a un año el mercado puede seguir pagando el beneficio del pico; a varios años, el precio pide un margen del 42 % para siempre. Solo compraríamos por debajo de 8,67 SAR.</w:t>
      </w:r>
    </w:p>
    <w:p>
      <w:pPr>
        <w:spacing w:after="100"/>
      </w:pPr>
      <w:r>
        <w:rPr>
          <w:b/>
        </w:rPr>
        <w:t xml:space="preserve">El negocio.</w:t>
      </w:r>
      <w:r>
        <w:t xml:space="preserve"> EIC es el primer fabricante saudí de transformadores y el único que diseña y fabrica los de alta tensión; vende el 89,5 % en el Reino, con Saudi Electricity como primer cliente (16 %) [1, 11]. Su ROIC del 70,0 % en 2025 frente a un WACC del 12,37 % es de pico de ciclo: en 2021 era del 7 %. La sostenibilidad del crecimiento es «Sí»: crecer un 7,4 % anual en 2027-2031e pide poca inversión y el plan de SEC lo cubre; el problema es el margen, no el volumen.</w:t>
      </w:r>
    </w:p>
    <w:p>
      <w:pPr>
        <w:spacing w:after="100"/>
      </w:pPr>
      <w:r>
        <w:rPr>
          <w:b/>
        </w:rPr>
        <w:t xml:space="preserve">Sector y ciclo.</w:t>
      </w:r>
      <w:r>
        <w:t xml:space="preserve"> Fase alta de un ciclo excepcional: la escasez mundial de transformadores y el plan de SEC (220.000 M SAR en 2025-2030) han llevado el margen EBITDA del 13 % al 31 % en cuatro años [1, 18]. La cartera de pedidos solo creció un 3 % en 2025 y Voltamp construye fábrica en el Reino [11, 20].</w:t>
      </w:r>
    </w:p>
    <w:p>
      <w:pPr>
        <w:spacing w:after="100"/>
      </w:pPr>
      <w:r>
        <w:rPr>
          <w:b/>
        </w:rPr>
        <w:t xml:space="preserve">Finanzas.</w:t>
      </w:r>
      <w:r>
        <w:t xml:space="preserve"> Ventas de 771 a 2.296 M SAR en 2021-2025 y 2.628 M en los últimos doce meses; beneficio de 49 a 630 M; deuda casi nula. Cuentas de KPMG sin salvedades; el riesgo es el circulante (1.709 M de existencias y clientes) [1, 6].</w:t>
      </w:r>
    </w:p>
    <w:p>
      <w:pPr>
        <w:spacing w:after="100"/>
      </w:pPr>
      <w:r>
        <w:rPr>
          <w:b/>
        </w:rPr>
        <w:t xml:space="preserve">Equipo y gobierno.</w:t>
      </w:r>
      <w:r>
        <w:t xml:space="preserve"> Sin accionista de control: la familia fundadora (Adja) ha bajado del 28 % al 15 % y directivos y familias de consejeros venden [24]. Ni los Al-Muhaidib ni los Zamil son accionistas significativos; los extranjeros tienen el 18,96 % (máximo del 46 %).</w:t>
      </w:r>
    </w:p>
    <w:p>
      <w:pPr>
        <w:spacing w:after="100"/>
      </w:pPr>
      <w:r>
        <w:rPr>
          <w:b/>
        </w:rPr>
        <w:t xml:space="preserve">Valoración.</w:t>
      </w:r>
      <w:r>
        <w:t xml:space="preserve"> DCF de 6,47 SAR con un WACC del 12,37 % (Treasury más diferencial soberano y prima de país). El precio cotiza a 14,3 veces el beneficio de los próximos doce meses, por debajo de los fabricantes coreanos y taiwaneses (mediana de 21), pero descuenta un margen del 41,8 % a perpetuidad. Nuestro BPA de 2028e (0,80) queda un 27 % por debajo del único analista con estimaciones (1,09) porque bajamos el margen; su objetivo (15,50 SAR) queda fuera de nuestro rango de valor intrínseco (3,98-8,17 SAR) y dentro del rango a 12 meses (2,65-18,15 SAR) [29].</w:t>
      </w:r>
    </w:p>
    <w:p>
      <w:pPr>
        <w:spacing w:after="100"/>
      </w:pPr>
      <w:r>
        <w:rPr>
          <w:b/>
        </w:rPr>
        <w:t xml:space="preserve">Riesgos y catalizadores.</w:t>
      </w:r>
      <w:r>
        <w:t xml:space="preserve"> El riesgo dominante es el fin de la escasez (bajista de 3,98 SAR en el DCF); le siguen un recorte del plan de SEC y la capacidad nueva en el Reino. Catalizador: resultados del 3T26 hacia el 22-oct. La acción ha caído un 36,8 % en seis meses sin noticias propias (regla 13: no cambia).</w:t>
      </w:r>
    </w:p>
    <w:p>
      <w:pPr>
        <w:spacing w:after="100"/>
      </w:pPr>
      <w:r>
        <w:rPr>
          <w:b/>
        </w:rPr>
        <w:t xml:space="preserve">Qué cambiaría la decisión.</w:t>
      </w:r>
      <w:r>
        <w:t xml:space="preserve"> Compraríamos por debajo de 8,67 SAR y venderíamos por encima de 12,32 SAR. Mejoraría la tesis una cartera de pedidos que vuelva a crecer con márgenes estables; la empeoraría un margen bruto trimestral por debajo del 33 %.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10,84 SAR</w:t>
      </w:r>
      <w:r>
        <w:t xml:space="preserve"> (rentabilidad -7,5 % (base -3,8 %)) · Valor intrínseco: 8,67 SAR (-27,7 % sobre 11,99) · con la prima implícita del mercado: 9,58 (-20,1 %)</w:t>
      </w:r>
    </w:p>
    <w:p>
      <w:pPr>
        <w:spacing w:after="100"/>
      </w:pPr>
      <w:r>
        <w:t xml:space="preserve">EIC es el único fabricante saudí de transformadores de alta tensión y el primero del Reino en distribución, con Saudi Electricity y Aramco como clientes [11]. La escasez mundial de transformadores y el plan de inversión de SEC triplicaron sus ventas en 2021-2025 y llevaron el margen EBITDA del 13 % al 31 %; con deuda casi nula, reparte casi todo el beneficio [1].</w:t>
      </w:r>
    </w:p>
    <w:p>
      <w:pPr>
        <w:spacing w:after="100"/>
      </w:pPr>
      <w:r>
        <w:t xml:space="preserve">El precio (11,99 SAR) ya ha caído un 37 % desde abril, pero aún descuenta que el margen del pico sea permanente: el DCF da 6,47 SAR. A 12 meses, con el PER histórico adelantado y nuestro BPA, el objetivo es de 10,84 SAR: no hay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 × 0,51 = 2,65 · 14,1x × 0,80 = 11,28 · 19,1x × 0,95 = 18,15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15,50 (nuestro base -27,2 %)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 -66,8 %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12,4 % y 10,9 %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(10,3 % anual proyectado; financiable al ROIC actual: 14,2 %)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8,67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8,67 y 12,32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12,32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8,67 SAR: pasaría a Comprar (ponderada a 12 meses ≥ 15 %).</w:t>
      </w:r>
    </w:p>
    <w:p>
      <w:pPr>
        <w:pStyle w:val="ListParagraph"/>
        <w:numPr>
          <w:ilvl w:val="0"/>
          <w:numId w:val="2"/>
        </w:numPr>
        <w:spacing w:after="60"/>
      </w:pPr>
      <w:r>
        <w:t xml:space="preserve">Precio por encima de 12,32 SAR: pasaría a Vender (ponderada ≤ −10 %).</w:t>
      </w:r>
    </w:p>
    <w:p>
      <w:pPr>
        <w:pStyle w:val="ListParagraph"/>
        <w:numPr>
          <w:ilvl w:val="0"/>
          <w:numId w:val="2"/>
        </w:numPr>
        <w:spacing w:after="60"/>
      </w:pPr>
      <w:r>
        <w:t xml:space="preserve">Margen bruto trimestral por debajo del 33 %: bajaríamos el caso base.</w:t>
      </w:r>
    </w:p>
    <w:p>
      <w:pPr>
        <w:pStyle w:val="ListParagraph"/>
        <w:numPr>
          <w:ilvl w:val="0"/>
          <w:numId w:val="2"/>
        </w:numPr>
        <w:spacing w:after="60"/>
      </w:pPr>
      <w:r>
        <w:t xml:space="preserve">Cartera de pedidos a fin de 2026 por encima de 4.000 M SAR con márgenes estables: subiríamos el base.</w:t>
      </w:r>
    </w:p>
    <w:p>
      <w:pPr>
        <w:pStyle w:val="ListParagraph"/>
        <w:numPr>
          <w:ilvl w:val="0"/>
          <w:numId w:val="2"/>
        </w:numPr>
        <w:spacing w:after="60"/>
      </w:pPr>
      <w:r>
        <w:t xml:space="preserve">Recorte del plan de inversión de SEC: bajaríamos el volumen de 2027-2030e.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del 31-32 % se mantiene y aún sube: el precio descuenta un margen terminal del 41,8 % con nuestro WACC. El único analista espera un 36 % en 2028e y pone un objetivo de 15,50 SAR [28, 29].</w:t>
      </w:r>
    </w:p>
    <w:p>
      <w:pPr>
        <w:keepNext/>
        <w:spacing w:after="100"/>
      </w:pPr>
      <w:r>
        <w:rPr>
          <w:b/>
          <w:bCs/>
        </w:rPr>
        <w:t xml:space="preserve">Lo que creemos nosotros.</w:t>
      </w:r>
    </w:p>
    <w:p>
      <w:pPr>
        <w:spacing w:after="100"/>
      </w:pPr>
      <w:r>
        <w:t xml:space="preserve">El volumen está asegurado por el plan de SEC hasta 2030, pero el margen es de ciclo: volverá hacia el 24-25 % cuando la capacidad nueva (Voltamp, fabricantes extranjeros en el Reino) llegue a los concursos de SEC.</w:t>
      </w:r>
    </w:p>
    <w:p>
      <w:pPr>
        <w:keepNext/>
        <w:spacing w:after="100"/>
      </w:pPr>
      <w:r>
        <w:rPr>
          <w:b/>
          <w:bCs/>
        </w:rPr>
        <w:t xml:space="preserve">Por qué podemos tener razón.</w:t>
      </w:r>
    </w:p>
    <w:p>
      <w:pPr>
        <w:spacing w:after="100"/>
      </w:pPr>
      <w:r>
        <w:t xml:space="preserve">La historia propia (margen del 13-19 % en 2021-2023, cuatro años de caídas en 2016-2019), la cartera estancada en 2025 (+3 %) y las ventas de la familia fundadora y de los directivos [1, 11, 24].</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11,9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Único fabricante saudí de transformadores de alta tensión</w:t>
      </w:r>
      <w:r>
        <w:t xml:space="preserve">, con contenido local que puntúa en los concursos [11].</w:t>
      </w:r>
    </w:p>
    <w:p>
      <w:pPr>
        <w:pStyle w:val="ListParagraph"/>
        <w:numPr>
          <w:ilvl w:val="0"/>
          <w:numId w:val="2"/>
        </w:numPr>
        <w:spacing w:after="60"/>
      </w:pPr>
      <w:r>
        <w:rPr>
          <w:b/>
        </w:rPr>
        <w:t xml:space="preserve">Plan de SEC de 220.000 M SAR</w:t>
      </w:r>
      <w:r>
        <w:t xml:space="preserve"> en 2025-2030 y 39.000 M invertidos en el 1S26 [18, 19].</w:t>
      </w:r>
    </w:p>
    <w:p>
      <w:pPr>
        <w:pStyle w:val="ListParagraph"/>
        <w:numPr>
          <w:ilvl w:val="0"/>
          <w:numId w:val="2"/>
        </w:numPr>
        <w:spacing w:after="60"/>
      </w:pPr>
      <w:r>
        <w:rPr>
          <w:b/>
        </w:rPr>
        <w:t xml:space="preserve">Margen EBITDA del 31 %</w:t>
      </w:r>
      <w:r>
        <w:t xml:space="preserve"> y ROIC del 70 % en 2025, con deuda casi nula [1].</w:t>
      </w:r>
    </w:p>
    <w:p>
      <w:pPr>
        <w:pStyle w:val="ListParagraph"/>
        <w:numPr>
          <w:ilvl w:val="0"/>
          <w:numId w:val="2"/>
        </w:numPr>
        <w:spacing w:after="60"/>
      </w:pPr>
      <w:r>
        <w:rPr>
          <w:b/>
        </w:rPr>
        <w:t xml:space="preserve">Beneficio del 2T26 +55 %</w:t>
      </w:r>
      <w:r>
        <w:t xml:space="preserve"> y ventas del 1S26 +32 % [6, 13].</w:t>
      </w:r>
    </w:p>
    <w:p>
      <w:pPr>
        <w:pStyle w:val="ListParagraph"/>
        <w:numPr>
          <w:ilvl w:val="0"/>
          <w:numId w:val="2"/>
        </w:numPr>
        <w:spacing w:after="60"/>
      </w:pPr>
      <w:r>
        <w:rPr>
          <w:b/>
        </w:rPr>
        <w:t xml:space="preserve">Dividendo</w:t>
      </w:r>
      <w:r>
        <w:t xml:space="preserve">: 0,25 SAR ordinarios al año y 0,25 extraordinarios en 2025 [11].</w:t>
      </w:r>
    </w:p>
    <w:p>
      <w:pPr>
        <w:pStyle w:val="Heading2"/>
      </w:pPr>
      <w:r>
        <w:t xml:space="preserve">En contra</w:t>
      </w:r>
    </w:p>
    <w:p>
      <w:pPr>
        <w:pStyle w:val="ListParagraph"/>
        <w:numPr>
          <w:ilvl w:val="0"/>
          <w:numId w:val="2"/>
        </w:numPr>
        <w:spacing w:after="60"/>
      </w:pPr>
      <w:r>
        <w:rPr>
          <w:b/>
        </w:rPr>
        <w:t xml:space="preserve">Margen de pico de ciclo</w:t>
      </w:r>
      <w:r>
        <w:t xml:space="preserve">: 13 % en 2021, 31 % en 2025 [1].</w:t>
      </w:r>
    </w:p>
    <w:p>
      <w:pPr>
        <w:pStyle w:val="ListParagraph"/>
        <w:numPr>
          <w:ilvl w:val="0"/>
          <w:numId w:val="2"/>
        </w:numPr>
        <w:spacing w:after="60"/>
      </w:pPr>
      <w:r>
        <w:rPr>
          <w:b/>
        </w:rPr>
        <w:t xml:space="preserve">Cartera estancada</w:t>
      </w:r>
      <w:r>
        <w:t xml:space="preserve">: +3 % en 2025 con ventas +16 % [11].</w:t>
      </w:r>
    </w:p>
    <w:p>
      <w:pPr>
        <w:pStyle w:val="ListParagraph"/>
        <w:numPr>
          <w:ilvl w:val="0"/>
          <w:numId w:val="2"/>
        </w:numPr>
        <w:spacing w:after="60"/>
      </w:pPr>
      <w:r>
        <w:rPr>
          <w:b/>
        </w:rPr>
        <w:t xml:space="preserve">Capacidad nueva</w:t>
      </w:r>
      <w:r>
        <w:t xml:space="preserve"> en el Reino (Voltamp) y fabricantes extranjeros localizados [20].</w:t>
      </w:r>
    </w:p>
    <w:p>
      <w:pPr>
        <w:pStyle w:val="ListParagraph"/>
        <w:numPr>
          <w:ilvl w:val="0"/>
          <w:numId w:val="2"/>
        </w:numPr>
        <w:spacing w:after="60"/>
      </w:pPr>
      <w:r>
        <w:rPr>
          <w:b/>
        </w:rPr>
        <w:t xml:space="preserve">Un gran cliente</w:t>
      </w:r>
      <w:r>
        <w:t xml:space="preserve"> que adjudica por concurso (SEC, 16 % de las ventas) [1].</w:t>
      </w:r>
    </w:p>
    <w:p>
      <w:pPr>
        <w:pStyle w:val="ListParagraph"/>
        <w:numPr>
          <w:ilvl w:val="0"/>
          <w:numId w:val="2"/>
        </w:numPr>
        <w:spacing w:after="60"/>
      </w:pPr>
      <w:r>
        <w:rPr>
          <w:b/>
        </w:rPr>
        <w:t xml:space="preserve">Ventas de la familia fundadora</w:t>
      </w:r>
      <w:r>
        <w:t xml:space="preserve"> (28 % → 15 %) y de directivos [24].</w:t>
      </w:r>
    </w:p>
    <w:p>
      <w:pPr>
        <w:pStyle w:val="Heading2"/>
      </w:pPr>
      <w:r>
        <w:t xml:space="preserve">Qué tiene que pasar para que la tesis funcione</w:t>
      </w:r>
    </w:p>
    <w:p>
      <w:pPr>
        <w:spacing w:after="100"/>
      </w:pPr>
      <w:r>
        <w:t xml:space="preserve">La tesis depende del margen. La señal está en el margen bruto trimestral (37,8 % en el 1S26) y en la cartera de pedidos del informe anual: si el margen baja del 33 % con la cartera estancada, el pico ha pasado; si la cartera vuelve a crecer con márgenes de más del 35 %, nos equivocamos con el ciclo.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escasez o precio de los concursos.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M SAR (fin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3.000 M SAR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futuras.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M SAR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 SAR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nuevos y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SEC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 M SAR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del primer cliente.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708,6 M SAR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síntoma del fin del ciclo.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 / 13,0x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 14,3x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El grupo nace en 1976 como Wescosa, empresa conjunta de Westinghouse y la familia Al-Quraishi para suministrar equipos eléctricos al Reino; en 1978 empieza a fabricar transformadores de distribución con Saudi Transformers y en 1996 los de potencia [15]. Electrical Industries Company se crea en 2005 como cabecera, y en 2010 nace Saudi Power Transformers con la belga CG Power Systems, que pasa al 100 % en 2016 [15]. En 2021 compra el conocimiento y las patentes de Pauwels (Bélgica) y reabre su fábrica de Malinas. El salto llega con el ciclo de inversión en redes de Saudi Electricity y la escasez mundial de transformadores: ventas de 771 M SAR en 2021 y 2.296 M en 2025, con el beneficio multiplicado por 13 [1, 5]. La familia Al-Quraishi (Adja) sigue como primer accionista con el 15 %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Wahah Electric Supply Co. (Wescosa), empresa conjunta de Westinghouse y Ali Zaid Al Quraishi &amp; Bros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Saudi Transformers Company empieza a fabricar transformadores de distribución (4-6 al día)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Pauwels International entra como socio industrial de Saudi Transformers; la familia Al Quraishi compra después la parte de Westinghouse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Wescosa empieza a fabricar transformadores de potencia para generación y petróleo y gas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Electrical Industries Company como cabecera de Saudi Transformers y Wescosa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Saudi Power Transformers Co. con CG Power Systems Belgium; pasa al 100 % de EIC en 2016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los activos, el conocimiento y las patentes de CG Power Systems Belgium y reabre Pauwels en Malinas (abril)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Aprueba la ampliación de Saudi Power Transformers a 380 kV (192 M SAR) y sube un 70 % la capacidad de transformadores de potencia [11,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SEC por 1.410 M SAR (transformadores de muy alta tensión), 785,5 M (subestaciones) y 198,5 M (distribución); compra los terrenos de Pauwels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Autoridad de Competencia le devuelve los 26,1 M SAR de la multa de 2024 (14-jul)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EIC fabrica en Arabia Saudí transformadores de distribución y de potencia (hasta 380 kV), subestaciones compactas, aparamenta de media y baja tensión, cuadros y bandejas portacables, y presta servicios de mantenimiento y reparación [1, 11]. En 2025 los transformadores y subestaciones fueron el 79 % de las ventas (1.811 M SAR), la aparamenta el 12 %, los servicios el 5 % y las bandejas el 4 % [11]. Fabrica en Dammam (Saudi Transformers, Wescosa y Saudi Power Transformers, la única fábrica saudí de transformadores de alta tensión) y en Malinas, Bélgica (Pauwels) [11, 15]. Vende el 89,5 % en Arabia Saudí, el 7,6 % en Europa y el 2,8 % en el resto del Golfo [1]. Tiene más de 1.600 empleados [15].</w:t>
      </w:r>
    </w:p>
    <w:p>
      <w:pPr>
        <w:pStyle w:val="Heading2"/>
      </w:pPr>
      <w:r>
        <w:t xml:space="preserve">Cómo gana dinero</w:t>
      </w:r>
    </w:p>
    <w:p>
      <w:pPr>
        <w:spacing w:after="100"/>
      </w:pPr>
      <w:r>
        <w:t xml:space="preserve">Gana con el margen de fabricación de equipos a pedido: concursos y acuerdos marco con precio fijado al firmar, entregas a 6-24 meses y anticipos del cliente (662 M SAR a fin de 2025) [1, 11]. El margen bruto pasó del 19,4 % en 2021 al 37,5 % en 2025 porque la demanda superó a la capacidad en todo el mundo y EIC llenó sus fábricas con transformadores de potencia, de más valor [1, 11]. El coste está en el cobre, la chapa magnética y el aceite, que se compran después de fijar el precio: el riesgo de materias primas es suyo [11]. Los gastos generales son bajos (191 M SAR, el 8 % de las ventas), así que el apalancamiento operativo es alto: el EBITDA de 2025 (711 M) multiplica por 7 el de 2021 con ventas que se triplican [1]. Los servicios (110 M) dan un margen EBIT del 41 %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y suministro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y suministro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concentrados: Saudi Electricity (SEC, ahora Saudi Energy) es el primer cliente, con 367 M SAR en 2025 (16 % de las ventas), y en 2025 firmó con EIC acuerdos de 1.410 M SAR en transformadores de muy alta tensión, 785,5 M en subestaciones y 198,5 M en distribución [1, 11]. Le siguen Aramco y sus contratistas (Jafurah, Técnicas Reunidas, Hyundai E&amp;C), los grandes proyectos del Reino y, desde 2025, distribuidoras belgas [11, 22]. La cartera de pedidos firmes era de 3.300 M SAR a fin de 2025 (1,4 años de ventas), apenas un 3 % más que un año antes, y hay otros 2.500 M en acuerdos marco [11, 12]. El poder de negociación está del lado del cliente: SEC adjudica por concurso y premia el contenido local, que es la ventaja de EIC.</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confirmados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3.200 M SAR (fin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3.300 M SAR (fin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Equivale a 1,4 años de ventas de 2025; aparte, 2.500 M de acuerdos marco no convertidos en pedidos, de los que ≈ 1.000 M son compromiso firme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transformadores y subestaciones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 M SAR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del total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Aparamenta 280 M (12 %), servicios 110 M (5 %) y bandejas 95 M (4 %)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transformadores de potencia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de capacidad en el 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10.000 MVA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de la capacidad original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producción en 2025; ampliación a 380 kV (192 M SAR) con producción comercial prevista en el 3T27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37,8 % en el 1S26 y 37,8 % en el 2T26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cliente (Saudi Electricity)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 M SAR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 M SAR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 de las ventas de 2025; el cliente no se nombra en las cuentas, pero los grandes acuerdos marco de 2025 son con SEC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M SAR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M SAR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a 582 M a 30-jun-2026 al entregar pedidos: el circulante absorbió caja en el 1S26 [1,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transformadores y equipos de red eléctrica en Arabia Saudí, cuyo gasto marca la inversión de Saudi Electricity (220.000 M SAR en 2025-2030: 135.000 M en transporte y 85.000 M en distribución) y los proyectos de Aramco [18]. Los estudios de mercado no sirven para medir la cuota: Mordor da 1.000 M USD (3.750 M SAR) de transformadores en el Reino en 2025 y un 4,65 % anual hasta 2031, e IMARC 249 M USD solo en potencia, cifras inferiores a lo que factura EIC [16, 17]. Uso el plan de SEC como medida del gasto: las ventas de EIC equivalen a ≈ 6 % de su inversión anual en redes.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1.000 M USD (3.750 M SAR) en 2025 el mercado saudí de transformadores, según Mordor Intelligence; IMARC da 249 M USD solo para los de potencia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ercado saudí de transformadores,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Saudi Electricity (Saudi Energy) en redes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220.000 M SAR en 2025-2030 (135.000 M en transporte y 85.000 M en distribución); 39.000 M invertidos en el 1S26, +6 %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 de petróleo y gas de Aramco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a Jafurah fase 2 y a otros proyectos de Aramco; contrato de 129,4 M SAR con Técnicas Reunidas y de 281 M con Hyundai E&amp;C [11,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local y preferencia por fabricante saudí</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EIC es la única empresa del Reino que diseña y fabrica transformadores de alta tensión; las compras públicas premian el contenido local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mundial de transformadores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exportaciones de transformadores de alta tensión a Europa en 2025 y acuerdo marco con distribuidoras belgas [11,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capacidad de competidores en el Reino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Voltamp (Omán) anuncia una fábrica de transformadores en Arabia Saudí de 9,5 M OMR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cobre, acero eléctrico y aceite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materias primas son la mayor parte del coste de ventas (1.436 M SAR en 2025); los contratos largos con precio fijo trasladan el riesgo a la empresa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describe una competencia «severa» que aumenta cuando baja la demanda; hoy la demanda supera a la capacidad y el margen bruto ha subido del 19,4 % de 2021 al 37,5 % de 2025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(SEC) compra el 16 % de las ventas y fija los acuerdos marco por concurso; Aramco y sus contratistas son el otro gran comprador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Chapa magnética de grano orientado, cobre y componentes de alta tensión con pocos proveedores mundiales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homologación de SEC y Aramco y la escala (más de 10.000 MVA al año) frenan la entrada, pero Voltamp construye fábrica en el Reino y los grandes fabricantes extranjeros pueden localizar [11,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para el transformador en la red eléctrica [16].</w:t>
            </w:r>
          </w:p>
        </w:tc>
      </w:tr>
    </w:tbl>
    <w:p>
      <w:pPr>
        <w:spacing w:after="160" w:before="0"/>
      </w:pPr>
    </w:p>
    <w:p>
      <w:pPr>
        <w:pStyle w:val="Heading2"/>
      </w:pPr>
      <w:r>
        <w:t xml:space="preserve">Ciclo</w:t>
      </w:r>
    </w:p>
    <w:p>
      <w:pPr>
        <w:spacing w:after="100"/>
      </w:pPr>
      <w:r>
        <w:t xml:space="preserve">Estamos en la parte alta de un ciclo excepcional: la escasez mundial de transformadores (centros de datos, renovables, redes viejas en EE. UU. y Europa) y el plan de SEC han llevado el margen EBITDA de EIC del 13 % en 2021 al 31 % en 2025 y al 32 % en los últimos doce meses [1, 6]. La historia enseña lo contrario: en 2016-2019 la acción cayó cuatro años seguidos con la demanda saudí parada y la propia empresa describe una competencia «severa» cuando baja la demanda [11, 27]. Señales para seguir: cartera de pedidos (estancada en 2025, +3 %), margen bruto trimestral, nuevas fábricas en el Reino e inversión trimestral de SEC (39.000 M SAR en el 1S26, +6 %) [11, 19].</w:t>
      </w:r>
    </w:p>
    <w:p>
      <w:pPr>
        <w:pStyle w:val="Heading2"/>
      </w:pPr>
      <w:r>
        <w:t xml:space="preserve">Regulación</w:t>
      </w:r>
    </w:p>
    <w:p>
      <w:pPr>
        <w:spacing w:after="100"/>
      </w:pPr>
      <w:r>
        <w:t xml:space="preserve">La regulación favorece al fabricante local: las compras de SEC, Aramco y los proyectos públicos puntúan el contenido local, y EIC es la única empresa del Reino que diseña y fabrica transformadores de alta tensión [11]. Cada diseño necesita homologación de SEC y Aramco. La Autoridad General de Competencia le impuso en 2024 una multa de 26,1 M SAR que EIC recurrió y ganó en dos instancias; se la devolvieron el 14-jul-2026 [1]. La propiedad extranjera de EIC tiene un máximo publicado del 46 % (hoy el 18,96 %) [24].</w:t>
      </w:r>
    </w:p>
    <w:p>
      <w:pPr>
        <w:pStyle w:val="Heading2"/>
      </w:pPr>
      <w:r>
        <w:t xml:space="preserve">Tendencias y disrupción</w:t>
      </w:r>
    </w:p>
    <w:p>
      <w:pPr>
        <w:spacing w:after="100"/>
      </w:pPr>
      <w:r>
        <w:t xml:space="preserve">Tres tendencias a favor: la electrificación del Reino (Visión 2030, renovables, desalación y nuevas ciudades) sostiene la inversión de SEC; la escasez mundial abre la exportación (primeros transformadores de alta tensión a Europa en 2025 y acuerdo marco con distribuidoras belgas) [11, 22]; y la tensión sube: la ampliación de Saudi Power Transformers a 380 kV (192 M SAR) entra en producción en el 3T27 [21]. En contra: la escasez atrae capacidad nueva (Voltamp construye fábrica en el Reino, y Hitachi Energy, Siemens Energy y HD Hyundai tienen o amplían plantas locales) y el precio del cobre [20,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1.ª fabricante saudí de transformadores y única del Reino que diseña y fabrica transformadores de alta y muy alta tensión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Alfanar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privado saudí: aparamenta, cuadros y transformadores de distribución;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Energy, Siemens Energy y Schneider (filiales saudíes)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Multinacional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ENR.DE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en alta tensión, subestaciones y aparamenta con fábricas locales; las cuentas de las filiales no se publican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ElSewedy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Egipto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SWDY.CA</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Cables y transformadores de distribución para Oriente Medio y África; margen EBITDA del 10 %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de potencia con fábrica en Arabia Saudí; margen EBITDA del 27,5 %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Voltamp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VOES.OM</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Transformadores de distribución; construye fábrica en Arabia Saudí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cada diseño por SEC y Aramco y servicio posventa propio (110 M SAR de servicios en 2025, margen del segmento del 41 %)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fabricante saudí de transformadores de alta tensión y conocimiento propio de Pauwels (diseños hasta 380 kV) [B1,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local y fábricas cercanas al cliente; el margen EBITDA del 31 % de 2025 supera al de ElSewedy (10 %) y al de Hyosung (14 %) [B10].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10.000 MVA al año y el 89,5 % de las ventas en un mercado de un solo gran comprador; poca demanda para dos fabricantes locales de alta tensión [B1].</w:t>
            </w:r>
          </w:p>
        </w:tc>
      </w:tr>
    </w:tbl>
    <w:p>
      <w:pPr>
        <w:spacing w:after="160" w:before="0"/>
      </w:pPr>
    </w:p>
    <w:p>
      <w:pPr>
        <w:pStyle w:val="Heading2"/>
      </w:pPr>
      <w:r>
        <w:t xml:space="preserve">Amenazas</w:t>
      </w:r>
    </w:p>
    <w:p>
      <w:pPr>
        <w:spacing w:after="100"/>
      </w:pPr>
      <w:r>
        <w:t xml:space="preserve">La amenaza principal es la capacidad nueva en el Reino: con márgenes del 31 %, los fabricantes extranjeros y del Golfo tienen incentivos para localizar fábricas (Voltamp ya lo anuncia) y los concursos de SEC trasladarían la competencia al precio; lo veo probable en tres años (50 %), con efecto gradual porque la homologación tarda [20]. La segunda, la dependencia de SEC: un retraso en su plan de inversión (por ejemplo, por precios del petróleo bajos y recortes presupuestarios) vaciaría la cartera, que ya creció solo un 3 % en 2025 [11, 18]. La tercera, las materias primas: con precios fijados al firmar, una subida del cobre recorta el margen de la cartera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spacing w:after="100"/>
      </w:pPr>
      <w:r>
        <w:t xml:space="preserve">Crecimiento anual compuesto 2021-2025: ingresos </w:t>
      </w:r>
      <w:r>
        <w:rPr>
          <w:b/>
          <w:bCs/>
        </w:rPr>
        <w:t xml:space="preserve">31,4 %</w:t>
      </w:r>
      <w:r>
        <w:t xml:space="preserve">, EBITDA </w:t>
      </w:r>
      <w:r>
        <w:rPr>
          <w:b/>
          <w:bCs/>
        </w:rPr>
        <w:t xml:space="preserve">63,7 %</w:t>
      </w:r>
      <w:r>
        <w:t xml:space="preserve">, BPA </w:t>
      </w:r>
      <w:r>
        <w:rPr>
          <w:b/>
          <w:bCs/>
        </w:rPr>
        <w:t xml:space="preserve">93,4 %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771 M SAR en 2021 a 2.296 M en 2025 (+31 % anual) sin compras relevantes, y a 2.628 M en los últimos doce meses a junio de 2026 [1, 5, 6]. El margen EBITDA subió del 12,8 % en 2021 al 18,7 % en 2023, al 24,4 % en 2024 y al 31,0 % en 2025, por el precio y la mezcla de transformadores de potencia [1, 3]. El beneficio pasó de 49 a 630 M SAR. En 2026 sigue el crecimiento: ventas del 1S26 de 1.370 M (+32 %) y beneficio del 2T26 un 55 % mayor, con un margen bruto del 37,8 % [6, 13]. La pregunta no es el pasado, sino cuánto de ese margen es ciclo: en 2021 la empresa ganaba un 6 % neto sobre ventas y hoy un 29 %.</w:t>
      </w:r>
    </w:p>
    <w:p>
      <w:pPr>
        <w:pStyle w:val="Heading2"/>
      </w:pPr>
      <w:r>
        <w:t xml:space="preserve">Ajustes y partidas no recurrentes</w:t>
      </w:r>
    </w:p>
    <w:p>
      <w:pPr>
        <w:spacing w:after="100"/>
      </w:pPr>
      <w:r>
        <w:t xml:space="preserve">Uso cifras publicadas. La multa de competencia de 26,1 M SAR de 2024 fue un gasto no recurrente que se devolvió en julio de 2026; la dejo en las cuentas de 2024 y sumo el reembolso al puente [1, 6]. El resultado financiero incluye los intereses de las murabahas (financiación islámica) y el coste financiero de las indemnizaciones por cese [1]. No hay pagos en acciones relevantes (plan de empleados con autocartera)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EIC no publica presentaciones ni conferencias; uso los anuncios de resultados y la última entrevista al consejero delegado. En el 2T26 las ventas crecieron un 33 % (708,6 M SAR) y el beneficio un 55 %, que la empresa atribuye a más ventas de proyectos de alta tensión y a mejor margen [13]. En octubre de 2025 el consejero delegado anticipó «fuerte rentabilidad hasta final de año», exportaciones del 12 % de las ventas en el 3T25 y pedidos de Aramco (Jafurah) [22]. ANB Capital esperaba un beneficio de 205,7 M en el 2T26 (+50 %) y el real quedó en línea [31]. Lo que no se aclara: cuánto de la cartera de 3.300 M está a los precios altos de 2024-2025.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neta relevante: a 30-jun-2026, 143 M SAR de caja frente a 123 M de murabahas a corto plazo y 19 M de arrendamientos [6]. La deuda bajó de 432 M en 2022 a 15 M en 2025 gracias al flujo de 2024-2025 [1]. El punto delicado es el circulante: existencias de 873 M y clientes de 835 M a fin de 2025, financiados en parte por 662 M de anticipos; el circulante comercial neto equivale al 37 % de las ventas, y si los anticipos bajan con la cartera, el circulante absorbe caja (como en 2022, con un flujo operativo de −88 M) [1,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1.096</w:t>
      </w:r>
      <w:r>
        <w:t xml:space="preserve">, conversión </w:t>
      </w:r>
      <w:r>
        <w:rPr>
          <w:b/>
          <w:bCs/>
        </w:rPr>
        <w:t xml:space="preserve">80 %</w:t>
      </w:r>
      <w:r>
        <w:t xml:space="preserve"> del beneficio neto; adquisiciones 6, dividendos 628, recompras 11.</w:t>
      </w:r>
    </w:p>
    <w:p>
      <w:pPr>
        <w:spacing w:after="100"/>
      </w:pPr>
      <w:r>
        <w:t xml:space="preserve">La conversión de beneficio en caja es irregular: el flujo operativo fue de 12 M en 2021 y −88 M en 2022 (el circulante se comió el beneficio con las ventas al alza), y de 688 M en 2024 y 674 M en 2025, por encima del beneficio, con los anticipos de SEC [1, 4]. En el 1S26 bajó con la caída de los anticipos (de 662 a 582 M). El capex fue de 11-45 M al año hasta 2024 y de 176 M en 2025 por la compra de los terrenos de Pauwels (80 M) y el inicio de la ampliación de 380 kV (192 M en total, hasta 2027) [1, 21]. Estimación propia: el capex de mantenimiento es ≈ la amortización (36 M, 1,6 % de las ventas). El dividendo se lleva casi todo: 280 M pagados en 2025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Professional Services (desde el ejercicio 2022; PwC hasta 2021)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sin salvedades; asunto clave: pérdidas esperadas de clientes)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KPMG audita desde 2022 sin salvedades; el asunto clave de auditoría son las pérdidas esperadas de clientes [1]. No hay fondo de comercio ni capitalización relevante de gastos (intangibles de 6 M SAR) [1]. La partida que más cuidado pide es el reconocimiento de ingresos de proyectos y el circulante (existencias y clientes de 1.709 M a fin de 2025, el 74 % de las ventas) [1]. Indicadores del motor: Altman Z de 8,81 (zona segura), Piotroski F de 7 sobre 9 y Beneish M de −2,40 (sin señal de manipulación). El único caso dudoso, la multa de competencia de 2024, acabó a favor de la empresa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alto y dependiente de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y clientes de 1.709 M SAR a fin de 2025 frente a 662 M de anticipos; en 2022 el flujo operativo fue negativo (−88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en máximos históricos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37,5 % en 2025 frente al 19,4 % de 2021: buena parte es ciclo de precios, no estructura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 principal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supone el 16 % de las ventas y adjudica por concurso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439,8 % · </w:t>
      </w:r>
      <w:r>
        <w:rPr>
          <w:b/>
          <w:bCs/>
        </w:rPr>
        <w:t xml:space="preserve">WACC</w:t>
      </w:r>
      <w:r>
        <w:t xml:space="preserve">: 12,4 %.</w:t>
      </w:r>
    </w:p>
    <w:p>
      <w:pPr>
        <w:spacing w:after="100"/>
      </w:pPr>
      <w:r>
        <w:t xml:space="preserve">Crea valor con holgura en el punto alto del ciclo. El ROIC del motor es del 70,0 % en 2025 (47,3 % en 2024) frente a un WACC del 12,37 %: el capital invertido (914 M SAR) es pequeño porque los anticipos financian parte del circulante y las fábricas están amortizadas. Pero el ROIC era del 7,0 % en 2021 y del 12,7 % en 2022, por debajo del WACC: lo que ha cambiado es el margen EBIT (del 9 % al 29 %), no la rotación [1, 5]. El ROE fue del 56 % en 2025. Frente a los rivales cotizados, solo HD Hyundai Electric (margen EBITDA del 27,5 %) se le acerca [35]. La lectura prudente: el ROIC de ciclo medio está en el 20-25 %, todavía por encima del WACC.</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143,2 M SAR a 30-jun-2026 frente a 122,7 M de murabaha a corto plazo y 19,3 M de arrendamientos [6]; después del balance entraron 26,1 M del reembolso de la multa de competencia (14-jul-2026) y salieron ≈ 139 M del dividendo del 1S26 (pagado el 23-ago-2026) [6, 14]. Las murabahas vencen a 3-6 meses y se refinancian con líneas bancarias de diez bancos saudíes y del Golfo [1,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Indemnizaciones por cese de los empleados (end-of-service benefits, obligación legal saudí) de 139,6 M SAR a 30-jun-2026, que trato como deuda en el puente [6]. Anticipos de clientes (pasivos de contrato) de 582 M a junio de 2026, que financian el circulante y bajan al entregar [6]. Sin litigios relevantes tras la devolución de la multa de competencia [6]. El dividendo del 1S26 (139,1 M) se pagó el 23-ago, después del balance, y lo resto en el puente [14].</w:t>
      </w:r>
    </w:p>
    <w:p>
      <w:pPr>
        <w:pStyle w:val="Heading1"/>
      </w:pPr>
      <w:r>
        <w:t xml:space="preserve">12. Asignación de capital</w:t>
      </w:r>
    </w:p>
    <w:p>
      <w:pPr>
        <w:pStyle w:val="Confianza"/>
        <w:spacing w:after="100"/>
      </w:pPr>
      <w:r>
        <w:t xml:space="preserve">Confianza: Alta</w:t>
      </w:r>
    </w:p>
    <w:p>
      <w:pPr>
        <w:spacing w:after="100"/>
      </w:pPr>
      <w:r>
        <w:t xml:space="preserve">Reparte casi todo: en 2025, 0,25 SAR ordinarios y 0,25 SAR extraordinarios por acción (el 89 % del beneficio) [11]. La política aprobada es de 0,125 SAR por semestre hasta el 1S27, más extraordinarios; el del 1S26 se pagó el 23-ago-2026 [14]. Las prioridades de inversión son la ampliación de Saudi Power Transformers a 380 kV (192 M SAR, producción en el 3T27) y la base europea de Pauwels [11, 21]. No hay recompras ni compras anunciadas; la autocartera (1,11 %) se usa para el plan de empleados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conocimientos y propiedad intelectual de CG Power Systems Belgium (Pauwels Transformers, Malinas)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transformadores de potencia en Bélgica reactivada en abril de 2021; en 2025 Europa ya aporta 174 M SAR de ventas (7,6 %)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Terrenos y naves de la planta de Pauwels en Bélgica (subasta pública)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Asegura la base europea; los activos no corrientes en Europa pasan de 16 a 100 M SAR [1, 11].</w:t>
            </w:r>
          </w:p>
        </w:tc>
      </w:tr>
    </w:tbl>
    <w:p>
      <w:pPr>
        <w:spacing w:after="160" w:before="0"/>
      </w:pPr>
    </w:p>
    <w:p>
      <w:pPr>
        <w:spacing w:after="100"/>
      </w:pPr>
      <w:r>
        <w:t xml:space="preserve">Asignación de capital prudente y sin compras caras: la única operación relevante fue comprar el conocimiento y las patentes de Pauwels (2021) y después sus terrenos (80 M SAR en 2025), que le dan diseños de hasta 380 kV y una base en Europa [1]. Ha usado el flujo de 2024-2025 para pagar la deuda (de 432 M a 15 M) y repartir dividendos (477 M en dos años) [1]. El riesgo es el contrario: repartir el 89 % del beneficio del pico del ciclo deja poca caja si el circulante vuelve a absorber flujo, como en 2022.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8"/>
        <w:gridCol w:w="1527"/>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Tariq Mohamad Al-Tahini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 ejecutivo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(KFUPM) con más de 25 años en puestos de dirección de Saudi Electricity, el principal cliente. Con él las ventas pasaron de 771 M SAR en 2021 a 2.296 M en 2025 y el beneficio de 49 a 630 M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Medhat Adham Ghaleb</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Finanzas y TI (director financiero)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Carrera entera en el grupo: contable jefe y director financiero de Saudi Transformers y vicepresidente de finanzas y servicios compartidos; consejero de Saudi Power Transformers y Pauwels. Vendió 145.000 acciones en 2025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Yousef Ali Al-Quraishi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Ali Zaid Al-Quraishi &amp; Brothers, la familia que fundó Wescosa en 1976 y que controla Adja, primer accionista (15 %) [11,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Hossam Abdulhaleem Al-Sheikh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Saudi Power Transformers</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ejecutivo de operaciones e ingeniería de EIC y director de planta y de diseño de Saudi Transformers; dirige la filial de alta tensión que en 2025 produjo más de 10.000 MVA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Koen Van Peteghem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Pauwels Transformers (Bélgica)</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 histórico de Pauwels y de CG Power Systems; lidera la entrada en Europa (174 M SAR de ventas en 2025) [1, 11].</w:t>
            </w:r>
          </w:p>
        </w:tc>
      </w:tr>
    </w:tbl>
    <w:p>
      <w:pPr>
        <w:spacing w:after="160" w:before="0"/>
      </w:pPr>
    </w:p>
    <w:p>
      <w:pPr>
        <w:spacing w:after="100"/>
      </w:pPr>
      <w:r>
        <w:t xml:space="preserve">Equipo técnico y estable, con el consejero delegado (Tariq Al-Tahini) procedente de 25 años en Saudi Electricity, el principal cliente, y el director financiero de toda la vida en el grupo [11]. Con ellos las ventas se triplicaron y el beneficio se multiplicó por 13 en 2021-2025 [1]. No publican previsiones, así que no hay historial de cumplimiento; las expectativas cualitativas del consejero delegado de 2024 y 2025 («fuerte rentabilidad») se cumplieron [22, 26]. Los directivos venden: el director financiero vendió 145.000 acciones en 2025 y el vicepresidente del consejo 0,73 M (aunque su familia compró 2,88 M) [11].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Yousef Ali Al-Quraishi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Mahmoud M. Al-Toukhi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Faisal Saleh Al-Quraishi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Fahad Saad Al-Tuwaijri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Jameel Abdullah Al-Molhem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Sattam Abdulaziz Al-Zamil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Khalid Sulaiman Al-Harbi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Tariq Mohamad Al-Tahini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sin salvedades; asunto clave: pérdidas esperadas de clientes)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Adja Company for Industrial Services (familia Al-Quraishi)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28,0 % hasta ago-2024; 20,68 % (ago-2024), 18,75 % (oct-2024) y 15,00 % (20-jul-2026, traspaso de 42,2 M acciones a sus filiales)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Fahad Saad Al-Tuwaijri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(familia Al-Tuwaijri;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Recibe acciones en nov-2025 al repartir el holding familiar su 22,81 %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Faisal Saad Al-Tuwaijri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(familia Al-Tuwaijri)</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poco a poco: 5,44 % (nov-2025) → 5,15 % (17-sep-2026)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Mahmoud Al-Toukhi y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 (vicepresidente)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2,32 % directo y 3,59 % de familiares; vendió 0,73 M acciones en 2025 y sus familiares compraron 2,88 M</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 (todos)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Extranjeros (QFI y swaps)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permitido: 46 %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12,5 M acciones compradas en 2019-2020 para el plan de empleados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Mahmoud Al-Toukhi (vicepresidente), neto del año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732.408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Abdulaziz Al-Dhafiyari (directivo) y familiares, neto del año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418.334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Medhat Ghaleb (director financiero), neto del año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Abdullah Saad Al-Tuwaijri (familia de un consejero; sale del registro de accionistas significativos)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Faisal Saad Al-Tuwaijri (familia de un consejero): de 5,44 % a 5,15 %</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3.262.500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seis primeros directivos cobraron 19,18 M SAR en 2025 y el personal clave en total 27,9 M [1, 11]. El variable depende de los resultados anuales y de la evaluación de la comisión de nombramientos y retribuciones, sin métricas de ROIC ni de rentabilidad para el accionista; no hay variable a largo plazo en acciones salvo el plan de empleados con autocartera [1, 11]. La ley saudí no exige desglose individual ni voto consultivo de la remuneración.</w:t>
      </w:r>
    </w:p>
    <w:p>
      <w:pPr>
        <w:pStyle w:val="Heading2"/>
      </w:pPr>
      <w:r>
        <w:t xml:space="preserve">Operaciones vinculadas, estructura de control y defensas</w:t>
      </w:r>
    </w:p>
    <w:p>
      <w:pPr>
        <w:spacing w:after="100"/>
      </w:pPr>
      <w:r>
        <w:t xml:space="preserve">No hay accionista de control: Adja (familia Al-Quraishi, fundadora) tiene el 15,00 % y preside el consejo; la familia Al-Tuwaijri suma un 10,6 % (Fahad, consejero, 5,45 %; Faisal, 5,15 % y vendiendo) y el vicepresidente Al-Toukhi y su familia un 5,91 % [24]. Adja ha bajado del 28 % al 15 % desde agosto de 2024 (en julio de 2026, por un traspaso interno de 42,2 M de acciones a sus filiales) [24, 25]. Una acción, un voto; el único límite es el legal a la propiedad extranjera. El consejo tiene 8 miembros, 3 independientes (Sattam Al-Zamil entre ellos, como consejero independiente, no como accionista; ni los Al-Muhaidib ni los Zamil figuran como accionistas significativos) [11, 24]. La comisión de auditoría no tiene mayoría de independientes [11].</w:t>
      </w:r>
    </w:p>
    <w:p>
      <w:pPr>
        <w:pStyle w:val="Heading2"/>
      </w:pPr>
      <w:r>
        <w:t xml:space="preserve">Señales de alerta</w:t>
      </w:r>
    </w:p>
    <w:p>
      <w:pPr>
        <w:pStyle w:val="ListParagraph"/>
        <w:numPr>
          <w:ilvl w:val="0"/>
          <w:numId w:val="2"/>
        </w:numPr>
        <w:spacing w:after="60"/>
      </w:pPr>
      <w:r>
        <w:t xml:space="preserve">El primer accionista (Adja, familia Al-Quraishi) ha reducido su participación del 28 % al 15 % desde agosto de 2024 [24].</w:t>
      </w:r>
    </w:p>
    <w:p>
      <w:pPr>
        <w:pStyle w:val="ListParagraph"/>
        <w:numPr>
          <w:ilvl w:val="0"/>
          <w:numId w:val="2"/>
        </w:numPr>
        <w:spacing w:after="60"/>
      </w:pPr>
      <w:r>
        <w:t xml:space="preserve">Directivos y familias de consejeros venden: el director financiero, el vicepresidente y Faisal Al-Tuwaijri (5,44 % → 5,15 % en sep-2026) [11, 24].</w:t>
      </w:r>
    </w:p>
    <w:p>
      <w:pPr>
        <w:pStyle w:val="ListParagraph"/>
        <w:numPr>
          <w:ilvl w:val="0"/>
          <w:numId w:val="2"/>
        </w:numPr>
        <w:spacing w:after="60"/>
      </w:pPr>
      <w:r>
        <w:t xml:space="preserve">La comisión de auditoría no tiene mayoría de consejeros independientes [11].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EIC no publica previsiones de ventas, beneficio ni margen; solo la cartera de pedidos en el informe anual (3.300 M SAR a fin de 2025) y comentarios cualitativos del consejero delegado [11, 22]. La guía implícita es el plan de inversión de SEC (220.000 M SAR en 2025-2030) y la ampliación de 380 kV en el 3T27 [18,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un analista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un analista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un analista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 – 15,50</w:t>
            </w:r>
          </w:p>
        </w:tc>
      </w:tr>
    </w:tbl>
    <w:p>
      <w:pPr>
        <w:spacing w:after="160" w:before="0"/>
      </w:pPr>
    </w:p>
    <w:p>
      <w:pPr>
        <w:pStyle w:val="Heading2"/>
      </w:pPr>
      <w:r>
        <w:t xml:space="preserve">Revisiones de estimaciones</w:t>
      </w:r>
    </w:p>
    <w:p>
      <w:pPr>
        <w:spacing w:after="100"/>
      </w:pPr>
      <w:r>
        <w:t xml:space="preserve">Cobertura escasa: MarketScreener recoge un analista con estimaciones abiertas (BPA de 0,75 / 0,86 / 1,09 SAR en 2026-2028e y objetivo de 15,50 SAR) [28, 29]. ANB Capital subió la recomendación a «Overweight» el 23-jul-2026 tras el 2T26 [30]. EFG-Hermes y Sadif cambiaron sus notas en julio y septiembre, sin cifras abiertas [29]. No se puede medir la tendencia de las revisiones; la confianza en el consenso es baja.</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11,99 SAR el 18-oct (12,07 en la sesión del 19-oct, aún abierta al cerrar el informe), un 10,6 % más que hace un año pero un 36,9 % menos que el máximo de abril de 2026 (19,13 SAR al cierre) [27]. Venía de multiplicarse por diez en 2023-2025 (+213 %, +164 % y +60 %) con el beneficio, y desde abril ha caído un 37 % sin noticias malas propias: el beneficio del 2T26 creció un 55 % [13, 27]. La rentabilidad a cinco años es del 63 % anual frente al −1,8 % del ETF del mercado saudí [27]. Volatilidad del 38 %, caída máxima del 37,6 % y beta mensual de cinco años de 1,08 frente al mercado saudí (semanal de dos años 1,51)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-21,6 % / -8,6 % / -36,8 % / +10,6 %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 / +14,8 %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(beneficio +57 %) y dividendo extraordinario de 0,25 SAR, tras la caída del 1-mar (−8 %, primera sesión después de los ataques de EE. UU. e Israel contra Irán, con el TASI −2,2 %) [11,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el máximo del 20-abr (19,13 SAR) hasta 13,49 SAR el 22-jul; −6,4 % el 16-jul, antes de los resultados del 2T26, y +9,9 % el 23-jul con un beneficio del 2T26 un 55 % mayor [13,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noticias de la empresa: caídas del −5,5 % el 29-sep y −5,7 % el 14-oct con el mercado saudí a la baja (KSA −5,7 % en un mes) y ruptura técnica del soporte de 14,40 SAR [27, 41]. Lo leo como dudas sobre el pico del ciclo antes de los resultados del 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 el 3T26 muestra caída del margen bruto por debajo del 33 % o de la cartera, revisar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esperados hacia el 22-oct (el 3T25 se publicó el 23-oct-2025)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Faisal Al-Tuwaijri baja del 5,44 % al 5,15 % (venta de 3,26 M acciones)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del dividendo del 1S26 de 0,125 SAR por acción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del 2T26 +55 % y ventas +33 %; ANB Capital sube a «Overweight» [13,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Adja traspasa 42,2 M acciones a sus filiales (reestructuración interna) y queda con el 15,00 % directo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Autoridad de Competencia devuelve los 26,1 M SAR de la multa de 2024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 seis meses (−36,8 %) no tiene una noticia propia detrás: los resultados del 1S26 fueron buenos y no hay recortes de previsiones, colocaciones ni litigios. Las causas son de mercado (Irán en marzo, el TASI débil en septiembre-octubre), técnicas y, sobre todo, el temor a que el margen del 31 % sea el pico del ciclo, que es el supuesto central de este informe. Los resultados del 3T26 (hacia el 22-oct) son el próximo hecho, pero no justifican esperar: la recomendación ya no es de compra.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EIC cotiza a 15,5 veces nuestro BPA de 2027e, por encima de la mediana adelantada de 2021-2025 (12,9 veces) y muy por encima del mínimo (5,2 veces en 2022, cuando el mercado no creía en la recuperación). El múltiplo se ha expandido con el beneficio: en 2022-2023 el mercado pagaba 5-8 veces el beneficio del año siguiente y en 2024-2025 13-15 veces [27]. No excluyo ningún año: no hubo pérdidas ni BPA atípico, aunque 2021-2022 son de otro régimen de márgenes. Frente a los fabricantes de transformadores cotizados (mediana de PER de 21 veces), EIC cotiza con descuento, lógico por el riesgo de un solo país y un solo gran cliente [35].</w:t>
      </w:r>
    </w:p>
    <w:p>
      <w:pPr>
        <w:pStyle w:val="Heading1"/>
      </w:pPr>
      <w:r>
        <w:t xml:space="preserve">18. Comparables cotizados</w:t>
      </w:r>
    </w:p>
    <w:p>
      <w:pPr>
        <w:pStyle w:val="Confianza"/>
        <w:spacing w:after="100"/>
      </w:pPr>
      <w:r>
        <w:t xml:space="preserve">Confianza: Media</w:t>
      </w:r>
    </w:p>
    <w:p>
      <w:pPr>
        <w:spacing w:after="100"/>
      </w:pPr>
      <w:r>
        <w:t xml:space="preserve">Fabricantes cotizados de transformadores y equipos de red con datos del mismo día: HD Hyundai Electric, Hyosung Heavy Industries y LS Electric (Corea), Hammond Power Solutions (Canadá), WEG (Brasil), Siemens Energy (Alemania), Shihlin, Chung-Hsin y Allis (Taiwán) y ElSewedy Electric (Egipto, el más cercano por geografía) [23, 35]. Fuera: Hitachi y Schneider, conglomerados donde los transformadores pesan poco, y Alfanar, que no cotiza.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Shihlin Electric &amp; Engineering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Chung-Hsin Electric &amp; Machinery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ElSewedy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19,6x / 23,1x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21,4x / 26,4x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2,8x / 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EIC tiene el segundo mejor margen EBITDA del grupo (32 % en los últimos doce meses, frente a una mediana del 13 %) y cotiza a un PER de los próximos doce meses de 14,3 veces, por debajo de la mediana (21,4) y solo por encima de ElSewedy (13,4) [23, 35]. El mercado le aplica el descuento de un fabricante de un solo país y de un ciclo saudí que puede girar, y su margen no se considera estructural. Los comparables coreanos y taiwaneses cotizan con prima porque venden a EE. UU., donde la escasez es mayor. Peso del 20 %: los comparables están en el mismo ciclo alto y sus múltiplos lo incorporan.</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(transformadores; 50 %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Vernova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5.275 M USD por el 50 % → 10.550 M USD por el 100 % (39.563 M SAR); ventas de ≈ 3.000 M USD y margen EBITDA ajustado de ≈ 25 % (múltiplos implícitos, cálculo propio)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NSI Industries (equipos y accesorios eléctricos)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USD; múltiplo de EBITDA ajustado publicado por Hubbell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AEG Power Solutions (electrónica de potencia)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365 M CAD (≈ 258 M USD al cambio del BCE) frente a 326 M CAD de ventas de 2025 [39,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 10,08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Tres operaciones recientes en equipos de red: GE Vernova por el 50 % de Prolec GE (14,1 veces el EBITDA), Hubbell por NSI (15,5 veces) y Hammond por AEG Power Solutions (1,1 veces ventas) [37, 38, 39]. Son operaciones de control en EE. UU. y Canadá, en pleno auge de la demanda por los centros de datos, y no hay operaciones con precio en el Golfo. No les doy peso: EIC no es objetivo de compra probable (accionariado disperso saudí) y los múltiplos de control en EE. UU. no se trasladan a un fabricante saudí.</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apoya en el 1S26 (ventas +32 %) y en la cartera de 3.300 M SAR: +25 %, como el único analista con estimaciones (2.872 M) [6, 28]. Después el crecimiento frena: +13 % en 2027e, +10 % en 2028e (con la ampliación de 380 kV desde el 3T27) y del 6 % al 3,5 % hasta 2031e [21]. La cartera solo creció un 3 % en 2025, señal de que los pedidos ya no crecen al ritmo de las ventas [11]. El crecimiento medio de 2027-2031e (7,4 %) queda muy por debajo del 31 % de 2021-2025, pero por encima del 4,65 % del mercado de Mordor porque el plan de SEC sigue en marcha hasta 2030 [16, 18].</w:t>
      </w:r>
    </w:p>
    <w:p>
      <w:pPr>
        <w:keepNext/>
        <w:spacing w:after="100"/>
      </w:pPr>
      <w:r>
        <w:rPr>
          <w:b/>
          <w:bCs/>
        </w:rPr>
        <w:t xml:space="preserve">Márgenes.</w:t>
      </w:r>
    </w:p>
    <w:p>
      <w:pPr>
        <w:spacing w:after="100"/>
      </w:pPr>
      <w:r>
        <w:t xml:space="preserve">El margen EBITDA fue del 12,8 % en 2021, 15,0 % en 2022, 18,7 % en 2023, 24,4 % en 2024 y 31,0 % en 2025, y del 32 % en los últimos doce meses [1, 6]. Lo mantengo en el 32 % en 2026e (ya visto en el 1S26) y lo bajo al 30,5 % en 2027e, al 29 % en 2028e y hasta el 24,5 % en 2031e, a medida que la capacidad nueva (Voltamp y fabricantes extranjeros en el Reino) y los concursos de SEC trasladen el fin de la escasez al precio [20]. El 24,5 % sigue por encima del 18,7 % de 2023 y cerca del de HD Hyundai Electric (27,5 %): supongo que parte de la mejora es estructural (mezcla de alta tensión) [35].</w:t>
      </w:r>
    </w:p>
    <w:p>
      <w:pPr>
        <w:keepNext/>
        <w:spacing w:after="100"/>
      </w:pPr>
      <w:r>
        <w:rPr>
          <w:b/>
          <w:bCs/>
        </w:rPr>
        <w:t xml:space="preserve">Inversión y circulante.</w:t>
      </w:r>
    </w:p>
    <w:p>
      <w:pPr>
        <w:spacing w:after="100"/>
      </w:pPr>
      <w:r>
        <w:t xml:space="preserve">Capex del 6,5 % de las ventas en 2026e y del 5 % en 2027e por la ampliación de 380 kV (192 M SAR) y la base belga; después baja al 2,8 %, por encima de la amortización (2,5 %) [1, 21]. Circulante del 38 % de las ventas (existencias, clientes y activos de contrato menos proveedores y anticipos), como en 2024 (38,2 %) y 2025 (37,4 %) [1]. Tipo impositivo del 6 % (zakat de la parte saudí y 20 % sobre la parte extranjera; 5,1 % en 2025) [1].</w:t>
      </w:r>
    </w:p>
    <w:p>
      <w:pPr>
        <w:keepNext/>
        <w:spacing w:after="100"/>
      </w:pPr>
      <w:r>
        <w:rPr>
          <w:b/>
          <w:bCs/>
        </w:rPr>
        <w:t xml:space="preserve">Coste del capital.</w:t>
      </w:r>
    </w:p>
    <w:p>
      <w:pPr>
        <w:spacing w:after="100"/>
      </w:pPr>
      <w:r>
        <w:t xml:space="preserve">Flujos en SAR, anclado al USD a 3,75: tasa libre del 5,61 %, el Treasury a 10 años (5,10 %, FRED, 15-oct-2026) más el diferencial soberano de Arabia Saudí (0,51 %, Damodaran) [32, 33]. Beta de 1,1: mensual de cinco años 1,08 frente al mercado saudí, semanal de cinco años 0,94 y semanal de dos años 1,51 [27]. Prima de mercado del 5,5 % y prima adicional del 0,78 % (prima de país de Damodaran para Arabia Saudí, que concentra el 89,5 % de las ventas) [1, 33]. Coste de la deuda del 5,5 % (murabahas) y peso del 1 %. WACC del 12,37 %. Con la prima implícita del mercado (4,2 %) baja al 10,9 %.</w:t>
      </w:r>
    </w:p>
    <w:p>
      <w:pPr>
        <w:keepNext/>
        <w:spacing w:after="100"/>
      </w:pPr>
      <w:r>
        <w:rPr>
          <w:b/>
          <w:bCs/>
        </w:rPr>
        <w:t xml:space="preserve">Valor terminal.</w:t>
      </w:r>
    </w:p>
    <w:p>
      <w:pPr>
        <w:spacing w:after="100"/>
      </w:pPr>
      <w:r>
        <w:t xml:space="preserve">Crecimiento a perpetuidad del 3,0 % en SAR/USD: entre la inflación esperada del dólar (2-2,5 %) y la tasa libre menos medio punto (5,1 %); el Reino seguirá electrificándose, pero desde un nivel de inversión muy alto. Gordon con un WACC del 12,37 % implica 8,6 veces el EBITDA terminal, por debajo de ElSewedy (7,7 veces hoy) más algo de prima y muy por debajo de lo que el mercado paga hoy por EIC (16,2 veces el EBITDA de los últimos doce meses) [23]. El valor terminal pesa el 63 %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 (ROIC 70,0 %)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 frente al 10,3 %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 (histórico: 439,8 %)</w:t>
            </w:r>
          </w:p>
        </w:tc>
      </w:tr>
    </w:tbl>
    <w:p>
      <w:pPr>
        <w:spacing w:after="160" w:before="0"/>
      </w:pPr>
    </w:p>
    <w:p>
      <w:pPr>
        <w:spacing w:after="100"/>
      </w:pPr>
      <w:r>
        <w:t xml:space="preserve">La proyección reinvierte el 20 % del NOPAT. Con el ROIC del último ejercicio (70,0 %), eso financia un crecimiento del 14,2 % anual, frente al 10,3 % de ingresos proyectado. Supone que el capital nuevo rinde un 19,5 %, frente a un ROIC incremental histórico del 439,8 %.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+32 % y cartera de 3.300 M SAR a fin de 2025; precio aún al alza por los contratos de 2025 con SEC (1.410 M en muy alta tensión) [6,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el plan de SEC (39.000 M invertidos en el 1S26) y la exportación; precio todavía positivo por la cartera firmada en 2025-2026 [11,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de la ampliación de 380 kV (producción comercial desde el 3T27); el precio deja de subir con la nueva capacidad en el Reino [20,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plan de SEC hasta 2030; precio plano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plan de SEC 2025-2030 y competencia en precio [18].</w:t>
            </w:r>
          </w:p>
        </w:tc>
      </w:tr>
    </w:tbl>
    <w:p>
      <w:pPr>
        <w:spacing w:after="160" w:before="0"/>
      </w:pPr>
    </w:p>
    <w:p>
      <w:pPr>
        <w:spacing w:after="100"/>
      </w:pPr>
      <w:r>
        <w:t xml:space="preserve">Sí. El crecimiento proyectado (7,4 % anual en 2027-2031e) es mucho menor que el histórico (31 %) y la reinversión que exige (el 20 % del NOPAT, sobre todo circulante y la ampliación de 380 kV) financia un 14,2 % al ROIC actual. El capital nuevo rinde en la proyección un 19,5 %, muy por debajo del incremental histórico. No hay mercado final fiable para la prueba de cuota; a mano, las ventas de 2031e (4.090 M SAR) equivalen a ≈ 2 % del plan de SEC de 220.000 M SAR para seis años, una cuota que EIC ya tiene [18]. El riesgo no es de crecimiento sino de margen: lo recoge la bajada del 32 % al 24,5 %.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41,8 % (base: 24,5 %)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12,4 %)</w:t>
            </w:r>
          </w:p>
        </w:tc>
      </w:tr>
    </w:tbl>
    <w:p>
      <w:pPr>
        <w:spacing w:after="160" w:before="0"/>
      </w:pPr>
    </w:p>
    <w:p>
      <w:pPr>
        <w:spacing w:after="100"/>
      </w:pPr>
      <w:r>
        <w:t xml:space="preserve">El DCF da 6,47 SAR por acción, un 46,0 % menos que el precio, con un WACC del 12,37 % y un crecimiento terminal del 3 %; el valor terminal pesa el 63 %. El DCF inverso no encuentra un crecimiento que justifique el precio con nuestros márgenes: lo que el precio de 11,99 SAR descuenta es un margen EBITDA terminal del 41,8 %, frente al 31 % de 2025 (máximo histórico) y al 13-19 % de 2021-2023, o una rentabilidad implícita del 8,1 %, muy por debajo de nuestro WACC. Es exigente: el mercado paga como si el margen del pico de escasez fuera permanente y aún subiera. Con la prima implícita del mercado (4,2 %) el DCF sube a 7,63 SAR, todavía muy por debajo del precio. Cada punto de margen EBITDA en toda la proyección mueve el valor en torno al 5 %; ni con el margen de 2025 congelado para siempre llega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la escasez: la capacidad nueva en el Reino y la exportación china e india rompen precios en los concursos de SEC, la cartera baja y las ventas de 2027e caen un 7 %; el margen EBITDA vuelve hacia el 19-20 % de 2023, sin recuperar. Ya pasó en 2016-2019, cuando la acción cayó cuatro años seguidos [11, 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mantiene su plan hasta 2030 y la ampliación de 380 kV entra en 2027: las ventas crecen un 13 % en 2027e y frenan después hasta el 3,5 %, con el margen bajando del 32 % al 24,5 % por la competencia.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escasez dura más (centros de datos y renovables del Golfo) y la exportación a Europa crece: 5 puntos más de crecimiento cada año y 2,5 puntos más de margen, cerca de lo que espera el único analista con estimaciones abiertas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SAR) · precio actual 11,9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6,27 SAR (-47,7 %).</w:t>
      </w:r>
    </w:p>
    <w:p>
      <w:pPr>
        <w:spacing w:after="100"/>
      </w:pPr>
      <w:r>
        <w:t xml:space="preserve">La asimetría es negativa: incluso el alcista (8,17 SAR, -31,9 %) queda por debajo del precio, y el bajista (3,98 SAR, -66,8 %) repite el margen de 2023. Las probabilidades 25/50/25 no esconden nada: con un WACC del 12,4 % y márgenes que vuelven hacia la media del ciclo, el valor ponderado de los escenarios (6,27 SAR) es un 47,7 % inferior al precio, y el valor intrínseco de la síntesis, con los comparables, un 27,7 % (8,67 SAR).</w:t>
      </w:r>
    </w:p>
    <w:p>
      <w:pPr>
        <w:pStyle w:val="Heading1"/>
      </w:pPr>
      <w:r>
        <w:t xml:space="preserve">22. Suma de partes</w:t>
      </w:r>
    </w:p>
    <w:p>
      <w:pPr>
        <w:pStyle w:val="Confianza"/>
        <w:spacing w:after="100"/>
      </w:pPr>
      <w:r>
        <w:t xml:space="preserve">Confianza: Media</w:t>
      </w:r>
    </w:p>
    <w:p>
      <w:pPr>
        <w:spacing w:after="100"/>
      </w:pPr>
      <w:r>
        <w:t xml:space="preserve">No aplica: los servicios (110 M SAR, el 5 % de las ventas de 2025) son el posventa de los mismos equipos y comparten clientes y fábricas con la fabricación; Pauwels (Bélgica) no publica cuentas separadas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SAR) · precio actual 11,9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8,67 SAR (-27,7 % sobre 11,99).</w:t>
      </w:r>
    </w:p>
    <w:p>
      <w:pPr>
        <w:spacing w:after="100"/>
      </w:pPr>
      <w:r>
        <w:t xml:space="preserve">Pesos: DCF 40 %, escenarios 40 % y comparables 20 %; transacciones sin peso (operaciones de control en EE. UU. en pleno auge, sin referencias en el Golfo). La dispersión entre métodos es grande y dice algo: los comparables (PER de los próximos doce meses, de 14,46 a 22,10 SAR) están cerca del precio porque todo el sector cotiza el mismo pico, mientras el DCF (6,47) descuenta la vuelta del margen. El puente parte del balance de junio de 2026: deuda de murabahas, arrendamientos e indemnizaciones por cese (139,6 M SAR), y resta el dividendo del 1S26 pagado el 23-ago (139,1 M) neto del reembolso de la multa (26,1 M) [6, 14].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(15.5x) a mitad de camino hacia abajo, hacia la mediana de 5 años (12.9x)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+53,4 %</w:t>
            </w:r>
          </w:p>
        </w:tc>
      </w:tr>
    </w:tbl>
    <w:p>
      <w:pPr>
        <w:spacing w:after="160" w:before="0"/>
      </w:pPr>
    </w:p>
    <w:p>
      <w:pPr>
        <w:spacing w:after="100"/>
      </w:pPr>
      <w:r>
        <w:rPr>
          <w:b/>
          <w:bCs/>
        </w:rPr>
        <w:t xml:space="preserve">Objetivo a 12 meses (ponderado):</w:t>
      </w:r>
      <w:r>
        <w:t xml:space="preserve"> 10,84 SAR · rentabilidad -7,5 % (base -3,8 %) · señal Mantener.</w:t>
      </w:r>
    </w:p>
    <w:p>
      <w:pPr>
        <w:spacing w:after="100"/>
      </w:pPr>
      <w:r>
        <w:t xml:space="preserve">Para comparar, con la regla v2 (historia al cierre, mismo precio): 11,1x / 15,5x / 20,2x, 5,6 %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(0,77) queda un 10 % por debajo del único analista con estimaciones abiertas (0,86) y el de 2028e (0,80), un 27 % por debajo (1,09) [28]. La diferencia es de margen: el analista espera un margen EBITDA del 34 % en 2027e y del 36 % en 2028e, por encima del máximo de 2025 (31 %), y ventas de 3.765 M en 2028e; nosotros 3.568 M con un margen que baja al 29 % porque la escasez atrae capacidad nueva al Reino [20]. El objetivo de 15,50 SAR equivale a 18 veces su BPA de 2027e; la regla común aplica el PER histórico adelantado.</w:t>
      </w:r>
    </w:p>
    <w:p>
      <w:pPr>
        <w:keepNext/>
        <w:spacing w:after="100"/>
      </w:pPr>
      <w:r>
        <w:rPr>
          <w:b/>
          <w:bCs/>
        </w:rPr>
        <w:t xml:space="preserve">Del valor intrínseco al objetivo a 12 meses.</w:t>
      </w:r>
    </w:p>
    <w:p>
      <w:pPr>
        <w:spacing w:after="100"/>
      </w:pPr>
      <w:r>
        <w:t xml:space="preserve">El objetivo a 12 meses (ponderado 10,84 SAR; base 11,28) queda por debajo del precio (11,99) y muy por encima del valor intrínseco (8,67): el mercado puede seguir pagando el beneficio del pico durante un año, pero no hay recorrido. El base pierde porque el PER actual (15,5 veces nuestro BPA de 2027e) está por encima de su mediana adelantada (12,9) y la regla lo acerca a mitad de camino, y el BPA de 2028e (0,80) apenas crece desde 2027e (0,77) por la bajada del margen. El bajista pesa mucho (2,65 SAR) porque combina el BPA de un margen del 24 % con el PER mínimo de 2022 (5,2 veces): es duro, pero es lo que pagó el mercado la última vez que dudó del ciclo saudí. La v2 de control da +5,6 %: tampoco llega a comprar.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y ventas del trimestre; primera lectura de si el margen del 1S26 (37,8 %) aguanta [6, 43]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cartera de pedidos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a fin de 2026 dirá si los pedidos vuelven a crecer (+3 % en 2025)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SEC del plan 2025-2030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acuerdos marco de transformadores y subestaciones; precio frente a los de 2025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comercial de la ampliación de 380 kV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capacidad en muy alta tensión (192 M SAR de inversión)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la fábrica de Voltamp en el Reino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capacidad nueva de transformadores de distribución en competencia directa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escasez y caída del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 frente al base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3.300 M SAR (1,4 años de ventas), contenido local y única fábrica saudí de alta tensión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33 % o cartera de pedidos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o recorte del plan de inversión de Saudi Electricity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220.000 M SAR en 2025-2030 con 39.000 M invertidos en el 1S26 (+6 %); Aramco y exportación como segunda pata [18,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trimestral de SEC por debajo de 8.000 M SAR o recortes presupuestarios por el petróleo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capacidad local (Voltamp, filiales de fabricantes extranjeros)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lenta de SEC y Aramco; diseños de Pauwels hasta 380 kV [11,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SEC a fábricas nuevas en el Reino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 y chapa magnética con precios fijados al firmar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rotando en 12-18 meses y anticipos de clientes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cobre de más del 20 %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que absorbe caja con un reparto del 89 %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casi nula y líneas de murabaha con diez bancos [1,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semestral negativo o anticipos por debajo de 450 M SAR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accionistas de referencia y 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(presión de oferta)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de ≈ 46 M SAR al día; free float del 68,5 %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bajadas de Adja o de la familia Al-Tuwaijri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geopolítico del Golfo (Irán)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local con presupuesto público; caja neta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Ataques a infraestructuras saudíes; el 1-mar-2026 la acción cayó un 8 % [44]</w:t>
            </w:r>
          </w:p>
        </w:tc>
      </w:tr>
    </w:tbl>
    <w:p>
      <w:pPr>
        <w:spacing w:after="160" w:before="0"/>
      </w:pPr>
    </w:p>
    <w:p>
      <w:pPr>
        <w:pStyle w:val="Heading2"/>
      </w:pPr>
      <w:r>
        <w:t xml:space="preserve">Pre-mortem</w:t>
      </w:r>
    </w:p>
    <w:p>
      <w:pPr>
        <w:spacing w:after="100"/>
      </w:pPr>
      <w:r>
        <w:t xml:space="preserve">Octubre de 2029: EIC vale la mitad. Lo que pasó: la escasez mundial de transformadores terminó en 2027, cuando las fábricas nuevas de Corea, India, China y EE. UU. entraron en producción. En el Reino, Voltamp abrió su planta y dos fabricantes extranjeros ampliaron las suyas; SEC, con el petróleo a la baja, alargó su plan de inversión y apretó precios en los concursos de 2027. La cartera de EIC, estancada desde 2025, bajó de 3.300 a 2.200 M SAR, las ventas de 2028 cayeron a los niveles de 2025 y el margen EBITDA volvió al 20 %. El beneficio se quedó en 450 M SAR y el mercado, que ya pagaba 15 veces, pasó a pagar 10. La ampliación de 380 kV, decidida en el pico, tuvo poca carga. Las ventas de la familia fundadora y de los directivos en 2025-2026 fueron la señal que nadie quiso leer.</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Positivo · </w:t>
      </w:r>
      <w:r>
        <w:rPr>
          <w:b/>
          <w:bCs/>
        </w:rPr>
        <w:t xml:space="preserve">Efecto en valor (3-5 años):</w:t>
      </w:r>
      <w:r>
        <w:t xml:space="preserve"> +0 % a +3 %</w:t>
      </w:r>
    </w:p>
    <w:p>
      <w:pPr>
        <w:spacing w:after="100"/>
      </w:pPr>
      <w:r>
        <w:t xml:space="preserve">EIC fabrica transformadores y aparamenta: la IA no sustituye el producto ni el canal de concursos. Le favorece de forma indirecta: los centros de datos de IA (en EE. UU., Europa y los nuevos campus del Golfo) son una de las causas de la escasez mundial de transformadores que ha disparado su margen, y el Reino anuncia centros de datos que piden subestaciones de alta tensión [11, 22]. Le perjudicaría un parón de la inversión en centros de datos, que aceleraría el fin de la escasez y la bajada del margen que ya recoge el caso base. Ninguna de las dos vías mueve el valor más de un 3 % en 3-5 años. Señal: pedidos de subestaciones para centros de datos en el Golfo.</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seguridad laboral en fábricas pesadas, el uso de aceite mineral y SF6 en transformadores y aparamenta, y la saudización del empleo (requisito legal y de los concursos) [11]. Lo positivo: sus equipos conectan las renovables del Reino a la red. No hay calificaciones ESG públicas [11].</w:t>
      </w:r>
    </w:p>
    <w:p>
      <w:pPr>
        <w:pStyle w:val="Heading2"/>
      </w:pPr>
      <w:r>
        <w:t xml:space="preserve">Controversias</w:t>
      </w:r>
    </w:p>
    <w:p>
      <w:pPr>
        <w:spacing w:after="100"/>
      </w:pPr>
      <w:r>
        <w:t xml:space="preserve">La Autoridad General de Competencia la multó con 26,1 M SAR en 2024; EIC recurrió, ganó en dos instancias y cobró el reembolso en julio de 2026 [1, 6]. No constan otras sanciones ni litigios relevantes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 la cartera de 3.300 M SAR frente al 37,5 % de 2025, y qué parte se firmó en 2024-2025 a precios de escasez?</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el margen baja del 32 % al 24,5 %; el analista, que sube al 36 %.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estancada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 cartera solo creció un 3 % en 2025 con ventas un 16 % mayores, y cuánto de los 2.500 M de acuerdos marco se convertirá en pedidos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pedidos no crecen, las ventas de 2027e tampoco.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local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espera perder en distribución cuando entren Voltamp y las ampliaciones de los fabricantes extranjeros, y cómo puntúa SEC el contenido local en los concursos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cobre y la chapa magnética de la cartera está cubierta o indexada?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fijados al firmar.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reparto del 89 % del beneficio si el circulante vuelve a absorber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flujo operativo fue negativo.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intención tienen Adja y la familia Al-Tuwaijri con sus participaciones tras las ventas de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y señal sobre el pico del ciclo.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24 controles correctos y 4 explicados. Fuentes: 44 (17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4,9 %: explica la causa (créditos fiscales, regularizaciones, mezcla de países) y no lo proyectes en el DCF. Explicación: En Arabia Saudí las empresas de propiedad saudí y del Golfo pagan zakat (2,5 % sobre una base patrimonial) y no impuesto de sociedades; solo la parte de los accionistas extranjeros paga un 20 % de impuesto. Con el 81 % del capital en manos saudíes, el tipo efectivo es del 4,9 % en 2024 y del 5,1 % en 2025; en el DCF uso un 6 % para recoger la subida de los extranjeros (18,96 %) y la filial belga [1, 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5,1 %: explica la causa (créditos fiscales, regularizaciones, mezcla de países) y no lo proyectes en el DCF. Explicación: Mismo motivo: zakat en lugar de impuesto de sociedades para la parte saudí del capital; el 5,1 % es estructural, no un crédito fiscal puntual. El DCF proyecta un 6 %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El precio no se alcanza solo con más crecimiento: con márgenes que vuelven al 24,5 %, el circulante del 38 % de las ventas y un WACC del 12,4 %, ni un crecimiento muy alto llega al precio. El inverso por margen sí se resuelve: el precio descuenta un margen EBITDA terminal del 41,8 %, frente al 31 % de 2025 y el 13-19 % de 2021-2023. Es la cifra que resume lo exigente del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19,5 % frente a un ROIC de 70,0 % y un incremental histórico de 439,8 %: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38,0 % frente a 37,4 % real: genera una variación de circulante de 232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-23,7 % frente al consenso: justifica la diferencia en el DCF. Explicación: El único analista con estimaciones abiertas espera 3.765 M de ventas y un margen EBITDA del 36 % en 2028e; yo proyecto 3.568 M y un 29 %. La diferencia es casi toda de margen: supongo que el margen vuelve desde el máximo del ciclo de escasez de transformadores (31 % en 2025 frente a 13-19 % en 2021-2023) por la nueva capacidad en el Reino (Voltamp, filiales de fabricantes extranjeros) y los concursos de SEC [20, 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36,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intermedios: solo amortización semestral o acumulada en el estado de flujos; 2) informe del consejo: sin desglose trimestral; 3) derivarlo prorrateando la amortización: descartado (la amortización es solo un 1,6 % de las ventas y no cambia la lectura)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(eic.argaam-ir.com): sin presentaciones ni conferencias de resultados; 2) Argaam y Mubasher: solo notas de resultados y una entrevista al consejero delegado (oct-2025); 3) Tadawul: anuncios de resultados sin conferencia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resume el anuncio de resultados y la entrevista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se declara líder y único fabricante de alta tensión, sin cuota; 2) Mordor e IMARC: el tamaño que publican (1.000 M USD) es menor que lo que factura EIC en transformadores (1.811 M SAR ≈ 483 M USD) y no sirve para una cuota fiable; 3) prensa saudí: sin cuota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posición cualitativa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sección 47: sin calificaciones externas; 2) búsqueda de MSCI y Sustainalytics para 1303: sin ficha pública abierta; 3) Argaam: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los competidores locales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Alfanar y las filiales saudíes de multinacionales no publican cuentas; 2) Voltamp: cuentas de Omán sin desglose saudí; 3) Stock Analysis: solo los cotizados (usados en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márgenes van en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lista de juntas sin resultados de votación; 2) Tadawul y Argaam: anuncios de resultados de juntas sin porcentajes de voto;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 (individual)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solo el total de los seis primeros directivos (19,18 M SAR) y la dieta de consejero del consejero delegado (0,315 M); 2) cuentas, nota 33.2: total del personal clave (27,9 M); 3) normativa saudí: no exige desglose individual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el total de los seis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del consejo 2024-2025: sin objetivos numéricos; 2) entrevistas al consejero delegado (Argaam 2024 y 2025): solo expectativas cualitativas; 3) anuncios de Tadawul: sin previsiones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empresa no publica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(fecha de nombramiento de consejeros y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consejo 2025: mandato actual del 9-dic-2024 al 8-dic-2028 sin fecha de primer nombramiento; 2) web de la empresa (consejo y dirección): sin fechas; 3) Argaam: perfiles sin fechas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Saudi Exchange: el préstamo de valores y las ventas en corto cubiertas son mínimos y no se publican por valor; 2) Argaam IR: sin dato; 3) Stock Analysis: sin dato para Tadawul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en el Golfo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Compras de EIC (activos de CG Power Belgium en 2021, terrenos de Pauwels en 2025): sin múltiplo; 2) operaciones del Golfo (Alfanar, Voltamp): sin precio publicado; 3) prensa regional (Argaam, MEED): sin múltiplos oficiales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tres operaciones internacionales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un solo analista con estimaciones; 2) Argaam: ANB Capital publica previsiones trimestrales y la recomendación, sin objetivo abierto; 3) EFG-Hermes y Sadif: informes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sola fuente de estimaciones; confianza baja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(هوامير البورصة), el foro saudí de referencia: las páginas del valor exigen registro (403 para lectura); 2) Stocktwits: el símbolo 1303 no existe (404) y Reddit bloquea la lectura; 3) Argaam y Mubasher: sin comentarios de lectores abiertos, solo notas técnicas de Mubasher Research (usadas en bolsa como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sentimiento (foros y redes)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(foro bursátil saudí): solo miembros (403); 2) Stocktwits 1303.SR: sin ficha (404); 3) Reddit y X: bloqueados o sin hilos útiles sobre 1303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sección no se imprime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Mordor Intelligence: 1.000 M USD en 2025 para todo el mercado saudí de transformadores, menos que el doble de lo que EIC factura en transformadores y subestaciones; 2) IMARC: 249 M USD solo transformadores de potencia; 3) plan de inversión de SEC (220.000 M SAR en 2025-2030): no da el gasto en equipos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prueba de cuota hecha a mano con el plan de SEC (la proyección supone que EIC vende ≈ 2 % del gasto en redes de SEC)</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EV/EBITDA de los últimos doce meses y PER adelantado; 2) Yahoo: sin previsiones de EBITDA para Corea, Taiwán y Egipto; 3) MarketScreener: previsiones de EBITDA de pago para los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mapa de crecimiento frente a múltiplo no se dibuja; la comparación usa EV/EBITDA LTM y PER NTM</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2025 (auditor KPMG; balance, cuenta, flujos y notas: segmentos, geografía, cliente principal, préstamos, BPA, partes vinculadas, contingencias,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https://data.argaam.com/files/download/6a0a4ee4-c8c9-4f36-8b6a-bb85ffced644.pdf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2024 (KPMG; balance 2024 con anticipos de clientes separados)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https://data.argaam.com/files/download/4cb0798c-4de0-47ad-aeff-b687969e5b20.pdf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2023 (KPMG; cuenta, balance y flujos de 2023 y 2022,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https://data.argaam.com/files/download/33ddd64e-6202-4982-8f51-9eb4957e4895.pdf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2022 (KPMG; cuenta, balance y flujos de 2022 y 2021, segmentos,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https://data.argaam.com/files/download/cfe6acfd-7774-4100-82b3-53e7e6697e1c.pdf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2021 (PwC)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https://data.argaam.com/files/download/c273157f-b285-44c8-a79b-94e262987d0e.pdf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30 June 2026 (balance, cuenta trimestral y semestral, flujos; reembolso de la multa de competencia;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https://data.argaam.com/files/download/e022dcfd-a45f-440e-917f-be13e55ae301.pdf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three months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https://data.argaam.com/files/download/09ef0d2a-4d02-4ec2-9682-b8cf4e5a53c5.pdf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nine months ended 30 September 2025 (3T25 y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https://data.argaam.com/files/download/1fe39e01-6213-4977-95b3-ac9782f2e194.pdf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six months ended 30 June 2025 (2T25 y 2T24)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https://data.argaam.com/files/download/be68b5aa-867c-48d1-becd-58962f0f120e.pdf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nine months ended 30 September 2024 (3T24 y 3T23)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https://data.argaam.com/files/download/d86a04f2-ffc2-4b22-adb0-77d42a66e36f.pdf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Annual Report 2025 (ventas por actividad, cartera de pedidos de 3.300 M SAR, acuerdos marco, contratos firmados, dividendos, préstamos por banco, consejo,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https://data.argaam.com/files/download/4f18836e-1580-4d94-9375-daa1b67b2874.pdf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Annual Report 2024 (cartera de pedidos de 3.200 M SAR a fin de 2024; capacidad de transformadores de potencia +70 % en el 2S24)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https://data.argaam.com/files/download/175338dd-1d27-4f82-a1d8-ff1ff49ef413.pdf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EIC’s net profits leap 55% in Q2-26 on strong high-voltage project demand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https://english.mubasher.info/news/4645617/EIC-s-net-profits-leap-55-in-Q2-26-on-strong-high-voltage-project-demand/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to distribute 25% cash dividends for H1-26 (0,125 SAR por acción; derecho el 4-ago-2026, pago el 23-ago-2026)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Decypha (Mubasher)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https://www.decypha.com/en/news/details/EIC-to-distribute-25--cash-dividends-for-H1-26/21563934?L=EN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(Wescosa 1976, Saudi Transformers, Pauwels, Saudi Power Transformers, más de 1.600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Company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https://www.eic.com.sa/about-us/history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Transformer Market: 1.000 M USD en 2025, 1.310 M en 2031 (TCAC 4,65 %); distribución 59,85 %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https://www.mordorintelligence.com/industry-reports/saudi-arabia-transformer-market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Power Transformer Market: 249,0 M USD en 2025, 394,7 M en 2034 (TCAC 5,25 %)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https://www.imarcgroup.com/saudi-arabia-power-transformer-market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Electricity Company reveals 2030 expenditure details (220.000 M SAR en 2025-2030: 135.000 M en transporte y 85.000 M en distribución)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https://www.meed.com/saudi-electricity-company-reveals-2030-expenditure-details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Expanding customer base sends Saudi Energy revenue up 11% (inversión de 39.000 M SAR en el 1S26, +6 %)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AGBI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https://agbi.com/energy/2026/08/expanding-customer-base-sends-saudi-energy-revenue-up-11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Voltamp Energy to set up RO 9.5m transformer project in Saudi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Oman Observer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https://www.omanobserver.om/article/1149859/business/energy/voltamp-energy-to-set-up-ro-95m-transformer-project-in-saudi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unveils SAR 192M expansion of SPTC plant (transformadores y reactancias de 380 kV; producción comercial en el 3T27)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https://www.argaam.com/en/article/articledetail/id/1728119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sees strong profitability until year-end: CEO (exportaciones del 12 % en el 3T25; Jafurah y Aramco)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https://www.argaam.com/en/article/articledetail/id/1852746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HD Hyundai Electric, Hyosung Heavy Industries, LS Electric, Hammond Power, WEG, Siemens Energy y ElSewedy Electric (16 y 18-oct-2026)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https://stockanalysis.com/quote/egx/SWDY/statistics/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shareholders, historial de participaciones y propiedad extranjera (Adja 15,00 %; Fahad 5,45 % y Faisal Al-Tuwaijri 5,15 %; extranjeros 18,96 % frente a un máximo del 46 %)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Investor Relations (Argaam 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https://eic.argaam-ir.com/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EIC’s major shareholder Ajda transfers 42m shares via internal restructuring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https://english.mubasher.info/news/4646371/EIC-s-major-shareholder-Ajda-transfers-42m-shares-via-internal-restructuring/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Electrical Industries eyes further growth in sales, profit in 2024: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https://www.argaam.com/en/article/articledetail/id/1724722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1303.SR, KSA (iShares MSCI Saudi Arabia, USD anclado al SAR) y GRID (First Trust Smart Grid): precio, rango, rentabilidades, beta, volatilidad y cierres de ejercicio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https://finance.yahoo.com/quote/1303.SR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2026-2028 de EIC (ventas, EBITDA, EBIT, beneficio, BPA, dividendo; un analista)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https://www.marketscreener.com/quote/stock/ELECTRICAL-INDUSTRIES-COM-20708288/finances/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«Outperform», un analista con objetivo de 15,50 SAR; cambios de EFG-Hermes (23-jul) y Sadif (3-sep)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https://www.marketscreener.com/quote/stock/ELECTRICAL-INDUSTRIES-COM-20708288/consensus/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 ficha de EIC: ANB Capital pasa a «Overweight» (23-jul-2026, antes «Neutral»); previsiones del 2T26 y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https://www.argaam.com/en/company/companyoverview/marketid/3/companyid/3829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ANB Capital issues Q2 2026 earnings forecasts (EIC: 205,7 M SAR,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https://www.argaam.com/en/article/articledetail/id/1920468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rendimiento del bono del Tesoro de EE. UU. a 10 años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Aa3,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HD Hyundai Electric, Hyosung Heavy, LS Electric, Hammond Power, WEG, Shihlin, Chung-Hsin, Allis y Siemens Energy (16-oct-2026), recogidas en el informe de Fortune Electric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https://stockanalysis.com/quote/krx/267260/statistics/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tipos de cambio TWD=X (32,33 por USD) y EGP=X (53,40 por USD), 16-oct-2026; SAR anclado a 3,75 por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to fully acquire Prolec GE joint venture (5.275 M USD por el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Prolec 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https://www.prolec.energy/news/ge-vernova-to-fully-acquire-prolec-ge-joint-venture/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NSI Industries (8-K, Ex. 99.1): 3.000 M USD, ~15,5 veces el EBITDA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https://www.sec.gov/Archives/edgar/data/48898/000119312526204099/d133302dex991.htm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 to acquire AEG Power Solutions (valor empresa de 365 M CAD; ventas de ≈ 326 M 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Hammond Power Solutions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https://americas.hammondpowersolutions.com/news/2026/february/hps-aeg-power-solutions-aquisition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16-oct-2026 (USD 1,1253; CAD 1,5935)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 Research: «سهم الصناعات الكهربائية يواجه ضغوطاً بيعية وسط اختبار مستويات دعم محورية» (análisis técnico: ruptura de 14,40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https://www.mubasher.info/markets/TDWL/stocks/1303/news/analysis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stock summary (Argaam IR): cierre, volumen, rango y variación a 1, 3 y 6 meses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Investor Relations (Argaam IR)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https://eic.argaam-ir.com/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EIC logs 42% surge in 9M-25 net profits (publicación de los resultados del 3T25 el 23-oct-2025)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https://english.mubasher.info/news/4512850/EIC-logs-42-surge-in-9M-25-net-profits/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TASI falls 2.2% to 10,476 pts; turnover at SAR 5.4B (primera sesión tras los ataques de EE. UU. e Israel contra Irán, 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https://www.argaam.com/en/market-daily-report/3/56397</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83,6 %</w:t>
      </w:r>
      <w:r>
        <w:t xml:space="preserve"> · Secciones con menos del 60 % de campos cubiertos: </w:t>
      </w:r>
      <w:r>
        <w:rPr>
          <w:b/>
          <w:bCs/>
        </w:rPr>
        <w:t xml:space="preserve">directivos, sentimiento, gobierno</w:t>
      </w:r>
      <w:r>
        <w:t xml:space="preserve"> · Generado el 19 oct 2026.</w:t>
      </w:r>
    </w:p>
    <w:p>
      <w:pPr>
        <w:pStyle w:val="Nota"/>
        <w:spacing w:after="100"/>
      </w:pPr>
      <w:r>
        <w:t xml:space="preserve">Cotiza solo en el mercado principal de Tadawul (1303), en SAR, de domingo a jueves; un inversor extranjero compra como inversor extranjero cualificado (QFI) o mediante swaps; los extranjeros tienen el 18,96 % del capital frente a un máximo publicado del 46 % [24]. Liquidez suficiente: ≈ 46 M SAR al día en tres meses [27]. Cuentas: sin XBRL accesible; las cuentas anuales auditadas (KPMG desde 2022, PwC en 2021) y los intermedios revisados se descargaron de la web de inversores de la empresa (Argaam IR) y las páginas de los estados financieros son imágenes escaneadas, leídas a mano [1, 2, 3, 4, 5, 6, 7, 8, 9, 10]. La empresa no publica EBITDA trimestral, presentaciones ni conferencias de resultados, ni previsiones. Solo un analista publica estimaciones abiertas (MarketScreener), por lo que el consenso es débil [28]. Índice: el TASI no tiene serie en Yahoo; las rentabilidades y la beta se miden contra el ETF iShares MSCI Saudi Arabia (KSA, en USD; el SAR está anclado a 3,75 por USD) [27]. Precio de cierre de Yahoo; BPA por acción de hoy (sin ampliaciones liberadas desde 2021).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Electrical Industries Company (1303.SR)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11,99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(10,50 – 19,90)</c:v>
                </c:pt>
                <c:pt idx="1">
                  <c:v>Precio objetivo de los analistas (15,50 – 15,50)</c:v>
                </c:pt>
                <c:pt idx="2">
                  <c:v>Comparables: PER NTM (14,46 – 22,10)</c:v>
                </c:pt>
                <c:pt idx="3">
                  <c:v>Transacciones precedentes (EV/ventas) (5,23 – 10,08)</c:v>
                </c:pt>
                <c:pt idx="4">
                  <c:v>DCF (WACC y g ± 0,5) (5,94 – 7,13)</c:v>
                </c:pt>
                <c:pt idx="5">
                  <c:v>Escenarios (bajista – alcista) (3,98 – 8,17)</c:v>
                </c:pt>
                <c:pt idx="6">
                  <c:v>DCF con la prima implícita del mercado (4,2 %)</c:v>
                </c:pt>
                <c:pt idx="7">
                  <c:v>Precio actual (11,99)</c:v>
                </c:pt>
              </c:strCache>
            </c:strRef>
          </c:cat>
          <c:val>
            <c:numRef>
              <c:f>Hoja1!$B$2:$B$9</c:f>
              <c:numCache>
                <c:formatCode>#,##0.0</c:formatCode>
                <c:ptCount val="8"/>
                <c:pt idx="0">
                  <c:v>10.5</c:v>
                </c:pt>
                <c:pt idx="1">
                  <c:v>15.5</c:v>
                </c:pt>
                <c:pt idx="2">
                  <c:v>14.46</c:v>
                </c:pt>
                <c:pt idx="3">
                  <c:v>5.23</c:v>
                </c:pt>
                <c:pt idx="4">
                  <c:v>5.94</c:v>
                </c:pt>
                <c:pt idx="5">
                  <c:v>3.98</c:v>
                </c:pt>
                <c:pt idx="6">
                  <c:v>7.18</c:v>
                </c:pt>
                <c:pt idx="7">
                  <c:v>11.93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(10,50 – 19,90)</c:v>
                </c:pt>
                <c:pt idx="1">
                  <c:v>Precio objetivo de los analistas (15,50 – 15,50)</c:v>
                </c:pt>
                <c:pt idx="2">
                  <c:v>Comparables: PER NTM (14,46 – 22,10)</c:v>
                </c:pt>
                <c:pt idx="3">
                  <c:v>Transacciones precedentes (EV/ventas) (5,23 – 10,08)</c:v>
                </c:pt>
                <c:pt idx="4">
                  <c:v>DCF (WACC y g ± 0,5) (5,94 – 7,13)</c:v>
                </c:pt>
                <c:pt idx="5">
                  <c:v>Escenarios (bajista – alcista) (3,98 – 8,17)</c:v>
                </c:pt>
                <c:pt idx="6">
                  <c:v>DCF con la prima implícita del mercado (4,2 %)</c:v>
                </c:pt>
                <c:pt idx="7">
                  <c:v>Precio actual (11,99)</c:v>
                </c:pt>
              </c:strCache>
            </c:strRef>
          </c:cat>
          <c:val>
            <c:numRef>
              <c:f>Hoja1!$C$2:$C$9</c:f>
              <c:numCache>
                <c:formatCode>#,##0.0</c:formatCode>
                <c:ptCount val="8"/>
                <c:pt idx="0">
                  <c:v>9.399999999999999</c:v>
                </c:pt>
                <c:pt idx="1">
                  <c:v>0</c:v>
                </c:pt>
                <c:pt idx="2">
                  <c:v>7.640000000000001</c:v>
                </c:pt>
                <c:pt idx="3">
                  <c:v>4.85</c:v>
                </c:pt>
                <c:pt idx="4">
                  <c:v>1.1899999999999995</c:v>
                </c:pt>
                <c:pt idx="5">
                  <c:v>4.1899999999999995</c:v>
                </c:pt>
                <c:pt idx="6">
                  <c:v>0.9700000000000006</c:v>
                </c:pt>
                <c:pt idx="7">
                  <c:v>0.120000000000001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Fabricación y suministro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702.3</c:v>
                </c:pt>
                <c:pt idx="1">
                  <c:v>990.5</c:v>
                </c:pt>
                <c:pt idx="2">
                  <c:v>1470.4</c:v>
                </c:pt>
                <c:pt idx="3">
                  <c:v>1898.3</c:v>
                </c:pt>
                <c:pt idx="4">
                  <c:v>2185.9</c:v>
                </c:pt>
              </c:numCache>
            </c:numRef>
          </c:val>
        </c:ser>
        <c:ser>
          <c:idx val="1"/>
          <c:order val="1"/>
          <c:tx>
            <c:strRef>
              <c:f>Hoja1!$C$1</c:f>
              <c:strCache>
                <c:ptCount val="1"/>
                <c:pt idx="0">
                  <c:v>Servicios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68.4</c:v>
                </c:pt>
                <c:pt idx="1">
                  <c:v>75.6</c:v>
                </c:pt>
                <c:pt idx="2">
                  <c:v>89</c:v>
                </c:pt>
                <c:pt idx="3">
                  <c:v>88.8</c:v>
                </c:pt>
                <c:pt idx="4">
                  <c:v>110.3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Fabricación y suministro</c:v>
                </c:pt>
                <c:pt idx="1">
                  <c:v>Servicios</c:v>
                </c:pt>
              </c:strCache>
            </c:strRef>
          </c:cat>
          <c:val>
            <c:numRef>
              <c:f>Hoja1!$B$2:$B$3</c:f>
              <c:numCache>
                <c:formatCode>General</c:formatCode>
                <c:ptCount val="2"/>
                <c:pt idx="0">
                  <c:v>95.2</c:v>
                </c:pt>
                <c:pt idx="1">
                  <c:v>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Arabia Saudí</c:v>
                </c:pt>
                <c:pt idx="1">
                  <c:v>Europa</c:v>
                </c:pt>
                <c:pt idx="2">
                  <c:v>Otros países del Golfo</c:v>
                </c:pt>
                <c:pt idx="3">
                  <c:v>Asia</c:v>
                </c:pt>
              </c:strCache>
            </c:strRef>
          </c:cat>
          <c:val>
            <c:numRef>
              <c:f>Hoja1!$B$2:$B$5</c:f>
              <c:numCache>
                <c:formatCode>0"%"</c:formatCode>
                <c:ptCount val="4"/>
                <c:pt idx="0">
                  <c:v>89.5</c:v>
                </c:pt>
                <c:pt idx="1">
                  <c:v>7.6</c:v>
                </c:pt>
                <c:pt idx="2">
                  <c:v>2.8</c:v>
                </c:pt>
                <c:pt idx="3">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(mercado saudí de transformadores,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1000</c:v>
                </c:pt>
                <c:pt idx="1">
                  <c:v>1050</c:v>
                </c:pt>
                <c:pt idx="2">
                  <c:v>1310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EIC</c:v>
                </c:pt>
                <c:pt idx="1">
                  <c:v>Alfanar</c:v>
                </c:pt>
                <c:pt idx="2">
                  <c:v>Hitachi Energy, Siemens Energy y Schneider (filiales saudíes)</c:v>
                </c:pt>
                <c:pt idx="3">
                  <c:v>ElSewedy Electric</c:v>
                </c:pt>
                <c:pt idx="4">
                  <c:v>HD Hyundai Electric</c:v>
                </c:pt>
                <c:pt idx="5">
                  <c:v>Voltamp Energy</c:v>
                </c:pt>
              </c:strCache>
            </c:strRef>
          </c:cat>
          <c:val>
            <c:numRef>
              <c:f>Hoja1!$B$2:$B$7</c:f>
              <c:numCache>
                <c:formatCode>0.0"%"</c:formatCode>
                <c:ptCount val="6"/>
                <c:pt idx="0">
                  <c:v>29.4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770.7</c:v>
                </c:pt>
                <c:pt idx="1">
                  <c:v>1066.1</c:v>
                </c:pt>
                <c:pt idx="2">
                  <c:v>1559.4</c:v>
                </c:pt>
                <c:pt idx="3">
                  <c:v>1987.1</c:v>
                </c:pt>
                <c:pt idx="4">
                  <c:v>2296.2</c:v>
                </c:pt>
                <c:pt idx="5">
                  <c:v>2870</c:v>
                </c:pt>
                <c:pt idx="6">
                  <c:v>3243</c:v>
                </c:pt>
                <c:pt idx="7">
                  <c:v>3568</c:v>
                </c:pt>
                <c:pt idx="8">
                  <c:v>3782</c:v>
                </c:pt>
                <c:pt idx="9">
                  <c:v>3952</c:v>
                </c:pt>
                <c:pt idx="10">
                  <c:v>4090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99</c:v>
                </c:pt>
                <c:pt idx="1">
                  <c:v>159.4</c:v>
                </c:pt>
                <c:pt idx="2">
                  <c:v>292.2</c:v>
                </c:pt>
                <c:pt idx="3">
                  <c:v>510.90000000000003</c:v>
                </c:pt>
                <c:pt idx="4">
                  <c:v>710.8</c:v>
                </c:pt>
                <c:pt idx="5">
                  <c:v>918</c:v>
                </c:pt>
                <c:pt idx="6">
                  <c:v>989</c:v>
                </c:pt>
                <c:pt idx="7">
                  <c:v>1035</c:v>
                </c:pt>
                <c:pt idx="8">
                  <c:v>1040</c:v>
                </c:pt>
                <c:pt idx="9">
                  <c:v>1028</c:v>
                </c:pt>
                <c:pt idx="10">
                  <c:v>1002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19.4</c:v>
                </c:pt>
                <c:pt idx="1">
                  <c:v>22.3</c:v>
                </c:pt>
                <c:pt idx="2">
                  <c:v>25.7</c:v>
                </c:pt>
                <c:pt idx="3">
                  <c:v>33.5</c:v>
                </c:pt>
                <c:pt idx="4">
                  <c:v>37.5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12.8</c:v>
                </c:pt>
                <c:pt idx="1">
                  <c:v>15</c:v>
                </c:pt>
                <c:pt idx="2">
                  <c:v>18.7</c:v>
                </c:pt>
                <c:pt idx="3">
                  <c:v>25.7</c:v>
                </c:pt>
                <c:pt idx="4">
                  <c:v>31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9.1</c:v>
                </c:pt>
                <c:pt idx="1">
                  <c:v>12.3</c:v>
                </c:pt>
                <c:pt idx="2">
                  <c:v>17</c:v>
                </c:pt>
                <c:pt idx="3">
                  <c:v>24.3</c:v>
                </c:pt>
                <c:pt idx="4">
                  <c:v>29.4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6.3</c:v>
                </c:pt>
                <c:pt idx="1">
                  <c:v>8.8</c:v>
                </c:pt>
                <c:pt idx="2">
                  <c:v>12.9</c:v>
                </c:pt>
                <c:pt idx="3">
                  <c:v>20.2</c:v>
                </c:pt>
                <c:pt idx="4">
                  <c:v>27.4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28.8</c:v>
                </c:pt>
                <c:pt idx="1">
                  <c:v>7.8</c:v>
                </c:pt>
                <c:pt idx="2">
                  <c:v>-6.5</c:v>
                </c:pt>
                <c:pt idx="3">
                  <c:v>7.4</c:v>
                </c:pt>
                <c:pt idx="4">
                  <c:v>10.7</c:v>
                </c:pt>
                <c:pt idx="5">
                  <c:v>57.2</c:v>
                </c:pt>
                <c:pt idx="6">
                  <c:v>30.5</c:v>
                </c:pt>
                <c:pt idx="7">
                  <c:v>33.4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184</c:v>
                </c:pt>
                <c:pt idx="1">
                  <c:v>159</c:v>
                </c:pt>
                <c:pt idx="2">
                  <c:v>131</c:v>
                </c:pt>
                <c:pt idx="3">
                  <c:v>114</c:v>
                </c:pt>
                <c:pt idx="4">
                  <c:v>133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259</c:v>
                </c:pt>
                <c:pt idx="1">
                  <c:v>317</c:v>
                </c:pt>
                <c:pt idx="2">
                  <c:v>287</c:v>
                </c:pt>
                <c:pt idx="3">
                  <c:v>209</c:v>
                </c:pt>
                <c:pt idx="4">
                  <c:v>222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73</c:v>
                </c:pt>
                <c:pt idx="1">
                  <c:v>66</c:v>
                </c:pt>
                <c:pt idx="2">
                  <c:v>52</c:v>
                </c:pt>
                <c:pt idx="3">
                  <c:v>39</c:v>
                </c:pt>
                <c:pt idx="4">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-102.19999999999999</c:v>
                </c:pt>
                <c:pt idx="2">
                  <c:v>80.4</c:v>
                </c:pt>
                <c:pt idx="3">
                  <c:v>639.2</c:v>
                </c:pt>
                <c:pt idx="4">
                  <c:v>493.3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48.8</c:v>
                </c:pt>
                <c:pt idx="1">
                  <c:v>94.2</c:v>
                </c:pt>
                <c:pt idx="2">
                  <c:v>201</c:v>
                </c:pt>
                <c:pt idx="3">
                  <c:v>401.7</c:v>
                </c:pt>
                <c:pt idx="4">
                  <c:v>629.9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12.7</c:v>
                </c:pt>
                <c:pt idx="2">
                  <c:v>22.5</c:v>
                </c:pt>
                <c:pt idx="3">
                  <c:v>47.3</c:v>
                </c:pt>
                <c:pt idx="4">
                  <c:v>70</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12.4</c:v>
                </c:pt>
                <c:pt idx="1">
                  <c:v>12.4</c:v>
                </c:pt>
                <c:pt idx="2">
                  <c:v>12.4</c:v>
                </c:pt>
                <c:pt idx="3">
                  <c:v>12.4</c:v>
                </c:pt>
                <c:pt idx="4">
                  <c:v>12.4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8.3</c:v>
                </c:pt>
                <c:pt idx="1">
                  <c:v>15.5</c:v>
                </c:pt>
                <c:pt idx="2">
                  <c:v>29.2</c:v>
                </c:pt>
                <c:pt idx="3">
                  <c:v>47.5</c:v>
                </c:pt>
                <c:pt idx="4">
                  <c:v>56.1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1.95</c:v>
                </c:pt>
                <c:pt idx="1">
                  <c:v>2.1</c:v>
                </c:pt>
                <c:pt idx="2">
                  <c:v>1.19</c:v>
                </c:pt>
                <c:pt idx="3">
                  <c:v>-0.19</c:v>
                </c:pt>
                <c:pt idx="4">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(SAR,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0.1</c:v>
                </c:pt>
                <c:pt idx="1">
                  <c:v>0</c:v>
                </c:pt>
                <c:pt idx="2">
                  <c:v>6.3</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22.3</c:v>
                </c:pt>
                <c:pt idx="1">
                  <c:v>45</c:v>
                </c:pt>
                <c:pt idx="2">
                  <c:v>84.4</c:v>
                </c:pt>
                <c:pt idx="3">
                  <c:v>196.6</c:v>
                </c:pt>
                <c:pt idx="4">
                  <c:v>280.1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0.2</c:v>
                </c:pt>
                <c:pt idx="1">
                  <c:v>0</c:v>
                </c:pt>
                <c:pt idx="2">
                  <c:v>3.1</c:v>
                </c:pt>
                <c:pt idx="3">
                  <c:v>1.8</c:v>
                </c:pt>
                <c:pt idx="4">
                  <c:v>5.6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Ejecutivo</c:v>
                </c:pt>
              </c:strCache>
            </c:strRef>
          </c:cat>
          <c:val>
            <c:numRef>
              <c:f>Hoja1!$B$2:$B$4</c:f>
              <c:numCache>
                <c:formatCode>0</c:formatCode>
                <c:ptCount val="3"/>
                <c:pt idx="0">
                  <c:v>4</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Adja Company for Industrial Services (familia Al-Quraishi)</c:v>
                </c:pt>
                <c:pt idx="1">
                  <c:v>Fahad Saad Al-Tuwaijri</c:v>
                </c:pt>
                <c:pt idx="2">
                  <c:v>Faisal Saad Al-Tuwaijri</c:v>
                </c:pt>
                <c:pt idx="3">
                  <c:v>Mahmoud Al-Toukhi y familiares</c:v>
                </c:pt>
                <c:pt idx="4">
                  <c:v>Inversores extranjeros (todos)</c:v>
                </c:pt>
                <c:pt idx="5">
                  <c:v>Autocartera</c:v>
                </c:pt>
              </c:strCache>
            </c:strRef>
          </c:cat>
          <c:val>
            <c:numRef>
              <c:f>Hoja1!$B$2:$B$7</c:f>
              <c:numCache>
                <c:formatCode>0.0"%"</c:formatCode>
                <c:ptCount val="6"/>
                <c:pt idx="0">
                  <c:v>15</c:v>
                </c:pt>
                <c:pt idx="1">
                  <c:v>5.45</c:v>
                </c:pt>
                <c:pt idx="2">
                  <c:v>5.15</c:v>
                </c:pt>
                <c:pt idx="3">
                  <c:v>5.91</c:v>
                </c:pt>
                <c:pt idx="4">
                  <c:v>18.96</c:v>
                </c:pt>
                <c:pt idx="5">
                  <c:v>1.11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-28.8</c:v>
                </c:pt>
                <c:pt idx="1">
                  <c:v>-9.5</c:v>
                </c:pt>
                <c:pt idx="2">
                  <c:v>-16.2</c:v>
                </c:pt>
                <c:pt idx="3">
                  <c:v>-7.1</c:v>
                </c:pt>
                <c:pt idx="4">
                  <c:v>64.1</c:v>
                </c:pt>
                <c:pt idx="5">
                  <c:v>9.2</c:v>
                </c:pt>
                <c:pt idx="6">
                  <c:v>-11.9</c:v>
                </c:pt>
                <c:pt idx="7">
                  <c:v>212.7</c:v>
                </c:pt>
                <c:pt idx="8">
                  <c:v>163.5</c:v>
                </c:pt>
                <c:pt idx="9">
                  <c:v>60.2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7.7</c:v>
                </c:pt>
                <c:pt idx="1">
                  <c:v>6.1</c:v>
                </c:pt>
                <c:pt idx="2">
                  <c:v>13.1</c:v>
                </c:pt>
                <c:pt idx="3">
                  <c:v>9.3</c:v>
                </c:pt>
                <c:pt idx="4">
                  <c:v>2.7</c:v>
                </c:pt>
                <c:pt idx="5">
                  <c:v>33.6</c:v>
                </c:pt>
                <c:pt idx="6">
                  <c:v>-6.1</c:v>
                </c:pt>
                <c:pt idx="7">
                  <c:v>15</c:v>
                </c:pt>
                <c:pt idx="8">
                  <c:v>-0.2</c:v>
                </c:pt>
                <c:pt idx="9">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14.3</c:v>
                </c:pt>
                <c:pt idx="1">
                  <c:v>8.7</c:v>
                </c:pt>
                <c:pt idx="2">
                  <c:v>12</c:v>
                </c:pt>
                <c:pt idx="3">
                  <c:v>15.7</c:v>
                </c:pt>
                <c:pt idx="4">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14.3</c:v>
                </c:pt>
                <c:pt idx="1">
                  <c:v>14.3</c:v>
                </c:pt>
                <c:pt idx="2">
                  <c:v>14.3</c:v>
                </c:pt>
                <c:pt idx="3">
                  <c:v>14.3</c:v>
                </c:pt>
                <c:pt idx="4">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EIC</c:v>
                </c:pt>
                <c:pt idx="1">
                  <c:v>HD Hyundai Electric</c:v>
                </c:pt>
                <c:pt idx="2">
                  <c:v>Hyosung Heavy Industries</c:v>
                </c:pt>
                <c:pt idx="3">
                  <c:v>LS Electric</c:v>
                </c:pt>
                <c:pt idx="4">
                  <c:v>Hammond Power Solutions</c:v>
                </c:pt>
                <c:pt idx="5">
                  <c:v>WEG</c:v>
                </c:pt>
                <c:pt idx="6">
                  <c:v>Shihlin Electric &amp; Engineering</c:v>
                </c:pt>
                <c:pt idx="7">
                  <c:v>Chung-Hsin Electric &amp; Machinery</c:v>
                </c:pt>
                <c:pt idx="8">
                  <c:v>Allis Electric</c:v>
                </c:pt>
                <c:pt idx="9">
                  <c:v>Siemens Energy</c:v>
                </c:pt>
                <c:pt idx="10">
                  <c:v>ElSewedy Electric</c:v>
                </c:pt>
              </c:strCache>
            </c:strRef>
          </c:cat>
          <c:val>
            <c:numRef>
              <c:f>Hoja1!$B$2:$B$12</c:f>
              <c:numCache>
                <c:formatCode>0.0"x"</c:formatCode>
                <c:ptCount val="11"/>
                <c:pt idx="0">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Prolec GE (transformadores; 50 % restante)</c:v>
                </c:pt>
                <c:pt idx="1">
                  <c:v>NSI Industries (equipos y accesorios eléctricos)</c:v>
                </c:pt>
                <c:pt idx="2">
                  <c:v>AEG Power Solutions (electrónica de potencia)</c:v>
                </c:pt>
              </c:strCache>
            </c:strRef>
          </c:cat>
          <c:val>
            <c:numRef>
              <c:f>Hoja1!$B$2:$B$4</c:f>
              <c:numCache>
                <c:formatCode>0.0"x"</c:formatCode>
                <c:ptCount val="3"/>
                <c:pt idx="0">
                  <c:v>14.1</c:v>
                </c:pt>
                <c:pt idx="1">
                  <c:v>15.5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448</c:v>
                </c:pt>
                <c:pt idx="1">
                  <c:v>629</c:v>
                </c:pt>
                <c:pt idx="2">
                  <c:v>729</c:v>
                </c:pt>
                <c:pt idx="3">
                  <c:v>788</c:v>
                </c:pt>
                <c:pt idx="4">
                  <c:v>796</c:v>
                </c:pt>
                <c:pt idx="5">
                  <c:v>781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2808</c:v>
                </c:pt>
                <c:pt idx="1">
                  <c:v>4684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11,99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3.98</c:v>
                </c:pt>
                <c:pt idx="1">
                  <c:v>6.47</c:v>
                </c:pt>
                <c:pt idx="2">
                  <c:v>8.17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11,99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(10,50 – 19,90)</c:v>
                </c:pt>
                <c:pt idx="1">
                  <c:v>Precio objetivo de los analistas (15,50 – 15,50)</c:v>
                </c:pt>
                <c:pt idx="2">
                  <c:v>Comparables: PER NTM (14,46 – 22,10)</c:v>
                </c:pt>
                <c:pt idx="3">
                  <c:v>Transacciones precedentes (EV/ventas) (5,23 – 10,08)</c:v>
                </c:pt>
                <c:pt idx="4">
                  <c:v>DCF (WACC y g ± 0,5) (5,94 – 7,13)</c:v>
                </c:pt>
                <c:pt idx="5">
                  <c:v>Escenarios (bajista – alcista) (3,98 – 8,17)</c:v>
                </c:pt>
                <c:pt idx="6">
                  <c:v>DCF con la prima implícita del mercado (4,2 %)</c:v>
                </c:pt>
                <c:pt idx="7">
                  <c:v>Precio actual (11,99)</c:v>
                </c:pt>
              </c:strCache>
            </c:strRef>
          </c:cat>
          <c:val>
            <c:numRef>
              <c:f>Hoja1!$B$2:$B$9</c:f>
              <c:numCache>
                <c:formatCode>#,##0.0</c:formatCode>
                <c:ptCount val="8"/>
                <c:pt idx="0">
                  <c:v>10.5</c:v>
                </c:pt>
                <c:pt idx="1">
                  <c:v>15.5</c:v>
                </c:pt>
                <c:pt idx="2">
                  <c:v>14.46</c:v>
                </c:pt>
                <c:pt idx="3">
                  <c:v>5.23</c:v>
                </c:pt>
                <c:pt idx="4">
                  <c:v>5.94</c:v>
                </c:pt>
                <c:pt idx="5">
                  <c:v>3.98</c:v>
                </c:pt>
                <c:pt idx="6">
                  <c:v>7.18</c:v>
                </c:pt>
                <c:pt idx="7">
                  <c:v>11.93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(10,50 – 19,90)</c:v>
                </c:pt>
                <c:pt idx="1">
                  <c:v>Precio objetivo de los analistas (15,50 – 15,50)</c:v>
                </c:pt>
                <c:pt idx="2">
                  <c:v>Comparables: PER NTM (14,46 – 22,10)</c:v>
                </c:pt>
                <c:pt idx="3">
                  <c:v>Transacciones precedentes (EV/ventas) (5,23 – 10,08)</c:v>
                </c:pt>
                <c:pt idx="4">
                  <c:v>DCF (WACC y g ± 0,5) (5,94 – 7,13)</c:v>
                </c:pt>
                <c:pt idx="5">
                  <c:v>Escenarios (bajista – alcista) (3,98 – 8,17)</c:v>
                </c:pt>
                <c:pt idx="6">
                  <c:v>DCF con la prima implícita del mercado (4,2 %)</c:v>
                </c:pt>
                <c:pt idx="7">
                  <c:v>Precio actual (11,99)</c:v>
                </c:pt>
              </c:strCache>
            </c:strRef>
          </c:cat>
          <c:val>
            <c:numRef>
              <c:f>Hoja1!$C$2:$C$9</c:f>
              <c:numCache>
                <c:formatCode>#,##0.0</c:formatCode>
                <c:ptCount val="8"/>
                <c:pt idx="0">
                  <c:v>9.399999999999999</c:v>
                </c:pt>
                <c:pt idx="1">
                  <c:v>0</c:v>
                </c:pt>
                <c:pt idx="2">
                  <c:v>7.640000000000001</c:v>
                </c:pt>
                <c:pt idx="3">
                  <c:v>4.85</c:v>
                </c:pt>
                <c:pt idx="4">
                  <c:v>1.1899999999999995</c:v>
                </c:pt>
                <c:pt idx="5">
                  <c:v>4.1899999999999995</c:v>
                </c:pt>
                <c:pt idx="6">
                  <c:v>0.9700000000000006</c:v>
                </c:pt>
                <c:pt idx="7">
                  <c:v>0.120000000000001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