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Hammond Power Solutions Inc.</w:t>
      </w:r>
    </w:p>
    <w:p>
      <w:pPr>
        <w:spacing w:after="60"/>
        <w:rPr>
          <w:color w:val="52514E"/>
          <w:sz w:val="22"/>
          <w:szCs w:val="22"/>
        </w:rPr>
      </w:pPr>
      <w:r>
        <w:rPr>
          <w:color w:val="52514E"/>
          <w:sz w:val="22"/>
          <w:szCs w:val="22"/>
        </w:rPr>
        <w:t xml:space="preserve">HPS.A · Toronto Stock Exchange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CAD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245,75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234,00 CAD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-4,3 % (base +0,4 %)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145,29 CAD · mercado 169,91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2.926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Hammond Power Solutions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HPS.A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 (XIC.TO)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Guelph (Ontario)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https://www.hammondpowersolutions.com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245,75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132,49 – 365,12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2.926 M CAD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3.383 M CAD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16,7 M CAD/día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234,00 CAD</w:t>
      </w:r>
      <w:r>
        <w:t xml:space="preserve"> frente a 245,75 · Rentabilidad a 12 meses </w:t>
      </w:r>
      <w:r>
        <w:rPr>
          <w:b/>
          <w:bCs/>
        </w:rPr>
        <w:t xml:space="preserve">-4,3 % (base +0,4 %)</w:t>
      </w:r>
      <w:r>
        <w:t xml:space="preserve"> · Valor intrínseco 145,29 CAD · con la prima implícita del mercado: 169,91 (-30,9 %) · Alcista / bajista -33,4 % / -76,8 %</w:t>
      </w:r>
    </w:p>
    <w:p>
      <w:pPr>
        <w:spacing w:after="100"/>
      </w:pPr>
      <w:r>
        <w:rPr>
          <w:b/>
        </w:rPr>
        <w:t xml:space="preserve">La recomendación y por qué.</w:t>
      </w:r>
      <w:r>
        <w:t xml:space="preserve"> Mantener, con convicción media: es una buena empresa a un precio que ya descuenta mucho más de lo que creemos que dará. Nuestro objetivo a 12 meses es de 234,00 CAD: −4,3 % con dividendo (+0,4 % en el caso base), frente a un precio de 245,75 CAD (cierre del 16-oct-2026) [26]. La regla v2 de control da +1,0 %. El valor intrínseco (145,29 CAD) está un 41 % por debajo del precio, así que no es una compra a ningún plazo; tampoco es una venta según la regla a 12 meses (haría falta una ponderada de −10 % o peor, que llegaría por encima de 261,22 CAD). Solo sería compra por debajo de 145,29 CAD. Los analistas, todos en comprar, esperan 383,50 [28]: coincidimos en el beneficio (nuestro BPA de 2028e, 12,41, está un 4 % por debajo del suyo), no en el múltiplo que se seguirá pagando por él. La convicción es media porque las dos reglas (v3 y v2) y el DCF coinciden en que no hay recorrido, pero el precio puede seguir al sector mucho tiempo; subiría (hacia Vender) si la cartera baja otra vez en el 3T26 o el margen bruto cae del 30 %, y bajaría si la cartera vuelve a crecer con el margen por encima del 16 %.</w:t>
      </w:r>
    </w:p>
    <w:p>
      <w:pPr>
        <w:spacing w:after="100"/>
      </w:pPr>
      <w:r>
        <w:rPr>
          <w:b/>
        </w:rPr>
        <w:t xml:space="preserve">El negocio.</w:t>
      </w:r>
      <w:r>
        <w:t xml:space="preserve"> Hammond Power Solutions (Guelph, Ontario) es el mayor fabricante de transformadores secos de Norteamérica, con un 23 % de su mercado: transformadores de distribución, de control y de resina para baja y media tensión, reactancias y filtros, fabricados sobre todo en México y vendidos en un 61 % por distribuidores eléctricos, un 22 % a fabricantes de cuadros y equipos y un 17 % en marca blanca [11]. Algo más del 30 % de las ventas va a centros de datos; el resto, a industria, construcción, minería, renovables y redes [13]. Desde el 29-jun-2026 suma AEG Power Solutions, SAI industriales en Europa y Asia (≈ 326 M de ventas) [12]. Foso estrecho: escala, red de distribución y producto a medida. </w:t>
      </w:r>
      <w:r>
        <w:rPr>
          <w:b/>
        </w:rPr>
        <w:t xml:space="preserve">Calidad: Sí</w:t>
      </w:r>
      <w:r>
        <w:t xml:space="preserve">: ROIC del 22,1 % en 2025 frente a un WACC del 9,93 % (12,2 puntos), y del 30-40 % en 2022-2024. Sostenibilidad del crecimiento: </w:t>
      </w:r>
      <w:r>
        <w:rPr>
          <w:b/>
        </w:rPr>
        <w:t xml:space="preserve">sí</w:t>
      </w:r>
      <w:r>
        <w:t xml:space="preserve">, porque la proyección crece al ≈ 7 % orgánico.</w:t>
      </w:r>
    </w:p>
    <w:p>
      <w:pPr>
        <w:spacing w:after="100"/>
      </w:pPr>
      <w:r>
        <w:rPr>
          <w:b/>
        </w:rPr>
        <w:t xml:space="preserve">Finanzas.</w:t>
      </w:r>
      <w:r>
        <w:t xml:space="preserve"> Las ventas pasaron de 380 M en 2021 a 898 M en 2025 (+24 % anual) y a 1.062 M en los 12 meses a junio de 2026, con el 2T26 en +44,7 % y un EBITDA ajustado del 16,4 % [1, 6]. El beneficio publicado lo deforma el pago en acciones que se liquida en efectivo y sube con la cotización (29,7 M en el 1S26) [6]. La caja va al circulante y a fábricas: flujo libre negativo en los últimos 12 meses. La compra de AEG con deuda deja una deuda neta ajustada de 466 M, ≈ 3 veces el EBITDA de 12 meses [6, 12].</w:t>
      </w:r>
    </w:p>
    <w:p>
      <w:pPr>
        <w:spacing w:after="100"/>
      </w:pPr>
      <w:r>
        <w:rPr>
          <w:b/>
        </w:rPr>
        <w:t xml:space="preserve">Equipo y gobierno.</w:t>
      </w:r>
      <w:r>
        <w:t xml:space="preserve"> William G. Hammond controla ≈ 57 % de los votos con el 27 % del capital gracias a las acciones B de cuatro votos; Adrian Thomas es el primer ejecutivo desde 2023 [1, 6, 25]. El consejo es mayoritariamente independiente. No hay opa posible sin la familia.</w:t>
      </w:r>
    </w:p>
    <w:p>
      <w:pPr>
        <w:spacing w:after="100"/>
      </w:pPr>
      <w:r>
        <w:rPr>
          <w:b/>
        </w:rPr>
        <w:t xml:space="preserve">Valoración.</w:t>
      </w:r>
      <w:r>
        <w:t xml:space="preserve"> El DCF da 116,28 CAD (WACC 9,93 %, crecimiento terminal 2,5 %). El precio equivale a crecer un 27,7 % al año hasta 2035 o a un margen EBITDA del 20,8 % para siempre, frente al 13,9 % de 2025. Cotiza a 21,8 veces nuestro BPA de 2027e, en línea con Vertiv, Powell o Eaton (mediana de 22,1 veces), que tienen más margen y más escala, y por encima de su mediana de 17,0 veces en 2023-2025 [30]. La regla a 12 meses supone que ese PER baja hasta 19,8 veces.</w:t>
      </w:r>
    </w:p>
    <w:p>
      <w:pPr>
        <w:spacing w:after="100"/>
      </w:pPr>
      <w:r>
        <w:rPr>
          <w:b/>
        </w:rPr>
        <w:t xml:space="preserve">Qué puede ir mal y qué vigilar.</w:t>
      </w:r>
      <w:r>
        <w:t xml:space="preserve"> El ciclo: la escasez de transformadores se cierra con la capacidad nueva del sector, la cartera ya bajó un 6,9 % en el 2T26 y la dirección dice que el precio «empieza a ser un factor» [13]. El riesgo de IA es mixto: los centros de datos son el motor, y la distribución en 800 V en corriente continua podría quitarle transformadores. Los resultados del 3T26 del 29-oct son el examen (cartera y margen de AEG). Veredicto de precio y noticias: </w:t>
      </w:r>
      <w:r>
        <w:rPr>
          <w:b/>
        </w:rPr>
        <w:t xml:space="preserve">no cambia</w:t>
      </w:r>
      <w:r>
        <w:t xml:space="preserve"> (todos los movimientos fuertes son del sector).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234,00 CAD</w:t>
      </w:r>
      <w:r>
        <w:t xml:space="preserve"> (rentabilidad -4,3 % (base +0,4 %)) · Valor intrínseco: 145,29 CAD (-40,9 % sobre 245,75) · con la prima implícita del mercado: 169,91 (-30,9 %)</w:t>
      </w:r>
    </w:p>
    <w:p>
      <w:pPr>
        <w:spacing w:after="100"/>
      </w:pPr>
      <w:r>
        <w:t xml:space="preserve">Hammond es la ganadora norteamericana de la escasez de transformadores secos: ventas ×2,4 en cuatro años, ROIC del 22-40 % y una posición del 23 % en su mercado. Pero el precio (245,75 CAD) paga ese ciclo como si fuera permanente: equivale a crecer un 28 % al año hasta 2035 o a un margen del 21 % para siempre, mientras la cartera ya baja y el precio deja de subir. Con un BPA como el del consenso y un PER que se acerca a su historia, la rentabilidad a 12 meses es nula: Mantener, comprar solo por debajo de 145 CAD.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8,93 = 121,45 · 19,8x × 12,41 = 245,72 · 22,1x × 14,62 = 323,10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3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383,50 (nuestro base -35,9 %)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145,29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 / -76,8 %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9,9 %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169,91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(12,5 % anual proyectado; financiable al ROIC actual: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145,29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145,29 y 261,22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261,22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145,29 CAD: pasaríamos a Comprar (ponderada ≥ 15 %, base ≥ 12 % y precio bajo el valor intrínseco).</w:t>
      </w:r>
    </w:p>
    <w:p>
      <w:pPr>
        <w:pStyle w:val="ListParagraph"/>
        <w:numPr>
          <w:ilvl w:val="0"/>
          <w:numId w:val="2"/>
        </w:numPr>
        <w:spacing w:after="60"/>
      </w:pPr>
      <w:r>
        <w:t xml:space="preserve">Precio por encima de 261,22 CAD: pasaríamos a Vender (ponderada ≤ −10 %).</w:t>
      </w:r>
    </w:p>
    <w:p>
      <w:pPr>
        <w:pStyle w:val="ListParagraph"/>
        <w:numPr>
          <w:ilvl w:val="0"/>
          <w:numId w:val="2"/>
        </w:numPr>
        <w:spacing w:after="60"/>
      </w:pPr>
      <w:r>
        <w:t xml:space="preserve">Cartera que baja dos trimestres seguidos o margen bruto por debajo del 30 %: bajaríamos el base hacia el bajista y el objetivo.</w:t>
      </w:r>
    </w:p>
    <w:p>
      <w:pPr>
        <w:pStyle w:val="ListParagraph"/>
        <w:numPr>
          <w:ilvl w:val="0"/>
          <w:numId w:val="2"/>
        </w:numPr>
        <w:spacing w:after="60"/>
      </w:pPr>
      <w:r>
        <w:t xml:space="preserve">Margen EBITDA ajustado por encima del 17 % con la cartera creciendo en 2027: subiríamos el margen de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demanda de centros de datos y la escasez de transformadores sostienen el crecimiento y los márgenes de 2026 durante años: el precio equivale a crecer un 27,7 % al año en 2027-2035 o a un margen EBITDA del 20,8 % para siempre.</w:t>
      </w:r>
    </w:p>
    <w:p>
      <w:pPr>
        <w:keepNext/>
        <w:spacing w:after="100"/>
      </w:pPr>
      <w:r>
        <w:rPr>
          <w:b/>
          <w:bCs/>
        </w:rPr>
        <w:t xml:space="preserve">Lo que creemos nosotros.</w:t>
      </w:r>
    </w:p>
    <w:p>
      <w:pPr>
        <w:spacing w:after="100"/>
      </w:pPr>
      <w:r>
        <w:t xml:space="preserve">El crecimiento orgánico se frena del 37 % del 1S26 al 10-11 % en 2027-2028 y al 3 % en 2035, y el margen vuelve al 13,5 % cuando la capacidad nueva del sector cierre la escasez; AEG añade ventas con menos margen y deuda.</w:t>
      </w:r>
    </w:p>
    <w:p>
      <w:pPr>
        <w:keepNext/>
        <w:spacing w:after="100"/>
      </w:pPr>
      <w:r>
        <w:rPr>
          <w:b/>
          <w:bCs/>
        </w:rPr>
        <w:t xml:space="preserve">Por qué podemos tener razón.</w:t>
      </w:r>
    </w:p>
    <w:p>
      <w:pPr>
        <w:spacing w:after="100"/>
      </w:pPr>
      <w:r>
        <w:t xml:space="preserve">La cartera bajó un 6,9 % en el 2T26, las ofertas no aceleran, la dirección habla de competencia en precio y Prolec GE, Hitachi, Hyundai y la propia HPS (Fort Worth) amplían capacidad [13, 16, 21].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AD) · precio actual 24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en su nicho</w:t>
      </w:r>
      <w:r>
        <w:t xml:space="preserve">: 23 % de los transformadores secos de Norteamérica, con plantas en México y una red de 2.800 distribuidores [11].</w:t>
      </w:r>
    </w:p>
    <w:p>
      <w:pPr>
        <w:pStyle w:val="ListParagraph"/>
        <w:numPr>
          <w:ilvl w:val="0"/>
          <w:numId w:val="2"/>
        </w:numPr>
        <w:spacing w:after="60"/>
      </w:pPr>
      <w:r>
        <w:rPr>
          <w:b/>
        </w:rPr>
        <w:t xml:space="preserve">Rentabilidad alta</w:t>
      </w:r>
      <w:r>
        <w:t xml:space="preserve">: ROIC del 22,1 % en 2025 y del 30-40 % en 2022-2024 [1, 2, 3].</w:t>
      </w:r>
    </w:p>
    <w:p>
      <w:pPr>
        <w:pStyle w:val="ListParagraph"/>
        <w:numPr>
          <w:ilvl w:val="0"/>
          <w:numId w:val="2"/>
        </w:numPr>
        <w:spacing w:after="60"/>
      </w:pPr>
      <w:r>
        <w:rPr>
          <w:b/>
        </w:rPr>
        <w:t xml:space="preserve">Crecimiento real</w:t>
      </w:r>
      <w:r>
        <w:t xml:space="preserve">: ventas +44,7 % en el 2T26 y BPA de 2027e de ≈ 11 CAD, casi el doble de 2025 [6, 27].</w:t>
      </w:r>
    </w:p>
    <w:p>
      <w:pPr>
        <w:pStyle w:val="ListParagraph"/>
        <w:numPr>
          <w:ilvl w:val="0"/>
          <w:numId w:val="2"/>
        </w:numPr>
        <w:spacing w:after="60"/>
      </w:pPr>
      <w:r>
        <w:rPr>
          <w:b/>
        </w:rPr>
        <w:t xml:space="preserve">Dueño a largo plazo</w:t>
      </w:r>
      <w:r>
        <w:t xml:space="preserve">: la familia Hammond controla y la dirección invierte en capacidad cuando hace falta [6].</w:t>
      </w:r>
    </w:p>
    <w:p>
      <w:pPr>
        <w:pStyle w:val="Heading2"/>
      </w:pPr>
      <w:r>
        <w:t xml:space="preserve">En contra</w:t>
      </w:r>
    </w:p>
    <w:p>
      <w:pPr>
        <w:pStyle w:val="ListParagraph"/>
        <w:numPr>
          <w:ilvl w:val="0"/>
          <w:numId w:val="2"/>
        </w:numPr>
        <w:spacing w:after="60"/>
      </w:pPr>
      <w:r>
        <w:rPr>
          <w:b/>
        </w:rPr>
        <w:t xml:space="preserve">Precio de ciclo</w:t>
      </w:r>
      <w:r>
        <w:t xml:space="preserve">: 21,8 veces el BPA de 2027e y un DCF de 116 CAD; el valor intrínseco está un 41 % por debajo.</w:t>
      </w:r>
    </w:p>
    <w:p>
      <w:pPr>
        <w:pStyle w:val="ListParagraph"/>
        <w:numPr>
          <w:ilvl w:val="0"/>
          <w:numId w:val="2"/>
        </w:numPr>
        <w:spacing w:after="60"/>
      </w:pPr>
      <w:r>
        <w:rPr>
          <w:b/>
        </w:rPr>
        <w:t xml:space="preserve">El ciclo gira</w:t>
      </w:r>
      <w:r>
        <w:t xml:space="preserve">: cartera −6,9 % en el 2T26 y competencia en precio [13].</w:t>
      </w:r>
    </w:p>
    <w:p>
      <w:pPr>
        <w:pStyle w:val="ListParagraph"/>
        <w:numPr>
          <w:ilvl w:val="0"/>
          <w:numId w:val="2"/>
        </w:numPr>
        <w:spacing w:after="60"/>
      </w:pPr>
      <w:r>
        <w:rPr>
          <w:b/>
        </w:rPr>
        <w:t xml:space="preserve">AEG con deuda</w:t>
      </w:r>
      <w:r>
        <w:t xml:space="preserve">: 365 M sin EBITDA publicado y deuda neta ajustada de ≈ 3 veces el EBITDA [12].</w:t>
      </w:r>
    </w:p>
    <w:p>
      <w:pPr>
        <w:pStyle w:val="ListParagraph"/>
        <w:numPr>
          <w:ilvl w:val="0"/>
          <w:numId w:val="2"/>
        </w:numPr>
        <w:spacing w:after="60"/>
      </w:pPr>
      <w:r>
        <w:rPr>
          <w:b/>
        </w:rPr>
        <w:t xml:space="preserve">Volatilidad</w:t>
      </w:r>
      <w:r>
        <w:t xml:space="preserve">: se mueve con Vertiv y Powell; −31 % en un mes en julio de 2026 [26, 35].</w:t>
      </w:r>
    </w:p>
    <w:p>
      <w:pPr>
        <w:pStyle w:val="Heading2"/>
      </w:pPr>
      <w:r>
        <w:t xml:space="preserve">Qué tiene que pasar para que la tesis funcione</w:t>
      </w:r>
    </w:p>
    <w:p>
      <w:pPr>
        <w:spacing w:after="100"/>
      </w:pPr>
      <w:r>
        <w:t xml:space="preserve">La cartera y el margen bruto del 3T26 (29-oct) y del 4T26; el margen de AEG; las adjudicaciones de centros de datos con 800 V en corriente continua; el precio de la competencia y la deuda neta sobre EBITDA.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en el 2T26 frente al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y el cierre de la escasez.</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AEG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(supuesto 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Justifica los 365 M pagados.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2,7 veces al cierre de AEG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veces a fin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Desapalancamiento prometido en tres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centros de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Algo más del 30 %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en un ciclo y en una arquitectura.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Hammond Power Solutions es la división de transformadores de la familia Hammond de Guelph (Ontario), que cotiza en Toronto y sigue controlada por William G. Hammond a través de las acciones B [1, 6]. Pasó de fabricante canadiense de transformadores secos estándar a líder norteamericano con plantas en Canadá, EE. UU., México e India. Las decisiones que la explican: concentrar la producción en Monterrey (México), crecer con los distribuidores NAED y la marca blanca en EE. UU., y desde 2021 ampliar hacia calidad de energía (Mesta, Micron) [1]. En 2023 el fundador-presidente cedió la dirección ejecutiva a Adrian Thomas. Desde 2023 la demanda de centros de datos y la escasez de transformadores multiplicaron ventas y márgenes; en 2026 compró AEG Power Solutions (SAI industriales, 365 M) y anunció una planta en Fort Worth [12,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Toronto (HPS.A); 25 años en bolsa en 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Mesta Electronics: filtros activos de armónicos y calentamiento por inducción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empresa conjunta Corefficient en Monterrey; HPS se queda con equipos y plantilla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Adrian Thomas, primer ejecutivo; William G. Hammond sigue de presidente. Programa de ≈85 M de capex para pasar de 1.200 M de capacidad [11,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Micron Industries (EE. UU.) por 21,2 M; Arathorn (Hammond) vende 500.000 acciones 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Monterrey 4 en marcha (≈100 M de capacidad); centro logístico en Dallas; cartera +122 % a fin de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AEG Power Solutions (365 M, cerrada el 29-jun) y nuevo crédito sindicado de hasta 450 M USD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arrendada en Fort Worth (Texas): producción desde el 4T27, ≈250 M de capacidad inicial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HPS diseña y fabrica transformadores secos de baja y media tensión (distribución, encapsulados, de control, aislamiento de variadores, resina colada hasta 35 kV), reactancias, filtros pasivos y activos de armónicos e inversores de calentamiento por inducción; en India, transformadores en aceite [1, 11]. Vende unos 500.000 transformadores al año con 9.000 referencias, el 55-60 % a medida [11]. Sus clientes finales son centros de datos, construcción comercial e industrial, minería, petróleo y gas, renovables, recarga de vehículos y eléctricas; llega a ellos por distribuidores (61 % de las ventas), fabricantes de equipos (22 %) y marca blanca (17 %) [11]. Tiene 18 centros propios y unos 2.700 empleados, con la mayor parte de la capacidad en México, después Canadá y EE. UU. [1, 11]. Desde el 29-jun-2026 suma AEG Power Solutions: SAI industriales, cargadores, rectificadores y conversión de potencia para industria, nuclear, petróleo y gas, ferrocarril e hidrógeno, con 780 empleados, cinco fábricas, ventas de ≈326 M CAD y un 59 % de servicios y posventa [12].</w:t>
      </w:r>
    </w:p>
    <w:p>
      <w:pPr>
        <w:pStyle w:val="Heading2"/>
      </w:pPr>
      <w:r>
        <w:t xml:space="preserve">Cómo gana dinero</w:t>
      </w:r>
    </w:p>
    <w:p>
      <w:pPr>
        <w:spacing w:after="100"/>
      </w:pPr>
      <w:r>
        <w:t xml:space="preserve">Margen sobre el coste de materiales: acero eléctrico de grano orientado, cobre y aluminio son la mayor parte del coste, y el beneficio depende de pasar a precio esas subidas y los aranceles (subidas en abril y agosto de 2025 y en el 1T26) [1, 6]. El producto estándar sigue la inversión general; el producto a medida, los ciclos de inversión de cada sector, hoy los centros de datos [1]. El apalancamiento operativo es alto: con fábricas llenas el margen bruto sube por absorción de costes fijos (32,8 % en 2024) y con plantas nuevas a medio llenar baja (−140 pb en 2025) [1]. Casi nada es recurrente en transformadores; AEG aporta posventa recurrente (59 % de sus ventas) [12]. Estacionalidad suave, con el 4T más fuerte. La cartera de pedidos de producto a medida tarda unos seis meses en convertirse en ventas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México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México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el gasto medio por cliente es de 213.000 USD al año y la empresa no declara ningún cliente que pese más del 10 % [1, 11]. Los distribuidores (61 %) son los canales NAED de material eléctrico; la marca blanca vende a grandes grupos eléctricos con su marca [11]. Los contratos son pedidos, no acuerdos plurianuales, y muchos se pueden cancelar sin penalización mientras no haya empezado la fabricación [6]. Poder de precios demostrado en la escasez: el margen bruto pasó del 26,9 % en 2021 al 32,8 % en 2024 pese a la inflación del cobre, y las subidas de 2025-2026 recuperaron el margen tras los aranceles (31,5 % en el 2T26) [1, 6]. Pero en Canadá y en los acuerdos marco de grandes clientes el precio ya es más competitivo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frente a mar-26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fabrica más de lo que entra; la empresa no publica el importe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mezcla a medida y absorción de fábrica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pagos en acciones, cambio ni costes de compra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 a medida / ventas de producto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el 70 %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grandes de centros de datos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algo más del 30 %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Dicho en la conferencia, sin cifra exacta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EE. UU. y México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 −23,7 % en el mismo trimestre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transformadores secos de baja y media tensión en Norteamérica, donde HPS hace casi todas sus ventas [1, 11]. La propia empresa lo cifra en 3.700 M USD, dentro de un mercado norteamericano de transformadores de unos 9.800 M USD (6.100 M en aceite) [11]. No hay serie histórica pública de ese perímetro; para la tendencia usamos el mercado mundial de transformadores de GlobalData (89.340 M USD en 2030) y MarketsandMarkets (potencia, +6,5 % anual 2025-2030) [14, 15], y Wood Mackenzie para la escasez en EE. UU. [16]. Con AEG, HPS entra además en SAI industriales y conversión de potencia, un nicho fragmentado sin cifra pública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3.700 M USD en Norteamérica, secos (empresa, 2026) [11]; ≈ 65.200 M USD en el mundo en 2025 y 89.340 M en 2030 (estimación a partir de GlobalData y MarketsandMarkets) [14,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transformadores de potencia y distribución,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más del 30 % de las ventas de HPS; los pedidos grandes del 4T25 doblaron la cartera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transformadores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Déficit del 10 % en distribución y del 30 % en potencia en 2025; precios +45-95 % desde 2019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industrial, renovables y red envejecida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emergentes (renovables, recarga, centros de datos, semiconductores) = 36 % de las ventas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reglas de origen (T-MEC)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sus productos cumplen el T-MEC; los aranceles sobre materias primas y transformadores pequeños bajaron el margen del 4T25 al 29,2 %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nueva de los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Siemens, Hitachi Energy, Eaton y los coreanos amplían en EE. UU. y México; HPS ve el precio «más competitivo» [13,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Arquitecturas de 800 V en corriente continua en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ofertas hasta 2027 aún usan diseño tradicional; AEG aporta conversión CC de hasta 1.500 V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globales (Schneider, Eaton, ABB, Siemens, Hitachi) con el 51 % del mercado seco norteamericano y fabricantes pequeños con el 26 %; HPS 23 % [11]. La escasez suaviza hoy la rivalidad.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(213.000 USD de gasto medio), pero los grandes de centros de datos negocian acuerdos marco y pueden cancelar pedidos [6,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de grano orientado lo fabrican pocas acerías en el mundo y HPS depende de él importado; cobre y aluminio en máximos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homologaciones UL/CSA, red de distribuidores y escala; la entrada real viene de importadores asiáticos con costes subvencionados, frenada por aranceles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transformador no tiene sustituto en la distribución en alterna; el riesgo es de diseño (800 V CC en centros de datos) a largo plazo [13].</w:t>
            </w:r>
          </w:p>
        </w:tc>
      </w:tr>
    </w:tbl>
    <w:p>
      <w:pPr>
        <w:spacing w:after="160" w:before="0"/>
      </w:pPr>
    </w:p>
    <w:p>
      <w:pPr>
        <w:pStyle w:val="Heading2"/>
      </w:pPr>
      <w:r>
        <w:t xml:space="preserve">Ciclo</w:t>
      </w:r>
    </w:p>
    <w:p>
      <w:pPr>
        <w:spacing w:after="100"/>
      </w:pPr>
      <w:r>
        <w:t xml:space="preserve">Los indicadores de escasez (plazos, precios +45-95 % desde 2019, déficit de oferta del 10-30 % en EE. UU.) siguen altos, pero la cartera de HPS ya baja en trimestres (−6,9 % en el 2T26), las ofertas no aceleran y el precio empieza a competirse [6, 13, 16, 17]. En la anterior bajada (2015-2020) HPS vendía 300-360 M con márgenes EBITDA de un dígito alto [11]; en 2020 las ventas cayeron un 10 % [5]. En 2022 subió con la inflación de materiales gracias al precio. El ciclo de transformadores es muy largo en precio: tras 2005-2008 los márgenes del sector tardaron casi una década en volver.</w:t>
      </w:r>
    </w:p>
    <w:p>
      <w:pPr>
        <w:pStyle w:val="Heading2"/>
      </w:pPr>
      <w:r>
        <w:t xml:space="preserve">Regulación</w:t>
      </w:r>
    </w:p>
    <w:p>
      <w:pPr>
        <w:spacing w:after="100"/>
      </w:pPr>
      <w:r>
        <w:t xml:space="preserve">Normas de eficiencia del Departamento de Energía de EE. UU. para transformadores de distribución (revisadas en 2024) y de Natural Resources Canada (NRCan 2019), que fijan los diseños [1]. Aranceles de EE. UU. sobre importaciones y materias primas desde 2025, con reglas del T-MEC que protegen a las fábricas mexicanas de HPS si cumplen origen; la revisión del T-MEC de 2026 es un riesgo con fecha [6, 13]. Homologaciones UL y CSA obligatorias para vender [6].</w:t>
      </w:r>
    </w:p>
    <w:p>
      <w:pPr>
        <w:pStyle w:val="Heading2"/>
      </w:pPr>
      <w:r>
        <w:t xml:space="preserve">Tendencias y disrupción</w:t>
      </w:r>
    </w:p>
    <w:p>
      <w:pPr>
        <w:spacing w:after="100"/>
      </w:pPr>
      <w:r>
        <w:t xml:space="preserve">Centros de datos cada vez más grandes, con pedidos de mayor importe y producto a medida, donde HPS gana por capacidad y plazos [13]. Electrificación de procesos industriales, renovables y almacenamiento, que piden filtros de armónicos y calidad de energía, el negocio que HPS quiere ampliar con Mesta, Micron y AEG [1, 12]. A largo plazo, la distribución en corriente continua de 800 V en los centros de IA podría reducir transformadores de baja tensión en la sala y desplazar valor hacia la conversión de potencia; HPS dice que las ofertas hasta 2027 aún son tradicionales [13]. Nuevos rivales: plantas de coreanos y de grandes grupos en EE. UU. y México.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fabricante de transformadores secos de Norteamérica, con el 23 % del mercado seco norteamericano según la empresa (sin India ni calidad de energía); con AEG, especialista en SAI industriales en Europa y Asia [11,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global de distribución eléctrica; transformadores secos dentro de su oferta para centros de datos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(Square 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de gestión de energía; vende transformadores secos con cuadros y SAI [11,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y SAI; competidor de AEG en conversión de potencia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 (Acme)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 eléctrico y de red; vende transformadores secos Acme por los mismos distribuidores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Powell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Cuadros y salas eléctricas a medida para industria y centros de datos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de energía y frío para centros de datos (SAI, distribución); comprador de transformadores y rival de AEG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de potencia con fábrica en Alabama; referencia de márgenes de pico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Prolec GE (GE Vernova)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3.000 M USD de ventas y ≈25 % de margen EBITDA ajustado en 2025; GE Vernova compró el 50 % restante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2.800 distribuidores le dan alcance, pero sin efecto de red real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homologado y especificado en proyectos; en estándar el cliente cambia con facilidad [B12].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en el canal NAED; homologaciones UL/CSA comunes a todos los rivales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México con origen T-MEC y compras a escala; margen EBIT del 11,6 % en 2025 frente al 17-24 % de las plataformas globales (que no es comparable en mezcla) [A1,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especialista en transformadores secos de Norteamérica (23 %) con capacidad de ≈1.300 M de ventas [B1, B13].</w:t>
            </w:r>
          </w:p>
        </w:tc>
      </w:tr>
    </w:tbl>
    <w:p>
      <w:pPr>
        <w:spacing w:after="160" w:before="0"/>
      </w:pPr>
    </w:p>
    <w:p>
      <w:pPr>
        <w:pStyle w:val="Heading2"/>
      </w:pPr>
      <w:r>
        <w:t xml:space="preserve">Amenazas</w:t>
      </w:r>
    </w:p>
    <w:p>
      <w:pPr>
        <w:spacing w:after="100"/>
      </w:pPr>
      <w:r>
        <w:t xml:space="preserve">La principal es la capacidad nueva: Prolec GE, Siemens, Hitachi Energy, Eaton y los coreanos invierten en EE. UU. y México, y cuando la escasez acabe el precio volverá a competirse (probabilidad media-alta en 2027-2029) [13, 19]. Segunda, los importadores con costes subvencionados si se relajan los aranceles [6]. Tercera, la concentración en centros de datos: un frenazo del capex de los grandes de la nube o un cambio de arquitectura (800 V CC) dejaría capacidad ociosa (probabilidad baja-media a 3 años) [6, 13]. Cuarta, los grandes clientes en acuerdos marco ya aprietan el precio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24,0 %</w:t>
      </w:r>
      <w:r>
        <w:t xml:space="preserve">, EBITDA </w:t>
      </w:r>
      <w:r>
        <w:rPr>
          <w:b/>
          <w:bCs/>
        </w:rPr>
        <w:t xml:space="preserve">41,9 %</w:t>
      </w:r>
      <w:r>
        <w:t xml:space="preserve">, BPA </w:t>
      </w:r>
      <w:r>
        <w:rPr>
          <w:b/>
          <w:bCs/>
        </w:rPr>
        <w:t xml:space="preserve">47,6 %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A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380,2 M en 2021 a 898,3 M en 2025 (+24 % anual) y a 1.062,1 M en los 12 meses a junio de 2026 [1, 6]. Casi todo es orgánico: Micron aportó el 3,2 % de las ventas de 2025 y el 2,5 % del crecimiento del 2T26; Mesta (2021) es pequeña [1, 6]. El motor fue EE. UU. y México (de 231,7 M a 631,9 M), por los centros de datos, los fabricantes de cuadros y la marca blanca; las subidas de precio explican 4,4 puntos del +13,9 % de 2025 y el dólar 2,2 [1]. El margen bruto subió del 26,9 % (2021) al 32,8 % (2024) con precio, mezcla de producto a medida y absorción de fábrica, y bajó al 30,3 % en 2025 por aranceles, cobre y 140 pb de arranque de Monterrey 4 [1]; en el 2T26 volvió al 31,5 % [6]. El margen EBIT publicado está deformado por el pago en acciones liquidado en caja, que se revaloriza con la cotización: 20,0 M en 2023, 17,1 M en 2024, 8,8 M en 2025 y 29,7 M en el 1S26 [1, 2, 6]. Ningún año es no comparable salvo 2024 por Micron; desde el 29-jun-2026 entra AEG (≈326 M de ventas anuales), que cambia el perímetro de 2026 [6, 12].</w:t>
      </w:r>
    </w:p>
    <w:p>
      <w:pPr>
        <w:pStyle w:val="Heading2"/>
      </w:pPr>
      <w:r>
        <w:t xml:space="preserve">Ajustes y partidas no recurrentes</w:t>
      </w:r>
    </w:p>
    <w:p>
      <w:pPr>
        <w:spacing w:after="100"/>
      </w:pPr>
      <w:r>
        <w:t xml:space="preserve">La empresa publica EBITDA ajustado y BPA ajustado sin pagos en acciones, diferencias de cambio y, en 2026, costes de la compra de AEG (4,99 M) [6]. EBITDA ajustado: 30,7 M (2021), 73,4 M (2022), 117,2 M (2023), 130,5 M (2024) y 133,3 M (2025) [1]. Usamos las cifras publicadas y solo tratamos como no recurrente el exceso del pago en acciones sobre un 1 % de las ventas (estimación propia del nivel normal: media 2021-2022 del 0,4 % y planes ampliados desde 2023): 12,9 M en 2023, 9,2 M en 2024 y 29,6 M en los últimos 12 meses. Los DSU y PSU se pagan en efectivo y son un coste real, pero su importe depende del precio de la acción, no del negocio; el pasivo acumulado (39,0 M a junio de 2026) va al puente [6]. Las diferencias de cambio y los costes de compra están por debajo del EBIT.</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 la dirección habló de demanda sana, cartera un 94,6 % mayor que un año antes y la recuperación del margen bruto al 30,1 % tras el golpe arancelario del 4T25 (29,2 %) [7]. En la del 2T26 (31-jul) el tono subió: ventas récord de 324,8 M (+44,7 %), margen bruto del 31,5 % y EBITDA ajustado del 16,4 %; Monterrey 4 ya trabaja a plena capacidad y Monterrey 3 sube rápido, con capacidad para unos 1.300 M de ventas [6, 13]. El cambio de discurso: la cartera bajó un 6,9 % en el trimestre porque se fabrica más deprisa de lo que entra, y la dirección admitió que las ofertas están «en línea con finales del año pasado», sin aceleración, y que el precio «empieza a ser un factor más competitivo» [13]. Los analistas (Canaccord, RBC, ATB, Paradigm, J.P. Morgan, Raymond James) preguntaron por el peso de los centros de datos (algo más del 30 % de las ventas), el reparto precio-volumen del +45 %, el margen y las sinergias de AEG y la arquitectura de 800 V en corriente continua; la dirección no dio el desglose precio-volumen, ni cifras de sinergias, ni el margen de AEG, y reconoció que AEG tuvo un primer semestre flojo por Oriente Medio [13]. Superó el consenso: BPA ajustado de 2,76 frente a 2,13 y ventas de 324,8 M frente a 294,2 M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Micron Industries (control y baja tensión en EE. UU.), comprada el 7-oct-2024 por 21,2 M; entra en el balance de 2024 y solo con un trimestre en la cuenta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(existencias + clientes − acreedores) pasó de 58,7 M en 2021 a 197,4 M en 2025 y 243,1 M en junio de 2026, en torno al 22 % de las ventas, porque los pedidos a medida para centros de datos inmovilizan más existencias y cobros [1, 6]. Con capex de 40,7 M en 2024 y 35,7 M en 2025, la caja neta de 21,1 M de 2024 se convirtió en deuda neta de explotación de 15,0 M en 2025 y 36,5 M en junio de 2026 [1, 6]. La compra de AEG cambia el perfil: la deuda neta proforma pasa de ≈36 M a ≈400 M, unas 2,7 veces el EBITDA que la empresa calculó al anunciarla [12]. Los arrendamientos (24,6 M) son naves y vehículos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w:t>
      </w:r>
      <w:r>
        <w:t xml:space="preserve">, conversión </w:t>
      </w:r>
      <w:r>
        <w:rPr>
          <w:b/>
          <w:bCs/>
        </w:rPr>
        <w:t xml:space="preserve">20 %</w:t>
      </w:r>
      <w:r>
        <w:t xml:space="preserve"> del beneficio neto; adquisiciones 35, dividendos 40, recompras 0.</w:t>
      </w:r>
    </w:p>
    <w:p>
      <w:pPr>
        <w:spacing w:after="100"/>
      </w:pPr>
      <w:r>
        <w:t xml:space="preserve">La conversión en caja es floja en plena expansión: el flujo operativo fue de 64,8 M en 2024 y de 26,9 M en 2025 (impuestos pagados de 42,6 M y circulante de −64,1 M), y de 5,0 M en el 1S26, con 68,2 M absorbidos por el circulante [1, 6]. El FCF después de capex, arrendamientos e intereses fue negativo en 2025 y en los últimos 12 meses (−7,1 M). El capex se multiplicó por siete entre 2021 (6,1 M) y 2024 (40,7 M) por el programa de ≈85-90 M de 2023-2026 para Monterrey 3 y 4 y otras plantas [6, 11]; la empresa espera 35-40 M en 2026 [13] y otros ≈50 M para la primera fase de Fort Worth (2027) [21]. Estimación propia del mantenimiento: la amortización de 2025 (20,7 M, 2,3 % de las ventas); el resto es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las cuentas de 2021 a 2025 con opinión favorable sin salvedades [1, 5]. La partida que más distorsiona es el pago en acciones: los DSU (consejeros y alta dirección) y PSU/RSU se liquidan en efectivo y se valoran a precio de mercado, de modo que el gasto fue de 20,0 M en 2023 y 29,7 M en el 1S26 y hubo una recuperación de 1,75 M en el 1S25 cuando cayó la cotización [1, 6]. No hay capitalización de I+D relevante (intangibles de 11,6 M, sobre todo de compras) ni fondo de comercio significativo (15,0 M) [1]. El tipo impositivo efectivo es estable (24,5-26,2 % en 2023-2025) y subió al 30,7 % en el 1S26 por los costes de compra no deducibles [1, 6]. El circulante crece más deprisa que las ventas en 2025-2026 (clientes +35,6 % en el 1S26), algo que el Beneish penaliza pero que tiene causa: entregas concentradas en junio y pedidos grandes a medida [6]. Desde el 3T26 llega la contabilidad de AEG (asignación del precio aún no hecha), con amortización de intangibles que bajará el beneficio publicado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en acciones en efectivo ligado a la cotización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29,7 M en el 1S26 (5,0 % de las ventas); hace ruido en el beneficio y es salida de caja cuando se liquida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 alza y FCF negativo en los últimos 12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+59,9 M y existencias +18,1 M en el 1S26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del precio de AEG pendiente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cifras de activos ni fondo de comercio de AEG hasta el 3T26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 M en 2025 (el 4 % del capital invertido medio); ha subido más de un 5 % en 1 de 4 años: compra única grande. ROIC publicado 22,1 %; sin fondo de comercio, 23,1 %.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27,9 % · </w:t>
      </w:r>
      <w:r>
        <w:rPr>
          <w:b/>
          <w:bCs/>
        </w:rPr>
        <w:t xml:space="preserve">WACC</w:t>
      </w:r>
      <w:r>
        <w:t xml:space="preserve">: 9,9 %.</w:t>
      </w:r>
    </w:p>
    <w:p>
      <w:pPr>
        <w:spacing w:after="100"/>
      </w:pPr>
      <w:r>
        <w:t xml:space="preserve">HPS crea valor: el ROIC fue del 22,1 % en 2025 frente a un WACC del 9,93 %, y del 30-40 % en 2022-2024, cuando la escasez de transformadores subió precios y márgenes [1, 2, 3]. En 2021, antes del ciclo, era del 12,5 %, apenas sobre el coste de capital. Viene de una rotación alta (1,7-2,1 veces las ventas sobre el capital) más que del margen (EBIT del 11,6 % en 2025): el negocio pide mucho circulante (existencias de cobre y acero) pero poco inmovilizado. El ROIC bajó en 2025 por el capex de Monterrey y el circulante; con AEG (365 M de capital por un negocio de menos margen) bajará otra vez en 2026. La pregunta es cuánto de los márgenes de 2023-2026 es ciclo (escasez) y cuánto estructural.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27-jun-2026: caja de 33,6 M y líneas de crédito dispuestas por 70,1 M (deuda neta de explotación 36,5 M) [6]. Al cerrar AEG (29-jun) firmó un crédito sindicado garantizado de hasta 300 M USD a plazo y 150 M USD revolving con vencimiento en 2030; el préstamo a plazo pagó los ≈365 M CAD de AEG [6]. El importe de 2030 del calendario es la estimación propia del préstamo dispuesto (≈ precio de AEG).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Pagos en acciones liquidables en caja: DSU por 32,2 M y PSU/RSU por 6,8 M a 27-jun-2026, dentro de proveedores y acreedores; suben y bajan con la cotización [6]. Pago aplazado de compras de 0,9 M. Compromisos de inversión de 12,9 M [6]. Provisiones de garantías y saneamiento de un terreno en Georgetown (2,7 M en total) [1]. Sin pensiones de prestación definida relevantes (solo una provisión de la filial india) [1]. Cumple todos los covenants bancarios [6]. Inversiones en SmartD y Verdyn (6,3 M a valor razonable) y compromiso de invertir 3 M más en SmartD si cumple hitos [6].</w:t>
      </w:r>
    </w:p>
    <w:p>
      <w:pPr>
        <w:pStyle w:val="Heading1"/>
      </w:pPr>
      <w:r>
        <w:t xml:space="preserve">12. Asignación de capital</w:t>
      </w:r>
    </w:p>
    <w:p>
      <w:pPr>
        <w:pStyle w:val="Confianza"/>
        <w:spacing w:after="100"/>
      </w:pPr>
      <w:r>
        <w:t xml:space="preserve">Confianza: Media</w:t>
      </w:r>
    </w:p>
    <w:p>
      <w:pPr>
        <w:spacing w:after="100"/>
      </w:pPr>
      <w:r>
        <w:t xml:space="preserve">Dividendo trimestral de 0,275 CAD por acción A y B (1,10 al año) desde 2025, frente a 0,34 en 2021; el dividendo de la clase B no puede superar al de la A [1, 6]. No hay recompras. Prioridades declaradas: ampliar capacidad, compras que aporten tecnología y mercados (calidad de energía) y subir el dividendo de forma constante [11]. La compra de AEG (365 M) se financió con deuda bancaria y la empresa prevé desapalancarse con su flujo de caja en tres años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Mesta Electronics (filtros activos de armónicos e inversores de calentamiento por inducción,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16,0 M en 2025; los filtros activos crecen con los centros de datos y la nave de Pensilvania se vende (activo mantenido para la venta en 2026)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Corefficient (empresa conjunta de núcleos en Monterrey con National Material)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HPS se quedó con equipos y personal; base de la expansión en Monterrey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Micron Industries (transformadores de control y baja tensión,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26,7-30,6 M antes de la compra (0,7 veces); 3,2 % de las ventas de 2025 e integrada en el ERP en noviembre de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AEG Power Solutions (SAI industriales, rectificadores y conversión de potencia; Europa y Asia)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sindicado a plazo (hasta 300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29-jun-2026; ≈326 M CAD de ventas en 2025 (1,1 veces) y 2026 «parecido»; primer semestre flojo por Oriente Medio; EBITDA no publicado [6, 12, 13].</w:t>
            </w:r>
          </w:p>
        </w:tc>
      </w:tr>
    </w:tbl>
    <w:p>
      <w:pPr>
        <w:spacing w:after="160" w:before="0"/>
      </w:pPr>
    </w:p>
    <w:p>
      <w:pPr>
        <w:spacing w:after="100"/>
      </w:pPr>
      <w:r>
        <w:t xml:space="preserve">La asignación de capital ha sido buena: el dinero se ha ido a capacidad en México, EE. UU. y Canadá cuando la demanda la pedía, con un ROIC del 22-40 % en 2022-2025, y a compras pequeñas y baratas (Mesta, Micron a 0,7 veces las ventas) [1, 2, 5]. El dividendo sube cada año (de 0,34 a 1,10 CAD) y no hay recompras [1]. La gran apuesta es AEG: 365 M (1,12 veces las ventas, sin EBITDA publicado) pagados con deuda, que llevan la deuda neta a ≈ 2,7 veces el EBITDA al cierre según la empresa, para entrar en SAI industriales en Europa y Asia, un negocio distinto y con menos margen que el suyo; la dirección no dio sinergias y reconoció un primer semestre flojo de AEG [12, 13]. Fort Worth (≈ 50 M para ≈ 250 M de capacidad desde el 4T27) llega cuando la cartera ya baja en el trimestre [13, 21].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Thomas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el 31-jul-2023 [25]. Con él las ventas pasaron de 710,1 M (2023) a 898,3 M (2025) y 1.062,1 M en los últimos 12 meses, la capacidad subió a ≈1.300 M y cerró la mayor compra de la historia (AEG, 365 M) [1, 6,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Vollering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firma los informes y lleva la financiación de AEG (crédito sindicado de hasta 450 M USD)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G. Hammond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(accionista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 hasta 2023 (firmaba el informe de 2021 como «Chairman of the Board &amp; Chief Executive Officer») [5]. Controla la empresa con el 100 % de las acciones B y el 4,7 % de las A (57 % de los votos)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Bailey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las plantas; puso en marcha Monterrey 4 antes de plazo y dentro de presupuesto en 2025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Kinsella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los canales de distribución, OEM y marca blanca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Norman Bates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desarrollo de negocio y presidente de Power Quality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las compras y de la plataforma de calidad de energía (Mesta, Micron, AEG)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M de capex en 2023-2025 para superar 1.200 M de capacidad de ventas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≈1.300 M en 2026; programa ampliado a ≈90 M en 2023-2026 [6,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 para capacidad de producto a medida en México (agosto de 2024)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Monterrey 4 en marcha en 2025, antes de plazo y en presupuesto; a plena capacidad en el 2T26 [1,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AEG en el 2T26 [23]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29-jun-2026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historial de cumplir lo que anuncia en capacidad y compras, aunque la empresa no da guía numérica de ventas ni de márgenes, lo que limita la prueba de credibilidad [1, 6]. El relevo de 2023 (del fundador-presidente a un primer ejecutivo profesional) se hizo sin ruido y con el presidente en el consejo. Lo que está por probar: integrar AEG, una empresa de un tamaño equivalente a un tercio de HPS, en otro continente y con otro negocio (SAI), sin sinergias cuantificadas [13]. Sucesión: la familia Hammond controla el voto; no consta un plan de sucesión público de la presidencia.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G. Hammond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Frederick M. Jaques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R. Huether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Dahra Granovsky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L. Pilon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Marie Turnbull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Yull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Gervais Jacques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G. Hammond (directamente y por Arathorn Investments)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(100 % de las B y 4,7 % de las A; ≈57 %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500.000 acciones A en 2024 (colocación pagada por la empresa: 0,35 M de comisiones); sin cambios en 2025-2026 [1,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Flotante (acciones A sin Hammond)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del personal clave (consejeros y alta dirección) fue de 13,4 M en 2025: 4,6 M de salarios y 8,8 M de pagos en acciones, frente a 21,6 M en 2024 (17,1 M en acciones) [1]. El variable a largo plazo son PSU y RSU para el primer ejecutivo y la alta dirección, y DSU para consejeros y algunos directivos, todos liquidados en efectivo y revalorizados con la cotización [6]. La parte en acciones dominó en 2023-2024 porque la acción se multiplicó; eso premia la cotización más que la rentabilidad. No hemos podido leer la circular de 2026 (SEDAR+ no abre), así que no constan las métricas de las PSU, el clawback ni las indemnizaciones; la remuneración del primer ejecutivo (2,53 M, 44 % fijo) es de un proveedor de datos [25]. Ratio frente al coste medio por empleado (63.800 CAD: 159,5 M de personal entre 2.500 empleados) de unas 40 veces, estimación propia [1].</w:t>
      </w:r>
    </w:p>
    <w:p>
      <w:pPr>
        <w:pStyle w:val="Heading2"/>
      </w:pPr>
      <w:r>
        <w:t xml:space="preserve">Operaciones vinculadas, estructura de control y defensas</w:t>
      </w:r>
    </w:p>
    <w:p>
      <w:pPr>
        <w:spacing w:after="100"/>
      </w:pPr>
      <w:r>
        <w:t xml:space="preserve">William G. Hammond controla la junta: tiene las 2.778.300 acciones B (cuatro votos cada una) y 424.636 A, el 26,9 % del capital y en torno al 57 % de los votos (estimación propia: 11,54 M de 20,24 M de votos) [1, 6]. Las B se convierten una a una en A y no pueden cobrar más dividendo que las A [1]. No hay más clases ni límites de voto. La única operación vinculada es el dividendo (3,5 M a Hammond en 2025) y, en 2024, 0,35 M de comisiones de la colocación de sus acciones que pagó la empresa, un detalle de gobierno poco favorable al minoritario [1]. El presidente y el primer ejecutivo están separados desde 2023 y hay consejero coordinador independiente (Jaques) [6]. El consejo pasó de ocho a nueve miembros el 1-oct-2026 con Gervais Jacques (5N Plus, ex-Rio Tinto) [22]. Con el control familiar, una OPA hostil es imposible; una venta amistosa dependería de Hammond.</w:t>
      </w:r>
    </w:p>
    <w:p>
      <w:pPr>
        <w:pStyle w:val="Heading2"/>
      </w:pPr>
      <w:r>
        <w:t xml:space="preserve">Señales de alerta</w:t>
      </w:r>
    </w:p>
    <w:p>
      <w:pPr>
        <w:pStyle w:val="ListParagraph"/>
        <w:numPr>
          <w:ilvl w:val="0"/>
          <w:numId w:val="2"/>
        </w:numPr>
        <w:spacing w:after="60"/>
      </w:pPr>
      <w:r>
        <w:t xml:space="preserve">La empresa pagó en 2024 0,35 M de comisiones de la venta de 500.000 acciones del accionista de control [1].</w:t>
      </w:r>
    </w:p>
    <w:p>
      <w:pPr>
        <w:pStyle w:val="ListParagraph"/>
        <w:numPr>
          <w:ilvl w:val="0"/>
          <w:numId w:val="2"/>
        </w:numPr>
        <w:spacing w:after="60"/>
      </w:pPr>
      <w:r>
        <w:t xml:space="preserve">Pago en acciones en efectivo muy sensible a la cotización (29,7 M en el 1S26), sin métricas de rentabilidad verificadas en el variable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HPS no publica guía de ventas ni de beneficio [1, 6]. Lo que ha dicho: capex de 35-40 M en 2026 y ≈50 M para la primera fase de Fort Worth (producción desde el 4T27, ≈250 M de capacidad), sin más subidas de precio en 2026, AEG con ventas en 2026 parecidas a las de 2025 (≈326 M CAD) y que la compra elevará el BPA ajustado el primer año completo; cartera que da visibilidad para el resto de 2026 [13, 21, 23]. Última confirmación: conferencia del 31-jul-2026 y comunicado de Fort Worth del 22-sep-2026.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 analistas)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350,00 – 405,00</w:t>
            </w:r>
          </w:p>
        </w:tc>
      </w:tr>
    </w:tbl>
    <w:p>
      <w:pPr>
        <w:spacing w:after="160" w:before="0"/>
      </w:pPr>
    </w:p>
    <w:p>
      <w:pPr>
        <w:pStyle w:val="Heading2"/>
      </w:pPr>
      <w:r>
        <w:t xml:space="preserve">Revisiones de estimaciones</w:t>
      </w:r>
    </w:p>
    <w:p>
      <w:pPr>
        <w:spacing w:after="100"/>
      </w:pPr>
      <w:r>
        <w:t xml:space="preserve">Solo MarketScreener da estimaciones completas; MarketBeat confirma el objetivo medio (382,57 frente a 383,50) y que todas las recomendaciones son de compra (7 de 7) [27, 28, 29]. Yahoo da un BPA ajustado de 10,78 para 2026 y 11,88 para 2027 [30]: el de MarketScreener para 2026 (7,68) parece en base publicada, con los pagos en acciones y los costes de AEG, y el de 2027 (11,39) ya casi ajustado. Los objetivos han subido todo el año: National Bank pasó de 235 (abril) a 325 (mayo), 355 (junio) y 380 (13-oct) [28, 36]. El consenso de ventas de 2026 (1.412 M) incluye medio año de AEG.</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sido una de las mejores de Toronto: +77,8 % en un año y +87,9 % anual en cinco con dividendos, frente al +22,8 % y +14,3 % del índice [26]. Con una volatilidad del 68 % y caídas de hasta el 54 %, se mueve con el grupo de equipo eléctrico para centros de datos (Vertiv, Powell) más que con el mercado canadiense (beta mensual de 0,95) [26, 35]. Sin dato de posición corta.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 -11,6 % / +12,1 % / +76,1 %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 / +79,4 %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24-oct-2025 subió un 27,5 % (+10,2 % el 28-oct) tras los resultados del 3T25 del 23-oct: ventas +13,7 % y cartera +22,4 % frente al 3T24 (+27,7 % en el año), sobre todo productos a medida para centros de datos [8,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en todo el equipo eléctrico de centros de datos tras octubre (Powell −15,7 %, Vertiv −6,8 % en el mes), con caídas del −9,3 % el 6-nov y −8,7 % el 13-nov (Powell −7,9 % ese día)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20-mar subió un 13,7 % tras los resultados de 2025 (19-mar): ventas +13,9 % y la cartera en niveles históricos a fin de año pese al golpe de los aranceles en el margen del 4T25 [1, 35]; el mes cerró con −10,7 %, con el sector (Vertiv −8,6 % y Powell −10,3 % el 26-mar).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subida de un mes (+67 % hasta el 29-abr; +64,9 % en abril) fue de todo el grupo de equipo eléctrico para centros de datos (Vertiv +31 %, Powell +54 % en abril), sin hecho propio de la empresa salvo los resultados del 1T26 del 5-may (ventas +31,5 %) que vinieron después [7, 35]. National Bank subió el objetivo de 235 a 325 en mayo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caída de un mes (−30,9 % hasta el 29-jul; −27,8 % en julio) también fue del sector (Vertiv −27,9 %, Powell −27,1 %): recogida de beneficios y miedo a la valoración de las industriales ligadas a la IA, con días de −11,5 % (2-jul, tras cerrar AEG con deuda), −8,9 % (16-jul) y −10,6 % (28-jul) [35]. Los resultados del 2T26 (30-jul) superaron el consenso y la acción subió un 8 % ese día [6,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22-sep subió un 7,9 % con el anuncio de Fort Worth (≈ 250 M de capacidad desde el 4T27) [21]; el 14-sep cayó un 7,6 % con el sector (Vertiv −7,7 %)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13 % en lo que va de octubre, con un −8,0 % el 13-oct el mismo día en que National Bank subió el objetivo a 380, y caídas del sector el 14 y 16-oct (Powell −7,3 % el 14-oct; Vertiv −14,5 % en el mes) [35, 36]. Sin hecho propio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primero con AEG consolidada (según fuentes secundarias; la empresa publicó el 3T25 el 23-oct) [36]. Examen de la tesis: cartera, margen de AEG y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Bank sube el objetivo de 355 a 380 CAD; los 7-8 analistas que la siguen recomiendan comprar (objetivo medio 383,50) [28,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Gervais Jacques entra en el consejo como independiente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nueva en Fort Worth (Texas): ≈ 50 M de inversión y ≈ 250 M de capacidad desde el 4T27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ventas +44,7 %, EBITDA ajustado del 16,4 %, cartera −6,9 % en el trimestre; la dirección dice que el precio «empieza a ser un factor más competitivo» [6,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fusiones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AEG Power Solutions (365 M) con un crédito sindicado de hasta 300 M USD a plazo y 150 M USD revolving hasta 2030; apalancamiento neto de ≈ 2,7 veces [6,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operaciones de directivos registradas en las bases públicas consultadas (SEDI no abre; MarketBeat sin operaciones) [24]. La familia Hammond no ha anunciado ventas ni colocaciones; con ≈ 57 % de los votos, no hay riesgo de opa hostil ni overhang conocido.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76 % en un año pero cae un 32 % desde el máximo de junio, con tendencia lateral (−1,3 % frente a la media de 200 sesiones) y sin avisos de precio [26]. Todos los movimientos fuertes coinciden con los de Vertiv y Powell: la acción cotiza como parte del grupo de centros de datos, y sus propios hechos (resultados, AEG, Fort Worth) movieron el precio menos que el sector [35]. No hay colocaciones, ampliaciones, litigios ni ventas de directivos conocidas; los resultados del 29-oct pueden mover el precio más de un 10 %, pero la tendencia no es bajista y la recomendación es Mantener: veredicto </w:t>
      </w:r>
      <w:r>
        <w:rPr>
          <w:b/>
        </w:rPr>
        <w:t xml:space="preserve">no cambia</w:t>
      </w:r>
      <w:r>
        <w:t xml:space="preserv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HPS cotiza a 21,8 veces nuestro BPA de 2027e y a 23,1 veces el de los próximos 12 meses, frente a una mediana de 17,0 veces el BPA del año siguiente en 2023-2025 (13,6 en 2023, 21,1 en 2024 y 17,0 en 2025) [1, 2, 3, 26]. En 2021-2022 el múltiplo adelantado fue de 3-4 veces porque nadie esperaba que el BPA se triplicara con la escasez de transformadores: no es una referencia y se excluye. La acción está, por tanto, cara frente a su propia historia reciente aun después de caer un 32 % desde el máximo, y la regla a 12 meses supone que el PER baja hacia esa mediana (con el tope de ÷1,1).</w:t>
      </w:r>
    </w:p>
    <w:p>
      <w:pPr>
        <w:pStyle w:val="Heading1"/>
      </w:pPr>
      <w:r>
        <w:t xml:space="preserve">18. Comparables cotizados</w:t>
      </w:r>
    </w:p>
    <w:p>
      <w:pPr>
        <w:pStyle w:val="Confianza"/>
        <w:spacing w:after="100"/>
      </w:pPr>
      <w:r>
        <w:t xml:space="preserve">Confianza: Media</w:t>
      </w:r>
    </w:p>
    <w:p>
      <w:pPr>
        <w:spacing w:after="100"/>
      </w:pPr>
      <w:r>
        <w:t xml:space="preserve">Fabricantes cotizados de equipo eléctrico de baja y media tensión con exposición a centros de datos y redes de Norteamérica: Eaton, Hubbell (Acme), nVent, Schneider Electric y ABB (rivales directos en transformadores secos y SAI), Vertiv y Powell (mismo cliente y mismo ciclo) y dos fabricantes de transformadores asiáticos con ventas en EE. UU. (HD Hyundai Electric y Fortune Electric). Prolec GE y Hitachi Energy no cotizan aparte. Datos de Yahoo a 19-oct-2026, en millones de CAD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Powell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Fortune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22,8x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 / 22,1x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4,8x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HPS cotiza a 23,1 veces el BPA de los próximos 12 meses, en línea con la mediana del grupo (22,1 veces) y con Powell (24,2) y Vertiv (23,7), que crecen más (24-32 %) y tienen más margen EBITDA (20-22 % frente al 12-15 % de HPS) [30]. Por EV/EBITDA de los últimos 12 meses (22,1 veces) también está en la zona del grupo. Es decir, el mercado paga por HPS lo mismo que por los grandes, con menos margen, menos escala y una cartera que baja en el trimestre; solo el crecimiento de 2026 (+45 % en el 2T, con precio) lo justifica [6].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AEG Power Solutions (SAI industriales)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Hammond Power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2025 ≈326 M CAD; EBITDA no publicado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USD por el 100 % (sin deuda neta publicada), sobre 3.000 M USD de ventas y ≈750 M de EBITDA ajustado de 2025 [19]. Estimación propia del múltiplo; 1,4154 CAD/USD.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DMC Power (conectores de red)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M USD sobre ventas de ≈130 M y EBITDA de ≈60 M previstos para 2026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1.400 M USD sobre ≈378 M USD de ventas de 12 meses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Micron Industries (transformadores de control)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26,7-30,6 M antes de la compra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61,53 – 291,70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del sector se hicieron a 13,8-14,1 veces el EBITDA (Prolec GE por GE Vernova, DMC Power por Hubbell) y a 3,5-6,4 veces las ventas, con márgenes del 25-46 % [19, 33]; HPS compró AEG a 1,12 veces las ventas, un negocio de menos margen [23]. Aplicadas a HPS, con un margen menor, no son comparables limpias: van como contraste (peso 0) y no entran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24 % anual entre 2021 y 2025 (380 → 898 M), casi todo orgánico, por los centros de datos, la escasez de transformadores y las subidas de precio [1, 5]; en el 1S26, +37 % y +44,7 % en el 2T26 [6]. 2026e es fijo: 1S26 publicado (589,6 M), un 2S26 de HPS al ritmo del 2T26 (≈ 650 M) y medio año de AEG (≈ 165 M) = 1.400 M, en línea con el consenso (1.412 M [27]). 2027e +22,9 % (año completo de AEG y +11 % orgánico; consenso 1.716 M), 2028e +10 % (Fort Worth desde el 4T27) y después de 8 % a 3 % en 2035e, porque la cartera ya baja en el trimestre (−6,9 % en el 2T26), las ofertas no aceleran y la capacidad del sector sube [13, 16].</w:t>
      </w:r>
    </w:p>
    <w:p>
      <w:pPr>
        <w:keepNext/>
        <w:spacing w:after="100"/>
      </w:pPr>
      <w:r>
        <w:rPr>
          <w:b/>
          <w:bCs/>
        </w:rPr>
        <w:t xml:space="preserve">Márgenes.</w:t>
      </w:r>
    </w:p>
    <w:p>
      <w:pPr>
        <w:spacing w:after="100"/>
      </w:pPr>
      <w:r>
        <w:t xml:space="preserve">El margen EBITDA publicado fue del 8,1 % en 2021 y del 13,9 % en 2025 (14,8 % ajustado por la empresa), con el margen bruto del 26,9 % al 30,3 % [1, 5]. En el 1S26, EBITDA ajustado del 16,0 % (16,4 % en el 2T26) [6]. Proyectamos un 14,5 % en 2026e y 14,7 % en 2027e netos de un pago en acciones normal del 1 % de las ventas (equivale a ≈ 15,5 % ajustado, como el consenso [27]), que baja al 13,5 % en 2033e: AEG tiene menos margen (≈ 11 %, estimación propia), el precio deja de subir y la escasez se cierra.</w:t>
      </w:r>
    </w:p>
    <w:p>
      <w:pPr>
        <w:keepNext/>
        <w:spacing w:after="100"/>
      </w:pPr>
      <w:r>
        <w:rPr>
          <w:b/>
          <w:bCs/>
        </w:rPr>
        <w:t xml:space="preserve">Inversión y circulante.</w:t>
      </w:r>
    </w:p>
    <w:p>
      <w:pPr>
        <w:spacing w:after="100"/>
      </w:pPr>
      <w:r>
        <w:t xml:space="preserve">Capex del 3,3 % de las ventas en 2026e (35-40 M de HPS según la empresa más AEG [13]), del 4,6 % en 2027e por Fort Worth (≈ 50 M [21]) y del 3,3-3,8 % después, por encima de una amortización del 3,0 % porque el negocio crece. Circulante comercial del 22 % de las ventas, como en 2025 (21,3 %), sin mejora [1].</w:t>
      </w:r>
    </w:p>
    <w:p>
      <w:pPr>
        <w:keepNext/>
        <w:spacing w:after="100"/>
      </w:pPr>
      <w:r>
        <w:rPr>
          <w:b/>
          <w:bCs/>
        </w:rPr>
        <w:t xml:space="preserve">Coste del capital.</w:t>
      </w:r>
    </w:p>
    <w:p>
      <w:pPr>
        <w:spacing w:after="100"/>
      </w:pPr>
      <w:r>
        <w:t xml:space="preserve">Tasa libre del bono de Canadá a 10 años (3,83 % el 15-oct-2026, Banco de Canadá [31]). Beta de 1,1: la medida es de 0,95 mensual frente al índice de Toronto (0,87 ajustada) [26], pero el índice canadiense pesa poco en industria y HPS se mueve con el equipo eléctrico de EE. UU. (Vertiv, Powell) con una volatilidad del 68 %; usamos la beta típica del sector. Prima de mercado del 5,5 % (la implícita del S&amp;P 500 es del 4,2 % [32]) y 1 punto adicional por tamaño (2.900 M de capitalización), concentración en un ciclo de inversión y dependencia del cobre y del acero eléctrico. Coste de la deuda del 5,5 % antes de impuestos (préstamo sindicado de 2026 sin margen publicado; estimación propia), peso de la deuda del 14 % (≈ 465 M de deuda ajustada frente a 2.926 M de capitalización).</w:t>
      </w:r>
    </w:p>
    <w:p>
      <w:pPr>
        <w:keepNext/>
        <w:spacing w:after="100"/>
      </w:pPr>
      <w:r>
        <w:rPr>
          <w:b/>
          <w:bCs/>
        </w:rPr>
        <w:t xml:space="preserve">Valor terminal.</w:t>
      </w:r>
    </w:p>
    <w:p>
      <w:pPr>
        <w:spacing w:after="100"/>
      </w:pPr>
      <w:r>
        <w:t xml:space="preserve">Gordon con un crecimiento del 2,5 %, algo por encima de la inflación de Canadá y EE. UU. por la electrificación, por debajo de la tasa libre. El valor terminal es el 58 % del total y equivale a 7 veces el EBITDA de 2035e, por debajo de las transacciones del sector (13,8-14,1 veces [19, 33]), que se pagaron con márgenes del 25-46 %.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A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M (29 %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(ROIC 22,1 %)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frente al 12,5 %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 (histórico: 27,9 %)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 (hoy: 23,0 %)</w:t>
            </w:r>
          </w:p>
        </w:tc>
      </w:tr>
    </w:tbl>
    <w:p>
      <w:pPr>
        <w:spacing w:after="160" w:before="0"/>
      </w:pPr>
    </w:p>
    <w:p>
      <w:pPr>
        <w:spacing w:after="100"/>
      </w:pPr>
      <w:r>
        <w:t xml:space="preserve">La proyección reinvierte el 29 % del NOPAT. Con el ROIC del último ejercicio (22,1 %), eso financia un crecimiento del 6,4 % anual, frente al 12,5 % de ingresos proyectado. Supone que el capital nuevo rinde un 25,7 %, frente a un ROIC incremental histórico del 27,9 %; la cuota de mercado pasaría al 32,5 % desde el 23,0 %.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+29 % y precio ≈ +6 % en HPS (la dirección no da el desglose; subidas de precio en 2025 y el 1T26 y ninguna más prevista para 2026 [13, 23]) y 20,9 puntos de AEG desde el 29-jun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(Monterrey 3 llenándose), precio +3 % y 11,9 puntos del año completo de AEG.</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(Fort Worth desde el 4T27, ≈ 250 M de capacidad [21]), precio +2 % y un punto de AEG.</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precio +1,5 % y medio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+5,5 % y precio +1,5 %. Ventas de 2.188 M: el 32,5 % de un mercado norteamericano de transformadores secos de ≈ 6.737 M CAD en 2030e (estimación propia: 3.700 M USD de 2026 a +6,5 % anual [11, 15]), frente al 23 % de hoy; sin los ≈ 400 M de AEG, que están fuera de ese perímetro, la cuota sería del ≈ 26,5 %.</w:t>
            </w:r>
          </w:p>
        </w:tc>
      </w:tr>
    </w:tbl>
    <w:p>
      <w:pPr>
        <w:spacing w:after="160" w:before="0"/>
      </w:pPr>
    </w:p>
    <w:p>
      <w:pPr>
        <w:spacing w:after="100"/>
      </w:pPr>
      <w:r>
        <w:t xml:space="preserve">Sí. La proyección crece un 12,5 % al año en 2026-2035, pero un tercio es la compra de AEG (pagada en el puente, no con reinversión): el crecimiento orgánico medio es del ≈ 7 %, la cuarta parte del 24 % de 2021-2025 y cerca del 6,5 % que se espera para el mercado [1, 15]. La reinversión (29 % del NOPAT) al ROIC de 2025 (22,1 %) financia un 6,4 % anual, y el capital nuevo tendría que rendir un 25,7 %, por debajo del 27,9 % incremental histórico. La cuota en transformadores secos de Norteamérica pasa del 23 % a ≈ 26,5 % sin AEG, una subida que encaja con la capacidad de Monterrey y Fort Worth [13, 21].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 (base: 7,7 %)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 (base: 13,5 %)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9,9 %)</w:t>
            </w:r>
          </w:p>
        </w:tc>
      </w:tr>
    </w:tbl>
    <w:p>
      <w:pPr>
        <w:spacing w:after="160" w:before="0"/>
      </w:pPr>
    </w:p>
    <w:p>
      <w:pPr>
        <w:spacing w:after="100"/>
      </w:pPr>
      <w:r>
        <w:t xml:space="preserve">El DCF da 116,28 CAD por acción, un 52,7 % por debajo del precio, con un WACC del 9,93 % y un crecimiento terminal del 2,5 %; el valor terminal es el 58 %. Con la prima implícita del mercado (WACC del 8,7 %) sube a 149,39. La distancia no es de detalle: el precio equivale a crecer un 27,7 % al año en 2027-2035 o a mantener un margen EBITDA del 20,8 % para siempre, y la rentabilidad implícita del precio con nuestra proyección es del 6,7 % anual, por debajo del coste de capital. El mercado valora a HPS como si la escasez de transformadores y el ciclo de centros de datos fueran permanentes.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inversión en centros de datos se frena en 2027 (o pasa a 800 V en corriente continua y necesita menos transformadores secos), la nueva capacidad del sector baja los precios y AEG sigue floja: 6 puntos menos de crecimiento y 2 menos de margen desde 2027e, con un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10-11 % en 2027-2028 que se frena al 3 % en 2035e, AEG entera desde 2027 y margen EBITDA del 14,5-14,7 % que baja al 13,5 % cuando se cierra la escasez.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centros de datos, redes y electrificación sigue años: 4 puntos más de crecimiento y 1 más de margen, con Fort Worth lleno en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AD) · precio actual 24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113,30 CAD (-53,9 %).</w:t>
      </w:r>
    </w:p>
    <w:p>
      <w:pPr>
        <w:spacing w:after="100"/>
      </w:pPr>
      <w:r>
        <w:t xml:space="preserve">Probabilidades del 25/50/25. Ni el alcista (163,55) llega al precio: para justificar 245,75 hace falta un margen EBITDA del ≈ 21 %, el de Vertiv o Powell, que HPS no ha tenido nunca, o un crecimiento muy por encima de su mercado durante diez años. El bajista (57,10) es duro porque el negocio necesita circulante (22 % de las ventas) y ahora tiene deuda por AEG.</w:t>
      </w:r>
    </w:p>
    <w:p>
      <w:pPr>
        <w:pStyle w:val="Heading1"/>
      </w:pPr>
      <w:r>
        <w:t xml:space="preserve">22. Suma de partes</w:t>
      </w:r>
    </w:p>
    <w:p>
      <w:pPr>
        <w:pStyle w:val="Confianza"/>
        <w:spacing w:after="100"/>
      </w:pPr>
      <w:r>
        <w:t xml:space="preserve">Confianza: Media</w:t>
      </w:r>
    </w:p>
    <w:p>
      <w:pPr>
        <w:spacing w:after="100"/>
      </w:pPr>
      <w:r>
        <w:t xml:space="preserve">No aplica: AEG es un negocio distinto (SAI industriales), pero sin cifras separadas de margen y con un precio de compra conocido (365 M), que ya está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AD) · precio actual 24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145,29 CAD (-40,9 % sobre 245,75).</w:t>
      </w:r>
    </w:p>
    <w:p>
      <w:pPr>
        <w:spacing w:after="100"/>
      </w:pPr>
      <w:r>
        <w:t xml:space="preserve">El valor intrínseco (145,29 CAD, un 41 % por debajo del precio) sale en un 50 % del DCF (116,28), un 25 % de los comparables por PER (235,31 de mediana) y un 25 % de los escenarios. El DCF pesa más porque es lo único que mide el negocio a largo plazo; los comparables reflejan el precio que el mercado paga hoy por todo el grupo de centros de datos, que puede ser alto para todos a la vez. Las transacciones (13,8-14,1 veces el EBITDA, con márgenes del 25-46 %) no son comparables limpias y van con peso 0 [19, 33]. Con la prima implícita del mercado (4,2 % [32]) el DCF sube a 149,39: sigue muy por debajo del precio. El precio de hoy equivale a crecer un 27,7 % al año en 2027-2035 o a un margen EBITDA del 20,8 % para siempre, frente al 13,9 % de 2025 y al 16,4 % del mejor trimestre de su historia (2T26) [1, 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(21.8x) ÷ 1.1 (tope: la mediana de 5 años, 17x,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spacing w:after="100"/>
      </w:pPr>
      <w:r>
        <w:rPr>
          <w:b/>
          <w:bCs/>
        </w:rPr>
        <w:t xml:space="preserve">Objetivo a 12 meses (ponderado):</w:t>
      </w:r>
      <w:r>
        <w:t xml:space="preserve"> 234,00 CAD · rentabilidad -4,3 % (base +0,4 %) · señal Mantener.</w:t>
      </w:r>
    </w:p>
    <w:p>
      <w:pPr>
        <w:spacing w:after="100"/>
      </w:pPr>
      <w:r>
        <w:t xml:space="preserve">Para comparar, con la regla v2 (historia al cierre, mismo precio): 15,3x / 21,3x / 22,1x, 1,0 % Mantener; con el tope anterior del base (×1,3, 14-oct mediodía): -5,9 % Mantener. Decide la v3 con tope ×1,1, elegida por el selector de método (historia adelantada de 3 años: decide la más baja de v3 y v2 (v3); METODO-VIGENTE.md).</w:t>
      </w:r>
    </w:p>
    <w:p>
      <w:pPr>
        <w:keepNext/>
        <w:spacing w:after="100"/>
      </w:pPr>
      <w:r>
        <w:rPr>
          <w:b/>
          <w:bCs/>
        </w:rPr>
        <w:t xml:space="preserve">Frente al consenso (solo contraste).</w:t>
      </w:r>
    </w:p>
    <w:p>
      <w:pPr>
        <w:spacing w:after="100"/>
      </w:pPr>
      <w:r>
        <w:t xml:space="preserve">Nuestro BPA de 2027e (11,26) está un 1 % por debajo del consenso (11,39, 8 analistas [27]) y el de 2028e (12,41) un 4 % por debajo (12,88): en beneficio casi coincidimos. La diferencia está en el múltiplo: el objetivo medio de los analistas (383,50, 350-405 [28]) supone pagar ≈ 30 veces el BPA de 2028e dentro de un año, por encima del 21,8 de hoy y del 17,0 de la mediana de 2023-2025; nuestra regla supone que el PER baja hasta 19,8 veces.</w:t>
      </w:r>
    </w:p>
    <w:p>
      <w:pPr>
        <w:keepNext/>
        <w:spacing w:after="100"/>
      </w:pPr>
      <w:r>
        <w:rPr>
          <w:b/>
          <w:bCs/>
        </w:rPr>
        <w:t xml:space="preserve">Del valor intrínseco al objetivo a 12 meses.</w:t>
      </w:r>
    </w:p>
    <w:p>
      <w:pPr>
        <w:spacing w:after="100"/>
      </w:pPr>
      <w:r>
        <w:t xml:space="preserve">El objetivo a 12 meses es de 234,00 CAD (−4,3 % con dividendo; base +0,4 %): nuestro BPA de 2028e por la regla de múltiplos v3 (PER base 19,8 veces: el actual de 21,8 a mitad de camino hacia la mediana de 17,0, con el tope de ÷1,1). El salto del BPA desde el 6,07 de 2025 (26,9 % anual) no es crecimiento orgánico: suma AEG (medio año en 2026 y entero desde 2027), el +37 % del 1S26 ya publicado y la normalización del pago en acciones (8,8 M en 2025 y 29,7 M en el 1S26 por la subida de la acción) [1, 6]; desde nuestro BPA de 2026e (9,40), el crecimiento hasta 2028e es del 14,9 % anual, y el consenso espera algo más (12,88) [27]. El bajista (13,6 veces × 8,93 = 121,45) es el de un ciclo de centros de datos que se para; el alcista (22,1 veces, la mediana de los comparables, × 14,62 = 323,10) el de un 2027 tan bueno como 2026.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primero con AEG consolidada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margen de AEG y si el precio empieza a bajar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primera cifra anual de AEG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2027e (+23 % con AEG) y un margen del 14,7 % neto son realistas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 Worth en producción desde el 4T27 (≈ 250 M de capacidad)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EE. UU. sin aranceles; riesgo de llenarla tarde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los hiperescaladores sobre arquitectura de 800 V en corriente continua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reducir los transformadores secos de baja tensión por centro de datos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capacidad de transformadores en Norteamérica (Prolec GE, Hitachi, Hyundai, Eaton) [16,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escasez y presión en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Desapalancamiento tras AEG (objetivo de la empresa: tres años)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intereses y margen para subir el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escasez de transformadores y bajada de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EBITDA son ≈ 1,6 CAD de BPA de 2028e (≈ −13 % del BPA) y ≈ 15 CAD de DCF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a medida (55-60 %), red de 2.800 distribuidores y plantas en México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30 % o cartera que baja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ciclo de inversión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121,45 CAD (−50 %); DCF bajista de 57,10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son algo más del 30 % de las ventas; el resto es industria, construcción, renovables y redes [11,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capex de los hiperescaladores; cartera de HPS por debajo de un año 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AEG: compra cara o mal integrada,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365 M = 31 CAD por acción; si AEG gana la mitad de lo supuesto, ≈ −0,5 CAD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 de ventas de posventa y servicios, recurrentes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AEG por debajo del 8 % o deuda neta sobre EBITDA que no baja de 2,5 veces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de México y Canadá, cobre y acero eléctrico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margen bruto bajó al 29,2 % en el 4T25 por aranceles [7]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sus productos entra en el tratado CUSMA (T-MEC), subidas de precio y Fort Worth en EE. UU. [9,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exención USMCA o aranceles al cobre refinado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la familia Hammond con acciones B de voto múltiple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opa posible sin la familia;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Mismos derechos económicos; consejo mayoritariamente independiente (80 %)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partes vinculadas o cambios en la sucesión del presidente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volatilidad: la acción cotiza con el grupo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Caídas del 54 % (máxima) y del 31 % en un mes en julio de 2026 [26]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principal de comprar hoy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 Vertiv y Powell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mixto; la demanda de centros de datos es la mayor fuente de crecimiento, pero la arquitectura de 800 V en corriente continua puede reducir los transformadores secos por megavatio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+10 % a 3-5 años según la arquitectura que gane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Mesta (filtros activos) y AEG (rectificadores y conversión) le dan productos para corriente continua [1,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Diseños de referencia de NVIDIA y los hiperescaladores con distribución en 800 V CC desde media tensión</w:t>
            </w:r>
          </w:p>
        </w:tc>
      </w:tr>
    </w:tbl>
    <w:p>
      <w:pPr>
        <w:spacing w:after="160" w:before="0"/>
      </w:pPr>
    </w:p>
    <w:p>
      <w:pPr>
        <w:pStyle w:val="Heading2"/>
      </w:pPr>
      <w:r>
        <w:t xml:space="preserve">Pre-mortem</w:t>
      </w:r>
    </w:p>
    <w:p>
      <w:pPr>
        <w:spacing w:after="100"/>
      </w:pPr>
      <w:r>
        <w:t xml:space="preserve">Es octubre de 2029 y la acción ha perdido un 50 %. Lo que pasó: la escasez de transformadores se cerró en 2027, cuando Prolec GE, Hitachi, Hyundai y Eaton abrieron fábricas en Norteamérica, y los distribuidores, con existencias llenas, pidieron descuentos. Los hiperescaladores pasaron a distribuir en 800 V en corriente continua en los centros nuevos y los transformadores secos de baja tensión por megavatio bajaron. AEG resultó un negocio europeo de poco margen y la deuda no bajó. El margen EBITDA volvió al 11-12 % de antes del ciclo y el mercado pasó a pagar 14 veces el beneficio, el mínimo de 2023. Las señales estaban: la cartera bajó en el 2T26, la dirección habló de precio y las ofertas no aceleraban.</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+10 % a 3-5 años (bajista de 57,10 y alcista de 163,55 por DCF como referencia)</w:t>
      </w:r>
    </w:p>
    <w:p>
      <w:pPr>
        <w:spacing w:after="100"/>
      </w:pPr>
      <w:r>
        <w:t xml:space="preserve">Algo más del 30 % de las ventas va a centros de datos, y esa demanda explica casi todo el crecimiento de 2024-2026 y la valoración de hoy [13]. Es una oportunidad mientras dure la inversión en IA. La amenaza es de arquitectura: NVIDIA y los hiperescaladores proponen distribuir en 800 V en corriente continua desde la media tensión, lo que puede quitar parte de los transformadores secos de baja tensión que HPS vende por cada megavatio; la dirección lo ve lejano y dice que tendrá productos para ello (filtros activos de Mesta, rectificadores de AEG) [13]. En costes, la IA apenas toca un negocio de fábrica. Señal: diseños de referencia con 800 V CC en los centros que se adjudiquen en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eficiencia energética de los transformadores (normas DOE y NRCan; las pérdidas en vacío son la mayor parte de su huella de uso), el consumo de acero eléctrico y cobre, y la seguridad laboral en fábricas con 2.700 empleados [1, 20]. HPS publica informe ESG desde 2023 y certifica Great Place to Work en Canadá, EE. UU., India y México [1, 20]. La venta a renovables, recarga y redes es una oportunidad de ingresos ligada a la transición, sin cifra de taxonomía publicada.</w:t>
      </w:r>
    </w:p>
    <w:p>
      <w:pPr>
        <w:pStyle w:val="Heading2"/>
      </w:pPr>
      <w:r>
        <w:t xml:space="preserve">Controversias</w:t>
      </w:r>
    </w:p>
    <w:p>
      <w:pPr>
        <w:spacing w:after="100"/>
      </w:pPr>
      <w:r>
        <w:t xml:space="preserve">Sin sanciones, litigios relevantes ni incidentes graves en 2023-2026 en los informes anuales ni en los trimestrales; la dirección no tiene conocimiento de pasivos contingentes [6]. Única partida ambiental: una provisión pequeña por el saneamiento compartido de un terreno en Georgetown (Ontario)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+44,7 % de ventas del 2T26 fue precio y qué parte volumen, y qué precios ofrecen hoy en las cotizaciones nuevas?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dio el desglose y admite que el precio «empieza a ser un factor»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bajó la cartera en el 3T26 y cuánto de ella es de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un 6,9 % en el 2T26; es el indicador adelantado del ciclo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tuvo AEG en 2025 y en el 1S26, y qué sinergias espera?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Pagó 365 M sin publicar el EBITDA; el primer semestre fue flojo [12,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transformadores secos por megavatio necesita un centro de datos con distribución en 800 V CC frente a uno en corriente alterna?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IA para la mayor fuente de crecimiento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espera a final de 2026 y 2027, y qué tipo paga por el crédito sindicado?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el margen del préstamo; cambia el BPA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de sucesión tiene la familia Hammond para las acciones B y la presidencia?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Controla ≈ 57 % de los votos con el 27 % del capital [1, 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de siete opiniones de compra en 12 meses; la última (2-oct) la mantiene como «past top pick» por ser el mayor fabricante norteamericano ligado a la IA. Un gestor la vigila pero duda del historial de rentabilidad sobre el capital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($HPS.A.TSX)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análisis técnico (medias de 50 y 200 sesiones, soportes en 200-224 y 290) y objetivos de 360-500; entusiasmo con Fort Worth («big for 2028») y quejas por la volatilidad («staircase up, elevator down»)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que defienden pagar la prima por la demanda de transformadores y la capacidad que llega «justo cuando acelera la demanda de IA»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 Canadá</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la acción como beneficiada del auge de los centros de datos; en Stocktwits se le reprocha que «la sigue empujando» [38,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Beneficiaria de los centros de datos y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ventas (algo más del 30 % de las ventas y cartera doblada), pero el margen EBITDA ajustado (16,4 %) sigue muy por debajo de los rivales y la cartera ya baja en trimestres [6,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análisis técnico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60 sesiones es del 61 % y los movimientos fuertes coinciden con los de Vertiv y Powell: es un valor del tema IA más que de su propia noticia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 Worth y la capacidad para 2028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 ≈250 M de capacidad desde el 4T27 por ≈50 M de inversión, pero hay que llenarla en 2028, cuando entran también las plantas de los rivales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sobre el capital irregular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de un dígito antes de 2022; hoy es alta, pero con AEG (365 M) el capital invertido casi se duplica [1, 6].</w:t>
            </w:r>
          </w:p>
        </w:tc>
      </w:tr>
    </w:tbl>
    <w:p>
      <w:pPr>
        <w:spacing w:after="160" w:before="0"/>
      </w:pPr>
    </w:p>
    <w:p>
      <w:pPr>
        <w:spacing w:after="100"/>
      </w:pPr>
      <w:r>
        <w:t xml:space="preserve">El tono de particulares y gestores es claramente positivo y coincide con el de los analistas (siete compras, objetivo medio un 56 % por encima del precio) [28, 29]. No hay capitulación tras la caída del 32 % desde el máximo de junio: la conversación es técnica y de momento del tema IA. Eso es una señal de que el precio depende más del sentimiento sobre los centros de datos que de la empresa.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40 (19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25,7 % frente a un ROIC de 22,1 % y un incremental histórico de 27,9 %: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32,5 % en 2030e frente al 23,0 %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22,0 % frente a 21,3 % real: genera una variación de circulante de 117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52 M de flujo libre medio en sus tres primeros años, frente a 6 M de media real en los tres últimos: justifica el salto (circulante, inversión, márgenes) o ajusta los supuestos. Explicación: El flujo libre real de 2023-2025 (6 M de media) está deprimido por un programa de capex excepcional (Monterrey 3 y 4: el capex pasó de 6,1 M en 2021 a 40,7 M en 2024) y por el circulante que absorbió la subida de ventas (−64,1 M en 2025) [1, 2, 6]. La proyección de 2026e-2028e (52 M de media) suma AEG (≈ 326 M de ventas con un 59 % de posventa, poco intensiva en capital [12]), baja el capex al 3,3-4,6 % de las ventas (35-40 M en 2026 y ≈ 50 M de Fort Worth en 2027 [13, 21]) y supone que el circulante crece al 22 % de las ventas nuevas, como en 2025. Es un flujo bajo para 1.700-1.900 M de ventas (3 % de margen de flujo).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(12,41) supone un 26,9 % anual desde 6,07 (2025): explícalo en valoracion.objetivo_12m.comentario o la confianza es baja. Explicación: El BPA publicado de 2025 (6,07) lleva 8,8 M de pago en acciones revalorizado y no incluye AEG ni el 1S26 (ventas +37 %) [1, 6]. El salto a 12,41 en 2028e viene de las ventas (1.400 M en 2026e con medio año de AEG, frente a 898 M) y de normalizar el pago en acciones al 1 % de las ventas; el consenso está en 12,88 [27]. Sobre nuestro BPA de 2026e (9,40), el crecimiento hasta 2028e es del 14,9 % anual.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trimestres anteriores al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comparan con consenso); 2) Seeking Alpha (titulares sin cifras fiables: «beats by $81,09M» en el 4T25 no cuadra); 3) Investing.com (solo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2025 (líneas de crédito sin tipo publicado; los intereses incluyen comisiones); 2) Q2 2026 (crédito sindicado sin margen publicado); 3) presentación de AEG (sin coste)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norteamericano de transformadores secos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HPS (solo un año, 3.700 M USD); 2) GMI Insights y Technavio (páginas caídas, 410 Gone, y cifras de pago); 3) GlobalData y MarketsandMarkets (mundo, no Norteamérica)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de agencias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de HPS (sin calificaciones externas); 2) MSCI y Sustainalytics (sin ficha pública de HPS);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del mercado seco norteamericano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HPS (51 % de las plataformas globales sin desglose); 2) informes anuales de los rivales (no desglosan transformadores secos);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(SEDI)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SEDI (antibot, no abre); 2) Canadian Insider (carga por JavaScript, sin datos); 3) MarketBeat (sin operaciones, base actualizada el 29-jul-2025)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circular de la junta de 2026 (votos, métricas del variable, antigüedad de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SEDAR+ (403); 2) web de inversores de HPS (no publica la circular); 3) búsqueda web (solo resúmenes de proveedores)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IIROC/CIRO (informes de cortos no abren sin navegador); 2) TMX Money (JavaScript); 3) MarketBeat (sin dato para HPS.A)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earningsTrend (solo BPA y ventas); 2) MarketScreener por comparable (bloqueo 403 por curl); 3) Stock Analysis (solo LTM)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y trimestrales (no lo citan); 2) web de inversores; 3) MarketScreener (no lo muestra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Stockhouse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Stockhouse (403); 2) Reddit (403); 3) Seeking Alpha comentarios (solo RSS de títulos)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MD&amp;A, estados consolidados auditados 2025 y 2024 y notas (ventas por geografía, arrendamientos, impuestos, pagos en acciones, partes vinculadas, segmento único)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https://americas.hammondpowersolutions.com/-/media/Project/HPS/shared/Investor-Relations/2025-Annual-Report-and-Q4-2024-PR/2025-HPS-Annual-Report-031926-FP.pdf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estados consolidados 2024 y 2023 (pago en acciones separado) y compra de Micron (nota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https://americas.hammondpowersolutions.com/-/media/Project/HPS/shared/Investor-Relations/2024-Annual-Report---Hammond-Power-Solutions-Inc---March-20-2025.pdf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estados consolidados 2023 y 2022 y ventas por geografía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https://americas.hammondpowersolutions.com/-/media/Project/HPS/shared/Investor-Relations/HPS-ANNUAL-REPORT-2023---FINAL.pdf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estados 2022 y 2021 y separación de la empresa conjunta Corefficient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https://americas.hammondpowersolutions.com/-/media/Project/HPS/shared/Investor-Relations/HPS-Annual-Report-2022_FINAL.pdf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2021 y 2020 y compra de Mesta Electronics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https://americas.hammondpowersolutions.com/-/media/Project/HPS/shared/Investor-Relations/HPS-Annual-Report-FINAL-2021.pdf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2026: MD&amp;A y estados intermedios a 27-jun-2026 (balance, flujos, pagos en acciones, cierre de AEG como hecho posterior)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https://americas.hammondpowersolutions.com/-/media/Project/HPS/shared/Investor-Relations/2026-YEAR-ITEMS/Q2-2026/2026-HPS-Q2-Report_FINAL.pdf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Report 2026: MD&amp;A y estados intermedios a 28-mar-2026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https://americas.hammondpowersolutions.com/-/media/Project/HPS/shared/Investor-Relations/2026-YEAR-ITEMS/Q1-2026/2026-HPS-Q1-Report_FINAL.pdf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Report 2025: MD&amp;A y estados intermedios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https://americas.hammondpowersolutions.com/-/media/Project/HPS/shared/Investor-Relations/HPS-Q3-2025-Report---102325-FP.pdf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Report 2025 y Q1 Report 2025: EBITDA ajustado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https://americas.hammondpowersolutions.com/-/media/Project/HPS/shared/Investor-Relations/2025-HPS-Q2-Report.pdf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Report 2024: ventas trimestrales de 2023 y 2024 y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https://americas.hammondpowersolutions.com/-/media/Project/HPS/shared/Investor-Relations/HPS-Q3-2024-REPORT.pdf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 (canales, mezcla de clientes, cuota y tamaño de mercado, ventas y EBITDA ajustado 2019-2026)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https://americas.hammondpowersolutions.com/-/media/Project/HPS/shared/Investor-Relations/2026-YEAR-ITEMS/Q2-2026/Hammond-Aug-2026---Q2-IR-Presentation.pdf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Accelerating Our Power Quality Platform: presentación de la compra de AEG Power Solutions (365 M CAD de valor empresa, ventas proforma, apalancamiento 2,7x)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https://americas.hammondpowersolutions.com/-/media/Project/HPS/shared/Investor-Relations/HPS-AEG-INVESTOR-PRESENTATION.pdf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Hammond Power Solutions tops Q2 2026 forecasts (conferencia del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https://www.investing.com/news/transcripts/earnings-call-transcript-hammond-power-solutions-tops-q2-2026-forecasts-93CH-4828577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transformers market to reach 89,34 mil M USD in 2030 (potencia 35,83 y distribución 53,51)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https://www.globaldata.com/media/power/global-transformers-market-to-reach-89-34-billion-in-2030-led-by-asia-pacific-forecasts-globaldata/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 Market worth 41,62 mil M USD by 2030 (30,38 mil M en 2025,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https://www.globenewswire.com/news-release/2025/09/29/3157392/0/en/Power-Transformer-Market-Size-Projected-to-Grow-41-62-billion-by-2030-MarketsandMarkets.html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transformers and distribution transformers will face supply deficits of 30 % and 10 %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Wood Mackenzie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https://www.woodmac.com/press-releases/power-transformers-and-distribution-transformers-will-face-supply-deficits-of-30-and-10-in-2025/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transformer market faces severe bottlenecks (precios +45-95 % desde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Transformers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https://transformers-magazine.com/tm-news/us-transformer-market-faces-severe-bottlenecks/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Eaton, Vertiv, Powell, Hubbell, nVent, Schneider Electric, ABB, HD Hyundai Electric y Fortune Electric (ventas y EBIT del último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https://finance.yahoo.com/quote/ETN/financials/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acquire full ownership of Prolec GE (5.275 M USD por el 50 %; 3.000 M USD de ventas y ≈25 % de margen EBITDA ajustado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https://www.gevernova.com/sites/default/files/press-release-prolec-ge-acquisition.pdf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https://americas.hammondpowersolutions.com/-/media/Project/HPS/shared/Investor-Relations/2025-ESG-REPORT/2025-HPS-ESG-Report_Final.pdf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increases North American manufacturing capacity (Fort Worth: ≈250 M CAD de capacidad inicial, ≈50 M de inversión, hasta 400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(BNN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https://www.bnnbloomberg.ca/press-releases/2026/09/22/hammond-power-solutions-increases-north-american-manufacturing-capacity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Appoints Gervais Jacques to its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https://finance.yahoo.com/markets/stocks/articles/hammond-power-solutions-appoints-gervais-150000952.html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 to Acquire AEG Power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https://americas.hammondpowersolutions.com/news/2026/february/hps-aeg-power-solutions-aquisition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trades HPS.A (sin operaciones en los últimos 12 meses en su base, actualizada el 29-jul-2025)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https://www.marketbeat.com/stocks/TSE/HPS.A/insider-trades/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management (primer ejecutivo desde el 31-jul-2023; remuneración total de 2,53 M CAD, 44,2 % fijo; participación del 0,03 %)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https://simplywall.st/stocks/ca/capital-goods/tsx-hps.a/hammond-power-solutions-shares/management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HPS-A.TO, XIC.TO y XLI (precio, rango, volumen, rentabilidades, betas, volatilidad, caída máxima,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https://finance.yahoo.com/quote/HPS-A.TO/history/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estimaciones 2026-2028 (8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https://www.marketscreener.com/quote/stock/HAMMOND-POWER-SOLUTIONS-I-1410361/finances/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consenso (BUY; objetivo medio 383,50, máx. 405, mín. 350)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https://www.marketscreener.com/quote/stock/HAMMOND-POWER-SOLUTIONS-I-1410361/consensus/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HPS.A price target (7 comprar, 0 mantener; objetivo medio 382,57, máx. 430, mín. 348)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https://www.marketbeat.com/stocks/TSE/HPS.A/price-target/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earningsTrend de los comparables (precio, capitalización, deuda neta, EBITDA de 12 meses,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https://finance.yahoo.com/quote/ETN/analysis/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Benchmark bond yield, 10-year (BD.CDN.10YR.DQ.YLD) y USD/CAD, EUR/CAD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 (Valet)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https://www.bankofcanada.ca/valet/observations/BD.CDN.10YR.DQ.YLD,FXUSDCAD,FXEURCAD/json?recent=5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DMC Power (825 M USD; ventas 2026e ≈130 M y EBITDA ≈60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 (SEC, 8-K, ex.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https://www.sec.gov/Archives/edgar/data/48898/000119312525180835/d941242dex991.htm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acquires manufacturer of enclosures for data center market (Fibrebond, 1.400 M USD; ventas de ≈378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Wholesaling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https://ewweb.com/news/mergers-acquisitions/article/55274679/eaton-acquires-manufacturer-of-enclosures-for-data-center-market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(movimiento.mjs) y variaciones diarias y mensuales de HPS-A.TO, VRT, POWL y ETN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https://finance.yahoo.com/quote/HPS-A.TO/chart/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Bank lifts target for Hammond Power Solutions stock to CAD 380.00 (13-oct; resultados el 29-oct)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https://www.ad-hoc-news.de/boerse/news/nebenwerte/national-bank-lifts-target-for-hammond-power-solutions-stock-to-cad-380-00/70349135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 opiniones de expertos sobre HPS.A (7 en 12 meses: 5 comprar, 2 mantener)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https://stockchase.com/company/view/3040/HPSA-T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de $HPS.A.TSX (mayo-octubre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https://stocktwits.com/symbol/HPS.A.CA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Hammond Power (RSS: «Capacity Has Arrived Just As AI Power Demand Accelerates», «Transformer Demand Makes The Premium Worth Paying», Fort Worth)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https://seekingalpha.com/symbol/HMDPF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stock could cash in big on the data centre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https://www.fool.ca/2026/09/28/hammond-power-solutions-stock-could-cash-in-big-on-the-data-centre-boom/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86,9 %</w:t>
      </w:r>
      <w:r>
        <w:t xml:space="preserve"> · Secciones con menos del 60 % de campos cubiertos: </w:t>
      </w:r>
      <w:r>
        <w:rPr>
          <w:b/>
          <w:bCs/>
        </w:rPr>
        <w:t xml:space="preserve">gobierno</w:t>
      </w:r>
      <w:r>
        <w:t xml:space="preserve"> · Generado el 19 oct 2026.</w:t>
      </w:r>
    </w:p>
    <w:p>
      <w:pPr>
        <w:pStyle w:val="Nota"/>
        <w:spacing w:after="100"/>
      </w:pPr>
      <w:r>
        <w:t xml:space="preserve">Cuentas en millones de CAD, en NIIF, de los informes anuales auditados 2021-2025 (KPMG) y de los trimestrales de 2024-2026 que la empresa publica en su web y en SEDAR+ [1, 2, 3, 4, 5, 6, 7, 8, 9, 10]; Canadá no tiene XBRL en herramientas/cuentas.mjs y SEDAR+ bloquea las descargas automáticas (403), así que los documentos salen de la web de inversores (americas.hammondpowersolutions.com). Tres cuestiones cambian la lectura. (1) </w:t>
      </w:r>
      <w:r>
        <w:rPr>
          <w:b/>
        </w:rPr>
        <w:t xml:space="preserve">Dos clases de acciones</w:t>
      </w:r>
      <w:r>
        <w:t xml:space="preserve">: 9.126.624 A cotizadas y 2.778.300 B sin cotizar, de William G. Hammond (cuatro votos cada una, mismos derechos económicos y el dividendo de la B no puede superar al de la A) [1, 6]; el valor por acción se calcula sobre las 11.904.924 y el precio de la A se aplica también a la B. Con 424.636 A más las B, la familia tiene el 26,9 % del capital y ≈ 57 % de los votos. (2) </w:t>
      </w:r>
      <w:r>
        <w:rPr>
          <w:b/>
        </w:rPr>
        <w:t xml:space="preserve">Pago en acciones liquidado en efectivo</w:t>
      </w:r>
      <w:r>
        <w:t xml:space="preserve">: los DSU, PSU y RSU se revalorizan con la cotización y su gasto (29,7 M en el 1S26) deforma el EBITDA, el EBIT y el BPA publicados [6]; tratamos como no recurrente solo el exceso sobre el 1 % de las ventas, proyectamos ese 1 % y sumamos el pasivo acumulado (39,0 M) al puente. No hay dilución por ellos. (3) </w:t>
      </w:r>
      <w:r>
        <w:rPr>
          <w:b/>
        </w:rPr>
        <w:t xml:space="preserve">AEG Power Solutions</w:t>
      </w:r>
      <w:r>
        <w:t xml:space="preserve"> se cerró el 29-jun-2026, dos días después del último balance: su precio (365 M, pagado con deuda nueva) va en el puente y sus ventas (≈ 326 M al año) en la proyección desde el 2S26 [6, 12]; el EBITDA de AEG no está publicado y suponemos un margen del 11 % (estimación propia). Como su circulante se compró con el precio, la proyección lo vuelve a cobrar al crecer las ventas en 2026e-2027e (≈ 3 CAD por acción de sesgo prudente). Precio: cierre de HPS-A.TO del 16-oct-2026 (245,75 CAD), el último antes del corte (el 19-oct la bolsa aún no había abierto) [26]. Bono de Canadá a 10 años del 15-oct-2026 (3,83 %), el último publicado por el Banco de Canadá, y tipos de cambio del 16-oct [31].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Hammond Power Solutions Inc. (HPS.A)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245,75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(132,49 – 365,12)</c:v>
                </c:pt>
                <c:pt idx="1">
                  <c:v>Precio objetivo de los analistas (350,00 – 405,00)</c:v>
                </c:pt>
                <c:pt idx="2">
                  <c:v>Comparables: PER NTM (222,53 – 257,67)</c:v>
                </c:pt>
                <c:pt idx="3">
                  <c:v>Transacciones precedentes (EV/ventas) (61,53 – 291,70)</c:v>
                </c:pt>
                <c:pt idx="4">
                  <c:v>DCF (WACC y g ± 0,5) (100,66 – 136,61)</c:v>
                </c:pt>
                <c:pt idx="5">
                  <c:v>Escenarios (bajista – alcista) (57,10 – 163,55)</c:v>
                </c:pt>
                <c:pt idx="6">
                  <c:v>DCF con la prima implícita del mercado (4,2 %)</c:v>
                </c:pt>
                <c:pt idx="7">
                  <c:v>Precio actual (245,75)</c:v>
                </c:pt>
              </c:strCache>
            </c:strRef>
          </c:cat>
          <c:val>
            <c:numRef>
              <c:f>Hoja1!$B$2:$B$9</c:f>
              <c:numCache>
                <c:formatCode>#,##0</c:formatCode>
                <c:ptCount val="8"/>
                <c:pt idx="0">
                  <c:v>132.49</c:v>
                </c:pt>
                <c:pt idx="1">
                  <c:v>350</c:v>
                </c:pt>
                <c:pt idx="2">
                  <c:v>222.53</c:v>
                </c:pt>
                <c:pt idx="3">
                  <c:v>61.53</c:v>
                </c:pt>
                <c:pt idx="4">
                  <c:v>100.66</c:v>
                </c:pt>
                <c:pt idx="5">
                  <c:v>57.1</c:v>
                </c:pt>
                <c:pt idx="6">
                  <c:v>134.44</c:v>
                </c:pt>
                <c:pt idx="7">
                  <c:v>244.52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(132,49 – 365,12)</c:v>
                </c:pt>
                <c:pt idx="1">
                  <c:v>Precio objetivo de los analistas (350,00 – 405,00)</c:v>
                </c:pt>
                <c:pt idx="2">
                  <c:v>Comparables: PER NTM (222,53 – 257,67)</c:v>
                </c:pt>
                <c:pt idx="3">
                  <c:v>Transacciones precedentes (EV/ventas) (61,53 – 291,70)</c:v>
                </c:pt>
                <c:pt idx="4">
                  <c:v>DCF (WACC y g ± 0,5) (100,66 – 136,61)</c:v>
                </c:pt>
                <c:pt idx="5">
                  <c:v>Escenarios (bajista – alcista) (57,10 – 163,55)</c:v>
                </c:pt>
                <c:pt idx="6">
                  <c:v>DCF con la prima implícita del mercado (4,2 %)</c:v>
                </c:pt>
                <c:pt idx="7">
                  <c:v>Precio actual (245,75)</c:v>
                </c:pt>
              </c:strCache>
            </c:strRef>
          </c:cat>
          <c:val>
            <c:numRef>
              <c:f>Hoja1!$C$2:$C$9</c:f>
              <c:numCache>
                <c:formatCode>#,##0</c:formatCode>
                <c:ptCount val="8"/>
                <c:pt idx="0">
                  <c:v>232.63</c:v>
                </c:pt>
                <c:pt idx="1">
                  <c:v>55</c:v>
                </c:pt>
                <c:pt idx="2">
                  <c:v>35.140000000000015</c:v>
                </c:pt>
                <c:pt idx="3">
                  <c:v>230.17</c:v>
                </c:pt>
                <c:pt idx="4">
                  <c:v>35.95000000000002</c:v>
                </c:pt>
                <c:pt idx="5">
                  <c:v>106.45000000000002</c:v>
                </c:pt>
                <c:pt idx="6">
                  <c:v>32.56999999999999</c:v>
                </c:pt>
                <c:pt idx="7">
                  <c:v>2.4599999999999795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(CAD, millones)</a:t>
            </a:r>
          </a:p>
        </c:rich>
      </c:tx>
      <c:overlay val="0"/>
    </c:title>
    <c:autoTitleDeleted val="0"/>
    <c:plotArea>
      <c:layout/>
      <c:barChart>
        <c:barDir val="col"/>
        <c:grouping val="stacked"/>
        <c:varyColors val="0"/>
        <c:ser>
          <c:idx val="0"/>
          <c:order val="0"/>
          <c:tx>
            <c:strRef>
              <c:f>Hoja1!$B$1</c:f>
              <c:strCache>
                <c:ptCount val="1"/>
                <c:pt idx="0">
                  <c:v>EE. UU. y México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231.738</c:v>
                </c:pt>
                <c:pt idx="1">
                  <c:v>383.137</c:v>
                </c:pt>
                <c:pt idx="2">
                  <c:v>489.579</c:v>
                </c:pt>
                <c:pt idx="3">
                  <c:v>534.888</c:v>
                </c:pt>
                <c:pt idx="4">
                  <c:v>631.921</c:v>
                </c:pt>
              </c:numCache>
            </c:numRef>
          </c:val>
        </c:ser>
        <c:ser>
          <c:idx val="1"/>
          <c:order val="1"/>
          <c:tx>
            <c:strRef>
              <c:f>Hoja1!$C$1</c:f>
              <c:strCache>
                <c:ptCount val="1"/>
                <c:pt idx="0">
                  <c:v>Canadá</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130.184</c:v>
                </c:pt>
                <c:pt idx="1">
                  <c:v>151.058</c:v>
                </c:pt>
                <c:pt idx="2">
                  <c:v>175.619</c:v>
                </c:pt>
                <c:pt idx="3">
                  <c:v>215.394</c:v>
                </c:pt>
                <c:pt idx="4">
                  <c:v>233.981</c:v>
                </c:pt>
              </c:numCache>
            </c:numRef>
          </c:val>
        </c:ser>
        <c:ser>
          <c:idx val="2"/>
          <c:order val="2"/>
          <c:tx>
            <c:strRef>
              <c:f>Hoja1!$D$1</c:f>
              <c:strCache>
                <c:ptCount val="1"/>
                <c:pt idx="0">
                  <c:v>India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18.28</c:v>
                </c:pt>
                <c:pt idx="1">
                  <c:v>24.269</c:v>
                </c:pt>
                <c:pt idx="2">
                  <c:v>44.866</c:v>
                </c:pt>
                <c:pt idx="3">
                  <c:v>38.058</c:v>
                </c:pt>
                <c:pt idx="4">
                  <c:v>32.353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EE. UU. y México</c:v>
                </c:pt>
                <c:pt idx="1">
                  <c:v>Canadá</c:v>
                </c:pt>
                <c:pt idx="2">
                  <c:v>India</c:v>
                </c:pt>
              </c:strCache>
            </c:strRef>
          </c:cat>
          <c:val>
            <c:numRef>
              <c:f>Hoja1!$B$2:$B$4</c:f>
              <c:numCache>
                <c:formatCode>General</c:formatCode>
                <c:ptCount val="3"/>
                <c:pt idx="0">
                  <c:v>70.3</c:v>
                </c:pt>
                <c:pt idx="1">
                  <c:v>26</c:v>
                </c:pt>
                <c:pt idx="2">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y México</c:v>
                </c:pt>
                <c:pt idx="1">
                  <c:v>Canadá</c:v>
                </c:pt>
                <c:pt idx="2">
                  <c:v>India</c:v>
                </c:pt>
              </c:strCache>
            </c:strRef>
          </c:cat>
          <c:val>
            <c:numRef>
              <c:f>Hoja1!$B$2:$B$4</c:f>
              <c:numCache>
                <c:formatCode>0"%"</c:formatCode>
                <c:ptCount val="3"/>
                <c:pt idx="0">
                  <c:v>70.4</c:v>
                </c:pt>
                <c:pt idx="1">
                  <c:v>26</c:v>
                </c:pt>
                <c:pt idx="2">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(transformadores de potencia y distribución,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2025e</c:v>
                </c:pt>
                <c:pt idx="1">
                  <c:v>2030e</c:v>
                </c:pt>
              </c:strCache>
            </c:strRef>
          </c:cat>
          <c:val>
            <c:numRef>
              <c:f>Hoja1!$B$2:$B$3</c:f>
              <c:numCache>
                <c:formatCode>#,##0</c:formatCode>
                <c:ptCount val="2"/>
                <c:pt idx="0">
                  <c:v>65200</c:v>
                </c:pt>
                <c:pt idx="1">
                  <c:v>89340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Hammond Power</c:v>
                </c:pt>
                <c:pt idx="1">
                  <c:v>Eaton</c:v>
                </c:pt>
                <c:pt idx="2">
                  <c:v>Schneider Electric (Square D)</c:v>
                </c:pt>
                <c:pt idx="3">
                  <c:v>ABB</c:v>
                </c:pt>
                <c:pt idx="4">
                  <c:v>Hubbell (Acme)</c:v>
                </c:pt>
                <c:pt idx="5">
                  <c:v>Powell Industries</c:v>
                </c:pt>
                <c:pt idx="6">
                  <c:v>Vertiv</c:v>
                </c:pt>
                <c:pt idx="7">
                  <c:v>HD Hyundai Electric</c:v>
                </c:pt>
                <c:pt idx="8">
                  <c:v>Prolec GE (GE Vernova)</c:v>
                </c:pt>
              </c:strCache>
            </c:strRef>
          </c:cat>
          <c:val>
            <c:numRef>
              <c:f>Hoja1!$B$2:$B$10</c:f>
              <c:numCache>
                <c:formatCode>0.0"%"</c:formatCode>
                <c:ptCount val="9"/>
                <c:pt idx="0">
                  <c:v>11.6</c:v>
                </c:pt>
                <c:pt idx="1">
                  <c:v>18.8</c:v>
                </c:pt>
                <c:pt idx="2">
                  <c:v>16.7</c:v>
                </c:pt>
                <c:pt idx="3">
                  <c:v>19</c:v>
                </c:pt>
                <c:pt idx="4">
                  <c:v>20.2</c:v>
                </c:pt>
                <c:pt idx="5">
                  <c:v>19.7</c:v>
                </c:pt>
                <c:pt idx="6">
                  <c:v>17.9</c:v>
                </c:pt>
                <c:pt idx="7">
                  <c:v>23.9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(CAD,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380.202</c:v>
                </c:pt>
                <c:pt idx="1">
                  <c:v>558.464</c:v>
                </c:pt>
                <c:pt idx="2">
                  <c:v>710.064</c:v>
                </c:pt>
                <c:pt idx="3">
                  <c:v>788.34</c:v>
                </c:pt>
                <c:pt idx="4">
                  <c:v>898.255</c:v>
                </c:pt>
                <c:pt idx="5">
                  <c:v>1400</c:v>
                </c:pt>
                <c:pt idx="6">
                  <c:v>1721</c:v>
                </c:pt>
                <c:pt idx="7">
                  <c:v>1893</c:v>
                </c:pt>
                <c:pt idx="8">
                  <c:v>2045</c:v>
                </c:pt>
                <c:pt idx="9">
                  <c:v>2188</c:v>
                </c:pt>
                <c:pt idx="10">
                  <c:v>2319</c:v>
                </c:pt>
                <c:pt idx="11">
                  <c:v>2435</c:v>
                </c:pt>
                <c:pt idx="12">
                  <c:v>2532</c:v>
                </c:pt>
                <c:pt idx="13">
                  <c:v>2621</c:v>
                </c:pt>
                <c:pt idx="14">
                  <c:v>2700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30.714</c:v>
                </c:pt>
                <c:pt idx="1">
                  <c:v>70.422</c:v>
                </c:pt>
                <c:pt idx="2">
                  <c:v>110.255</c:v>
                </c:pt>
                <c:pt idx="3">
                  <c:v>122.674</c:v>
                </c:pt>
                <c:pt idx="4">
                  <c:v>124.69</c:v>
                </c:pt>
                <c:pt idx="5">
                  <c:v>203</c:v>
                </c:pt>
                <c:pt idx="6">
                  <c:v>253</c:v>
                </c:pt>
                <c:pt idx="7">
                  <c:v>275</c:v>
                </c:pt>
                <c:pt idx="8">
                  <c:v>290</c:v>
                </c:pt>
                <c:pt idx="9">
                  <c:v>306</c:v>
                </c:pt>
                <c:pt idx="10">
                  <c:v>320</c:v>
                </c:pt>
                <c:pt idx="11">
                  <c:v>331</c:v>
                </c:pt>
                <c:pt idx="12">
                  <c:v>342</c:v>
                </c:pt>
                <c:pt idx="13">
                  <c:v>354</c:v>
                </c:pt>
                <c:pt idx="14">
                  <c:v>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26.9</c:v>
                </c:pt>
                <c:pt idx="1">
                  <c:v>29.6</c:v>
                </c:pt>
                <c:pt idx="2">
                  <c:v>32.5</c:v>
                </c:pt>
                <c:pt idx="3">
                  <c:v>32.8</c:v>
                </c:pt>
                <c:pt idx="4">
                  <c:v>30.3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12.6</c:v>
                </c:pt>
                <c:pt idx="2">
                  <c:v>15.5</c:v>
                </c:pt>
                <c:pt idx="3">
                  <c:v>15.6</c:v>
                </c:pt>
                <c:pt idx="4">
                  <c:v>13.9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6.1</c:v>
                </c:pt>
                <c:pt idx="1">
                  <c:v>10.6</c:v>
                </c:pt>
                <c:pt idx="2">
                  <c:v>14</c:v>
                </c:pt>
                <c:pt idx="3">
                  <c:v>13.7</c:v>
                </c:pt>
                <c:pt idx="4">
                  <c:v>11.6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c:v>
                </c:pt>
                <c:pt idx="1">
                  <c:v>8</c:v>
                </c:pt>
                <c:pt idx="2">
                  <c:v>8.9</c:v>
                </c:pt>
                <c:pt idx="3">
                  <c:v>9.1</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6.9</c:v>
                </c:pt>
                <c:pt idx="1">
                  <c:v>11.5</c:v>
                </c:pt>
                <c:pt idx="2">
                  <c:v>5.6</c:v>
                </c:pt>
                <c:pt idx="3">
                  <c:v>13.8</c:v>
                </c:pt>
                <c:pt idx="4">
                  <c:v>13.7</c:v>
                </c:pt>
                <c:pt idx="5">
                  <c:v>21.9</c:v>
                </c:pt>
                <c:pt idx="6">
                  <c:v>31.5</c:v>
                </c:pt>
                <c:pt idx="7">
                  <c:v>44.7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42.2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69</c:v>
                </c:pt>
                <c:pt idx="1">
                  <c:v>57</c:v>
                </c:pt>
                <c:pt idx="2">
                  <c:v>66</c:v>
                </c:pt>
                <c:pt idx="3">
                  <c:v>65</c:v>
                </c:pt>
                <c:pt idx="4">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99</c:v>
                </c:pt>
                <c:pt idx="2">
                  <c:v>87</c:v>
                </c:pt>
                <c:pt idx="3">
                  <c:v>99</c:v>
                </c:pt>
                <c:pt idx="4">
                  <c:v>101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100</c:v>
                </c:pt>
                <c:pt idx="1">
                  <c:v>86</c:v>
                </c:pt>
                <c:pt idx="2">
                  <c:v>96</c:v>
                </c:pt>
                <c:pt idx="3">
                  <c:v>93</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(CAD,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10.608999999999998</c:v>
                </c:pt>
                <c:pt idx="1">
                  <c:v>23.399999999999995</c:v>
                </c:pt>
                <c:pt idx="2">
                  <c:v>18.781999999999996</c:v>
                </c:pt>
                <c:pt idx="3">
                  <c:v>18.284000000000006</c:v>
                </c:pt>
                <c:pt idx="4">
                  <c:v>-18.105999999999998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15.176</c:v>
                </c:pt>
                <c:pt idx="1">
                  <c:v>44.828</c:v>
                </c:pt>
                <c:pt idx="2">
                  <c:v>63.399</c:v>
                </c:pt>
                <c:pt idx="3">
                  <c:v>71.531</c:v>
                </c:pt>
                <c:pt idx="4">
                  <c:v>72.241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12.5</c:v>
                </c:pt>
                <c:pt idx="1">
                  <c:v>31.5</c:v>
                </c:pt>
                <c:pt idx="2">
                  <c:v>40</c:v>
                </c:pt>
                <c:pt idx="3">
                  <c:v>30.5</c:v>
                </c:pt>
                <c:pt idx="4">
                  <c:v>22.1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9.9</c:v>
                </c:pt>
                <c:pt idx="1">
                  <c:v>9.9</c:v>
                </c:pt>
                <c:pt idx="2">
                  <c:v>9.9</c:v>
                </c:pt>
                <c:pt idx="3">
                  <c:v>9.9</c:v>
                </c:pt>
                <c:pt idx="4">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c:v>
                </c:pt>
                <c:pt idx="1">
                  <c:v>29.6</c:v>
                </c:pt>
                <c:pt idx="2">
                  <c:v>31.1</c:v>
                </c:pt>
                <c:pt idx="3">
                  <c:v>26.6</c:v>
                </c:pt>
                <c:pt idx="4">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0.21</c:v>
                </c:pt>
                <c:pt idx="1">
                  <c:v>-0.19</c:v>
                </c:pt>
                <c:pt idx="2">
                  <c:v>-0.16</c:v>
                </c:pt>
                <c:pt idx="3">
                  <c:v>0.01</c:v>
                </c:pt>
                <c:pt idx="4">
                  <c:v>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(CAD,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2030</c:v>
                </c:pt>
              </c:strCache>
            </c:strRef>
          </c:cat>
          <c:val>
            <c:numRef>
              <c:f>Hoja1!$B$2:$B$3</c:f>
              <c:numCache>
                <c:formatCode>#,##0</c:formatCode>
                <c:ptCount val="2"/>
                <c:pt idx="0">
                  <c:v>70.109</c:v>
                </c:pt>
                <c:pt idx="1">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(CAD,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4.776</c:v>
                </c:pt>
                <c:pt idx="1">
                  <c:v>0.773</c:v>
                </c:pt>
                <c:pt idx="2">
                  <c:v>0.675</c:v>
                </c:pt>
                <c:pt idx="3">
                  <c:v>25.173</c:v>
                </c:pt>
                <c:pt idx="4">
                  <c:v>3.12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4.009</c:v>
                </c:pt>
                <c:pt idx="1">
                  <c:v>4.556</c:v>
                </c:pt>
                <c:pt idx="2">
                  <c:v>6.548</c:v>
                </c:pt>
                <c:pt idx="3">
                  <c:v>11.607</c:v>
                </c:pt>
                <c:pt idx="4">
                  <c:v>13.095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1</c:v>
                </c:pt>
                <c:pt idx="1">
                  <c:v>1</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William G. Hammond (directamente y por Arathorn Investments)</c:v>
                </c:pt>
                <c:pt idx="1">
                  <c:v>Flotante (acciones A sin Hammond)</c:v>
                </c:pt>
              </c:strCache>
            </c:strRef>
          </c:cat>
          <c:val>
            <c:numRef>
              <c:f>Hoja1!$B$2:$B$3</c:f>
              <c:numCache>
                <c:formatCode>0.0"%"</c:formatCode>
                <c:ptCount val="2"/>
                <c:pt idx="0">
                  <c:v>26.92</c:v>
                </c:pt>
                <c:pt idx="1">
                  <c:v>73.08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c:v>
                </c:pt>
                <c:pt idx="1">
                  <c:v>56.1</c:v>
                </c:pt>
                <c:pt idx="2">
                  <c:v>-35.7</c:v>
                </c:pt>
                <c:pt idx="3">
                  <c:v>39.9</c:v>
                </c:pt>
                <c:pt idx="4">
                  <c:v>16.1</c:v>
                </c:pt>
                <c:pt idx="5">
                  <c:v>46.2</c:v>
                </c:pt>
                <c:pt idx="6">
                  <c:v>72</c:v>
                </c:pt>
                <c:pt idx="7">
                  <c:v>310.6</c:v>
                </c:pt>
                <c:pt idx="8">
                  <c:v>58</c:v>
                </c:pt>
                <c:pt idx="9">
                  <c:v>25.7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21</c:v>
                </c:pt>
                <c:pt idx="1">
                  <c:v>9</c:v>
                </c:pt>
                <c:pt idx="2">
                  <c:v>-8.8</c:v>
                </c:pt>
                <c:pt idx="3">
                  <c:v>22.7</c:v>
                </c:pt>
                <c:pt idx="4">
                  <c:v>5.6</c:v>
                </c:pt>
                <c:pt idx="5">
                  <c:v>23.4</c:v>
                </c:pt>
                <c:pt idx="6">
                  <c:v>-5.8</c:v>
                </c:pt>
                <c:pt idx="7">
                  <c:v>11.7</c:v>
                </c:pt>
                <c:pt idx="8">
                  <c:v>21.5</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4.8</c:v>
                </c:pt>
                <c:pt idx="1">
                  <c:v>3.2</c:v>
                </c:pt>
                <c:pt idx="2">
                  <c:v>8.7</c:v>
                </c:pt>
                <c:pt idx="3">
                  <c:v>12.4</c:v>
                </c:pt>
                <c:pt idx="4">
                  <c:v>15.6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8.7</c:v>
                </c:pt>
                <c:pt idx="1">
                  <c:v>8.7</c:v>
                </c:pt>
                <c:pt idx="2">
                  <c:v>8.7</c:v>
                </c:pt>
                <c:pt idx="3">
                  <c:v>8.7</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Hammond Power</c:v>
                </c:pt>
                <c:pt idx="1">
                  <c:v>Eaton</c:v>
                </c:pt>
                <c:pt idx="2">
                  <c:v>Vertiv</c:v>
                </c:pt>
                <c:pt idx="3">
                  <c:v>Powell Industries</c:v>
                </c:pt>
                <c:pt idx="4">
                  <c:v>Hubbell</c:v>
                </c:pt>
                <c:pt idx="5">
                  <c:v>nVent Electric</c:v>
                </c:pt>
                <c:pt idx="6">
                  <c:v>Schneider Electric</c:v>
                </c:pt>
                <c:pt idx="7">
                  <c:v>ABB</c:v>
                </c:pt>
                <c:pt idx="8">
                  <c:v>HD Hyundai Electric</c:v>
                </c:pt>
                <c:pt idx="9">
                  <c:v>Fortune Electric</c:v>
                </c:pt>
              </c:strCache>
            </c:strRef>
          </c:cat>
          <c:val>
            <c:numRef>
              <c:f>Hoja1!$B$2:$B$11</c:f>
              <c:numCache>
                <c:formatCode>0.0"x"</c:formatCode>
                <c:ptCount val="10"/>
                <c:pt idx="0">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AEG Power Solutions (SAI industriales)</c:v>
                </c:pt>
                <c:pt idx="1">
                  <c:v>Prolec GE (50 % restante)</c:v>
                </c:pt>
                <c:pt idx="2">
                  <c:v>DMC Power (conectores de red)</c:v>
                </c:pt>
                <c:pt idx="3">
                  <c:v>Fibrebond (salas eléctricas modulares para centros de datos)</c:v>
                </c:pt>
                <c:pt idx="4">
                  <c:v>Micron Industries (transformadores de control)</c:v>
                </c:pt>
              </c:strCache>
            </c:strRef>
          </c:cat>
          <c:val>
            <c:numRef>
              <c:f>Hoja1!$B$2:$B$6</c:f>
              <c:numCache>
                <c:formatCode>0.0"x"</c:formatCode>
                <c:ptCount val="5"/>
                <c:pt idx="1">
                  <c:v>14.1</c:v>
                </c:pt>
                <c:pt idx="2">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(CAD,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c:v>
                </c:pt>
                <c:pt idx="1">
                  <c:v>50</c:v>
                </c:pt>
                <c:pt idx="2">
                  <c:v>108</c:v>
                </c:pt>
                <c:pt idx="3">
                  <c:v>126</c:v>
                </c:pt>
                <c:pt idx="4">
                  <c:v>138</c:v>
                </c:pt>
                <c:pt idx="5">
                  <c:v>150</c:v>
                </c:pt>
                <c:pt idx="6">
                  <c:v>158</c:v>
                </c:pt>
                <c:pt idx="7">
                  <c:v>168</c:v>
                </c:pt>
                <c:pt idx="8">
                  <c:v>176</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(CAD,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776</c:v>
                </c:pt>
                <c:pt idx="1">
                  <c:v>1065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(CAD) · precio actual 245,75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57.1</c:v>
                </c:pt>
                <c:pt idx="1">
                  <c:v>116.28</c:v>
                </c:pt>
                <c:pt idx="2">
                  <c:v>163.55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(CAD) · precio actual 245,75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(132,49 – 365,12)</c:v>
                </c:pt>
                <c:pt idx="1">
                  <c:v>Precio objetivo de los analistas (350,00 – 405,00)</c:v>
                </c:pt>
                <c:pt idx="2">
                  <c:v>Comparables: PER NTM (222,53 – 257,67)</c:v>
                </c:pt>
                <c:pt idx="3">
                  <c:v>Transacciones precedentes (EV/ventas) (61,53 – 291,70)</c:v>
                </c:pt>
                <c:pt idx="4">
                  <c:v>DCF (WACC y g ± 0,5) (100,66 – 136,61)</c:v>
                </c:pt>
                <c:pt idx="5">
                  <c:v>Escenarios (bajista – alcista) (57,10 – 163,55)</c:v>
                </c:pt>
                <c:pt idx="6">
                  <c:v>DCF con la prima implícita del mercado (4,2 %)</c:v>
                </c:pt>
                <c:pt idx="7">
                  <c:v>Precio actual (245,75)</c:v>
                </c:pt>
              </c:strCache>
            </c:strRef>
          </c:cat>
          <c:val>
            <c:numRef>
              <c:f>Hoja1!$B$2:$B$9</c:f>
              <c:numCache>
                <c:formatCode>#,##0</c:formatCode>
                <c:ptCount val="8"/>
                <c:pt idx="0">
                  <c:v>132.49</c:v>
                </c:pt>
                <c:pt idx="1">
                  <c:v>350</c:v>
                </c:pt>
                <c:pt idx="2">
                  <c:v>222.53</c:v>
                </c:pt>
                <c:pt idx="3">
                  <c:v>61.53</c:v>
                </c:pt>
                <c:pt idx="4">
                  <c:v>100.66</c:v>
                </c:pt>
                <c:pt idx="5">
                  <c:v>57.1</c:v>
                </c:pt>
                <c:pt idx="6">
                  <c:v>134.44</c:v>
                </c:pt>
                <c:pt idx="7">
                  <c:v>244.52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(132,49 – 365,12)</c:v>
                </c:pt>
                <c:pt idx="1">
                  <c:v>Precio objetivo de los analistas (350,00 – 405,00)</c:v>
                </c:pt>
                <c:pt idx="2">
                  <c:v>Comparables: PER NTM (222,53 – 257,67)</c:v>
                </c:pt>
                <c:pt idx="3">
                  <c:v>Transacciones precedentes (EV/ventas) (61,53 – 291,70)</c:v>
                </c:pt>
                <c:pt idx="4">
                  <c:v>DCF (WACC y g ± 0,5) (100,66 – 136,61)</c:v>
                </c:pt>
                <c:pt idx="5">
                  <c:v>Escenarios (bajista – alcista) (57,10 – 163,55)</c:v>
                </c:pt>
                <c:pt idx="6">
                  <c:v>DCF con la prima implícita del mercado (4,2 %)</c:v>
                </c:pt>
                <c:pt idx="7">
                  <c:v>Precio actual (245,75)</c:v>
                </c:pt>
              </c:strCache>
            </c:strRef>
          </c:cat>
          <c:val>
            <c:numRef>
              <c:f>Hoja1!$C$2:$C$9</c:f>
              <c:numCache>
                <c:formatCode>#,##0</c:formatCode>
                <c:ptCount val="8"/>
                <c:pt idx="0">
                  <c:v>232.63</c:v>
                </c:pt>
                <c:pt idx="1">
                  <c:v>55</c:v>
                </c:pt>
                <c:pt idx="2">
                  <c:v>35.140000000000015</c:v>
                </c:pt>
                <c:pt idx="3">
                  <c:v>230.17</c:v>
                </c:pt>
                <c:pt idx="4">
                  <c:v>35.95000000000002</c:v>
                </c:pt>
                <c:pt idx="5">
                  <c:v>106.45000000000002</c:v>
                </c:pt>
                <c:pt idx="6">
                  <c:v>32.56999999999999</c:v>
                </c:pt>
                <c:pt idx="7">
                  <c:v>2.4599999999999795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