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HD Hyundai Electric Co., Ltd.</w:t>
      </w:r>
    </w:p>
    <w:p>
      <w:pPr>
        <w:spacing w:after="60"/>
        <w:rPr>
          <w:color w:val="52514E"/>
          <w:sz w:val="22"/>
          <w:szCs w:val="22"/>
        </w:rPr>
      </w:pPr>
      <w:r>
        <w:rPr>
          <w:color w:val="52514E"/>
          <w:sz w:val="22"/>
          <w:szCs w:val="22"/>
        </w:rPr>
        <w:t xml:space="preserve">267260 · KOSPI (Korea Exchange) · ISIN KR7267260008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KRW</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525.000,00 KRW</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502.328,97 KRW</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-2,8 % (base +3,7 %)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396.129,70 KRW · mercado 448.236,54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18.894.750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HD Hyundai Electric Co.,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267260 / KR7267260008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KOSPI (Korea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Electrical Equipment (Heavy Electrical Equipment)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Seongnam (Bundang-gu, Gyeonggi-do) · 2017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https://www.hd-hyundaielectric.com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525.000,00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473.500,00 – 1.430.000,00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18.894.750 M KRW</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18.071.185 M KRW</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101.600 M KRW/día (3 meses; 147.665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502.328,97 KRW</w:t>
      </w:r>
      <w:r>
        <w:t xml:space="preserve"> frente a 525.000,00 · Rentabilidad a 12 meses </w:t>
      </w:r>
      <w:r>
        <w:rPr>
          <w:b/>
          <w:bCs/>
        </w:rPr>
        <w:t xml:space="preserve">-2,8 % (base +3,7 %)</w:t>
      </w:r>
      <w:r>
        <w:t xml:space="preserve"> · Valor intrínseco 396.129,70 KRW · con la prima implícita del mercado: 448.236,54 (-14,6 %) · Alcista / bajista -5,4 % / -64,4 %</w:t>
      </w:r>
    </w:p>
    <w:p>
      <w:pPr>
        <w:spacing w:after="100"/>
      </w:pPr>
      <w:r>
        <w:rPr>
          <w:b/>
        </w:rPr>
        <w:t xml:space="preserve">La recomendación y por qué.</w:t>
      </w:r>
      <w:r>
        <w:t xml:space="preserve"> Mantener, con convicción media. Nuestro objetivo a 12 meses es de 502.329 KRW: −2,8 % con dividendo (+3,7 % en el caso base), frente a un precio de 525.000 KRW (cierre del 19-oct-2026 en el KOSPI) [29]. El valor intrínseco (396.130 KRW) está un 24,5 % por debajo del precio. No es una venta (la regla pide −10 %), pero tampoco una compra: haría falta un precio de unos 396.000 KRW. La convicción es media porque las dos reglas (v3 y v2 de control, +11,9 %) dicen Mantener y el DCF queda por debajo del precio, pero todo depende de cuánto dure el margen de pico; la convicción subiría con dos trimestres de pedidos nuevos con margen a la baja (o al alza) que aclaren el ciclo.</w:t>
      </w:r>
    </w:p>
    <w:p>
      <w:pPr>
        <w:spacing w:after="100"/>
      </w:pPr>
      <w:r>
        <w:rPr>
          <w:b/>
        </w:rPr>
        <w:t xml:space="preserve">Por qué ha caído un 63 %.</w:t>
      </w:r>
      <w:r>
        <w:t xml:space="preserve"> Del máximo de 1.430.000 KRW (7-may-2026) a 525.000 [29]. Es real: sin desdoblamiento ni error de datos (Naver da los mismos precios) [42]. Causas: el KOSPI (−37 % desde junio, dudas sobre el gasto en IA) [32], la rotación fuera de los equipos eléctricos (Hyosung −58 %, LS −48 %) [22], el 2T26 (−16,9 % el 29-jul) y recortes de objetivos por el won [14, 31]. El beneficio sigue subiendo [5].</w:t>
      </w:r>
    </w:p>
    <w:p>
      <w:pPr>
        <w:spacing w:after="100"/>
      </w:pPr>
      <w:r>
        <w:rPr>
          <w:b/>
        </w:rPr>
        <w:t xml:space="preserve">El negocio.</w:t>
      </w:r>
      <w:r>
        <w:t xml:space="preserve"> HD Hyundai Electric fabrica transformadores de potencia de hasta 765 kV, aparamenta, equipos de distribución y motores; el 77 % se exporta, el 40 % a Norteamérica [1]. Vive el mayor ciclo de su historia (escasez en EE. UU., centros de datos, Oriente Medio). El foso es estrecho: homologaciones, 765 kV, fábrica en Alabama y antidumping del 0,00 % [18]. ROIC del 59,0 % frente a un WACC del 10,02 %, inflado por el pico de margen y por los anticipos de clientes. </w:t>
      </w:r>
      <w:r>
        <w:rPr>
          <w:b/>
        </w:rPr>
        <w:t xml:space="preserve">La calidad sostiene el crecimiento que proyectamos (veredicto «Sí»)</w:t>
      </w:r>
      <w:r>
        <w:t xml:space="preserve">: crecemos menos de la mitad que la historia y la cartera cubre dos años; el riesgo es el margen, no el volumen.</w:t>
      </w:r>
    </w:p>
    <w:p>
      <w:pPr>
        <w:spacing w:after="100"/>
      </w:pPr>
      <w:r>
        <w:rPr>
          <w:b/>
        </w:rPr>
        <w:t xml:space="preserve">Finanzas.</w:t>
      </w:r>
      <w:r>
        <w:t xml:space="preserve"> Ventas de 4,08 billones en 2025 (+22,8 %), margen operativo del 24,4 % y beneficio de 732.605 M (BPA 20.354 KRW) [1]. En los últimos doce meses, 4,34 billones de ventas, 25,7 % de margen y flujo libre de 634.959 M [5]. Caja neta de 895.000 M, apoyada en 1,89 billones de anticipos de clientes.</w:t>
      </w:r>
    </w:p>
    <w:p>
      <w:pPr>
        <w:spacing w:after="100"/>
      </w:pPr>
      <w:r>
        <w:rPr>
          <w:b/>
        </w:rPr>
        <w:t xml:space="preserve">Equipo y gobierno.</w:t>
      </w:r>
      <w:r>
        <w:t xml:space="preserve"> Filial del grupo HD Hyundai (35,39 %; 37,06 % con vinculadas), que baja poco a poco con bonos canjeables [26]. Consejero delegado de la casa (Kim Young-gi); tres de cinco consejeros independientes y voto acumulativo desde 2026 [12]. Buen historial de guías.</w:t>
      </w:r>
    </w:p>
    <w:p>
      <w:pPr>
        <w:spacing w:after="100"/>
      </w:pPr>
      <w:r>
        <w:rPr>
          <w:b/>
        </w:rPr>
        <w:t xml:space="preserve">Valoración.</w:t>
      </w:r>
      <w:r>
        <w:t xml:space="preserve"> El DCF da 329.426 KRW con el bono coreano al 4,154 % [33]: el precio equivale a un margen EBITDA del 30,2 % para siempre (2025: 26,2 %; el ciclo normal del sector es del 10-15 %). A 12 meses aplicamos 16,1 veces (el PER de hoy, 17,7x, con el tope de la regla) a un BPA de 2028e de 33.341 KRW, un 16 % por debajo del consenso. El objetivo medio de los analistas (1,08 M KRW) queda fuera de nuestro rango (139.533-796.189).</w:t>
      </w:r>
    </w:p>
    <w:p>
      <w:pPr>
        <w:spacing w:after="100"/>
      </w:pPr>
      <w:r>
        <w:rPr>
          <w:b/>
        </w:rPr>
        <w:t xml:space="preserve">Riesgos y catalizadores.</w:t>
      </w:r>
      <w:r>
        <w:t xml:space="preserve"> El riesgo principal es la normalización del margen cuando entre la capacidad nueva de la competencia en 2027-2029 (bajista −72 % a 12 meses). Siguen el capex de centros de datos, los aranceles de EE. UU. y el won. </w:t>
      </w:r>
      <w:r>
        <w:rPr>
          <w:b/>
        </w:rPr>
        <w:t xml:space="preserve">Riesgo de IA: alto y mixto</w:t>
      </w:r>
      <w:r>
        <w:t xml:space="preserve">: la IA no sustituye el producto, pero mueve la demanda en las dos direcciones. Catalizadores: resultados del 3T26 (≈ 22-oct), guía de 2027 (enero) y la revisión antidumping de 2025-2026.</w:t>
      </w:r>
    </w:p>
    <w:p>
      <w:pPr>
        <w:spacing w:after="100"/>
      </w:pPr>
      <w:r>
        <w:rPr>
          <w:b/>
        </w:rPr>
        <w:t xml:space="preserve">Qué cambiaría la decisión.</w:t>
      </w:r>
      <w:r>
        <w:t xml:space="preserve"> Compraríamos por debajo de 396.130 KRW; venderíamos por encima de 566.810 KRW. Pedidos nuevos con margen a la baja o pasivos de contrato que dejan de crecer nos harían rebajar el base; una guía de 2027 por encima de 5 billones y márgenes de pedidos al alza, subirlo.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502.328,97 KRW</w:t>
      </w:r>
      <w:r>
        <w:t xml:space="preserve"> (rentabilidad -2,8 % (base +3,7 %)) · Valor intrínseco: 396.129,70 KRW (-24,5 % sobre 525.000,00) · con la prima implícita del mercado: 448.236,54 (-14,6 %)</w:t>
      </w:r>
    </w:p>
    <w:p>
      <w:pPr>
        <w:spacing w:after="100"/>
      </w:pPr>
      <w:r>
        <w:t xml:space="preserve">HD Hyundai Electric es la referencia de calidad entre los fabricantes coreanos de transformadores: el margen más alto del grupo, antidumping del 0 % en EE. UU., fábrica en Alabama y una cartera de 8.490 M USD [7, 18].</w:t>
      </w:r>
    </w:p>
    <w:p>
      <w:pPr>
        <w:spacing w:after="100"/>
      </w:pPr>
      <w:r>
        <w:t xml:space="preserve">La acción ha caído un 63 % desde mayo, sobre todo por el mercado coreano y la rotación sectorial, no por el negocio. Pero a 525.000 KRW todavía cotiza a 17,7 veces nuestro BPA de 2027e y el precio supone que el margen de pico dura para siempre.</w:t>
      </w:r>
    </w:p>
    <w:p>
      <w:pPr>
        <w:spacing w:after="100"/>
      </w:pPr>
      <w:r>
        <w:t xml:space="preserve">Nuestro escenario central es que el margen aguanta hasta 2028 y después se normaliza; con eso, el valor está en 330.000-400.000 KRW. Mantener: buena empresa en la cima de su ciclo, a un precio que todavía no paga el riesgo de que el ciclo termine.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502.328,97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 × 23.649,58 = 139.532,52 · 16,1x × 33.341,43 = 536.797,02 · 21,1x × 37.734,09 = 796.189,30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1.083.056,00 (nuestro base -50,4 %)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396.129,70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 / -64,4 %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10,0 % y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448.236,54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 frente a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(8,7 % anual proyectado; financiable al ROIC actual: 13,2 %)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396.129,70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396.129,70 y 566.809,96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566.809,96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396.130 KRW: pasaríamos a Comprar (si la robustez lo confirma); por encima de 566.810 KRW, a Vender.</w:t>
      </w:r>
    </w:p>
    <w:p>
      <w:pPr>
        <w:pStyle w:val="ListParagraph"/>
        <w:numPr>
          <w:ilvl w:val="0"/>
          <w:numId w:val="2"/>
        </w:numPr>
        <w:spacing w:after="60"/>
      </w:pPr>
      <w:r>
        <w:t xml:space="preserve">Guía de 2027 por encima de 5 billones de ventas y margen de los pedidos nuevos al alza: subiríamos el margen de 2029-2033.</w:t>
      </w:r>
    </w:p>
    <w:p>
      <w:pPr>
        <w:pStyle w:val="ListParagraph"/>
        <w:numPr>
          <w:ilvl w:val="0"/>
          <w:numId w:val="2"/>
        </w:numPr>
        <w:spacing w:after="60"/>
      </w:pPr>
      <w:r>
        <w:t xml:space="preserve">Pedidos nuevos con descuento o pasivos de contrato a la baja: bajaríamos el base hacia el bajista.</w:t>
      </w:r>
    </w:p>
    <w:p>
      <w:pPr>
        <w:pStyle w:val="ListParagraph"/>
        <w:numPr>
          <w:ilvl w:val="0"/>
          <w:numId w:val="2"/>
        </w:numPr>
        <w:spacing w:after="60"/>
      </w:pPr>
      <w:r>
        <w:t xml:space="preserve">Un margen antidumping distinto de cero o un arancel de la sección 232 mayor desde 2028: rebajaríamos Norteamérica.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EBITDA del 26-27 % de hoy es permanente (DCF inverso: 30,2 % para siempre) o un crecimiento del 20 % anual hasta 2033.</w:t>
      </w:r>
    </w:p>
    <w:p>
      <w:pPr>
        <w:keepNext/>
        <w:spacing w:after="100"/>
      </w:pPr>
      <w:r>
        <w:rPr>
          <w:b/>
          <w:bCs/>
        </w:rPr>
        <w:t xml:space="preserve">Lo que creemos nosotros.</w:t>
      </w:r>
    </w:p>
    <w:p>
      <w:pPr>
        <w:spacing w:after="100"/>
      </w:pPr>
      <w:r>
        <w:t xml:space="preserve">El margen es de ciclo: aguanta hasta 2028 con la cartera y después baja hacia el 20 % cuando entre la capacidad nueva de Hitachi Energy, Siemens Energy, Prolec GE y los coreanos. Nuestro BPA de 2028e es un 16 % menor que el del consenso.</w:t>
      </w:r>
    </w:p>
    <w:p>
      <w:pPr>
        <w:keepNext/>
        <w:spacing w:after="100"/>
      </w:pPr>
      <w:r>
        <w:rPr>
          <w:b/>
          <w:bCs/>
        </w:rPr>
        <w:t xml:space="preserve">Por qué podemos tener razón.</w:t>
      </w:r>
    </w:p>
    <w:p>
      <w:pPr>
        <w:spacing w:after="100"/>
      </w:pPr>
      <w:r>
        <w:t xml:space="preserve">La empresa ganó un 0,5-8 % de margen operativo en 2021-2022 [4]; tras el auge de 2005-2008 los márgenes del sector tardaron una década en recuperarse [17]; y el circulante de hoy depende de anticipos que desaparecen con la escasez.</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KRW) · precio actual 525.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329.425,96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653.836,43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479.630,19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335.498,12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Cartera</w:t>
      </w:r>
      <w:r>
        <w:t xml:space="preserve">: 8.490 M USD a jun-2026, unos dos años de ventas, y pedidos de 2026 un 23 % por encima de la guía inicial [7, 9].</w:t>
      </w:r>
    </w:p>
    <w:p>
      <w:pPr>
        <w:pStyle w:val="ListParagraph"/>
        <w:numPr>
          <w:ilvl w:val="0"/>
          <w:numId w:val="2"/>
        </w:numPr>
        <w:spacing w:after="60"/>
      </w:pPr>
      <w:r>
        <w:rPr>
          <w:b/>
        </w:rPr>
        <w:t xml:space="preserve">Posición en EE. UU.</w:t>
      </w:r>
      <w:r>
        <w:t xml:space="preserve">: fábrica en Alabama, 765 kV y antidumping del 0,00 % frente al 4,32 % de Hyosung y LS [18].</w:t>
      </w:r>
    </w:p>
    <w:p>
      <w:pPr>
        <w:pStyle w:val="ListParagraph"/>
        <w:numPr>
          <w:ilvl w:val="0"/>
          <w:numId w:val="2"/>
        </w:numPr>
        <w:spacing w:after="60"/>
      </w:pPr>
      <w:r>
        <w:rPr>
          <w:b/>
        </w:rPr>
        <w:t xml:space="preserve">Balance</w:t>
      </w:r>
      <w:r>
        <w:t xml:space="preserve">: caja neta de 895.000 M y calificación AA- [5].</w:t>
      </w:r>
    </w:p>
    <w:p>
      <w:pPr>
        <w:pStyle w:val="ListParagraph"/>
        <w:numPr>
          <w:ilvl w:val="0"/>
          <w:numId w:val="2"/>
        </w:numPr>
        <w:spacing w:after="60"/>
      </w:pPr>
      <w:r>
        <w:rPr>
          <w:b/>
        </w:rPr>
        <w:t xml:space="preserve">Dirección fiable</w:t>
      </w:r>
      <w:r>
        <w:t xml:space="preserve">: supera sus guías y paga un 30-40 % del beneficio [11, 28].</w:t>
      </w:r>
    </w:p>
    <w:p>
      <w:pPr>
        <w:pStyle w:val="Heading2"/>
      </w:pPr>
      <w:r>
        <w:t xml:space="preserve">En contra</w:t>
      </w:r>
    </w:p>
    <w:p>
      <w:pPr>
        <w:pStyle w:val="ListParagraph"/>
        <w:numPr>
          <w:ilvl w:val="0"/>
          <w:numId w:val="2"/>
        </w:numPr>
        <w:spacing w:after="60"/>
      </w:pPr>
      <w:r>
        <w:rPr>
          <w:b/>
        </w:rPr>
        <w:t xml:space="preserve">Margen de pico</w:t>
      </w:r>
      <w:r>
        <w:t xml:space="preserve">: del 0,5 % (2021) al 25,7 % (LTM) de margen operativo; el precio supone que dura [1, 4].</w:t>
      </w:r>
    </w:p>
    <w:p>
      <w:pPr>
        <w:pStyle w:val="ListParagraph"/>
        <w:numPr>
          <w:ilvl w:val="0"/>
          <w:numId w:val="2"/>
        </w:numPr>
        <w:spacing w:after="60"/>
      </w:pPr>
      <w:r>
        <w:rPr>
          <w:b/>
        </w:rPr>
        <w:t xml:space="preserve">Capacidad nueva de la competencia</w:t>
      </w:r>
      <w:r>
        <w:t xml:space="preserve"> en 2027-2029 [17].</w:t>
      </w:r>
    </w:p>
    <w:p>
      <w:pPr>
        <w:pStyle w:val="ListParagraph"/>
        <w:numPr>
          <w:ilvl w:val="0"/>
          <w:numId w:val="2"/>
        </w:numPr>
        <w:spacing w:after="60"/>
      </w:pPr>
      <w:r>
        <w:rPr>
          <w:b/>
        </w:rPr>
        <w:t xml:space="preserve">Anticipos</w:t>
      </w:r>
      <w:r>
        <w:t xml:space="preserve">: 1,89 billones de pasivos de contrato que se devolverán en entregas [5].</w:t>
      </w:r>
    </w:p>
    <w:p>
      <w:pPr>
        <w:pStyle w:val="ListParagraph"/>
        <w:numPr>
          <w:ilvl w:val="0"/>
          <w:numId w:val="2"/>
        </w:numPr>
        <w:spacing w:after="60"/>
      </w:pPr>
      <w:r>
        <w:rPr>
          <w:b/>
        </w:rPr>
        <w:t xml:space="preserve">Asimetría mala</w:t>
      </w:r>
      <w:r>
        <w:t xml:space="preserve">: −72 % en el bajista y +53 % en el alcista a 12 meses.</w:t>
      </w:r>
    </w:p>
    <w:p>
      <w:pPr>
        <w:pStyle w:val="Heading2"/>
      </w:pPr>
      <w:r>
        <w:t xml:space="preserve">Qué tiene que pasar para que la tesis funcione</w:t>
      </w:r>
    </w:p>
    <w:p>
      <w:pPr>
        <w:spacing w:after="100"/>
      </w:pPr>
      <w:r>
        <w:t xml:space="preserve">El margen de los pedidos nuevos y los pasivos de contrato. La señal de que la tesis del mercado aguanta: en el 3T26 (≈ 22-oct) los pedidos superan los 1.200 M USD, la empresa dice que el margen de los nuevos sigue subiendo y los anticipos crecen. La de que el ciclo se gira: pedidos a la baja dos trimestres seguidos, anticipos que dejan de crecer o plazos de entrega en EE. UU. más cortos.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trimestrales (M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 (2T26); 3.237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1.000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pico de margen se mantiene.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de contrato (anticipos)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billones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Bajada de más del 10 %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dejan de adelantar cuando la escasez termina.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8.490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Bajada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dos años.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USD/KRW</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1.300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77 % de las ventas se exporta.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 / 14,0x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22,2x / 16,9x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HD Hyundai Electric nació el 1-abr-2017 como escisión de la división eléctrica y electrónica de Hyundai Heavy Industries, que fabricaba transformadores, aparamenta y motores en Ulsan [1]. Salió a cotizar en el KOSPI en mayo de 2017 como Hyundai Electric &amp; Energy Systems. Tuvo años malos (pérdidas netas de 40.246 M en 2020 y de 33.687 M en 2021, con la demanda de salario ordinario y un mercado de transformadores con exceso de capacidad) [1] [4] y cambió de nombre a HD Hyundai Electric en marzo de 2023, con la sede trasladada a Seongnam [1]. Desde 2022 vive el mayor ciclo de su historia: la escasez de transformadores en EE. UU. y la inversión en red de Oriente Medio llevaron sus ventas de 2,1 a 4,1 billones y su margen operativo del 6 % al 24 % en tres años [1]. Fabrica en Ulsan, Cheongju (distribución), Alabama (EE. UU.) y Yangzhong (China), con filiales comerciales y de servicio en Atlanta, Texas, Oriente Medio, Suiza, Hungría y Alemania [1,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de transformadores de Alabama (EE. UU.), entonces de Hyundai Heavy Industries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Hyundai Heavy Industries (1-abr) y salida a bolsa en el KOSPI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Traspaso del negocio de control naval a otra sociedad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Plaspo (aparamenta de baja tensión)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HD Hyundai Electric y traslado de la sede a Seongnam; primer contrato eólico marino europeo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en Europa (GmbH); plan de ampliación de transformadores en Ulsan y Alabama [1,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en Texas; campus de distribución de Cheongju en marcha (nov-2025); ventas de 4,08 billones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Anseong; contrato de 1,12 billones para centros de datos en EE. UU.; antidumping de EE. UU. al 0,00 % [1,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HD Hyundai Electric fabrica equipos para llevar la electricidad desde la central al consumidor: transformadores de potencia de hasta 765 kV y reactores, aparamenta aislada en gas, interruptores, transformadores y cuadros de distribución, y máquinas rotativas (motores y generadores, también para barcos) [1]. En 2025 los equipos de potencia fueron el 70 % de las ventas, las máquinas rotativas el 14 % y la distribución y otros el 16 % [1]. El 77 % se exporta: Norteamérica 40 %, Oriente Medio 21 %, Europa 10 % [1, 23]. Fabrica a pedido, con plazos de entrega de dos a cuatro años en los transformadores grandes.</w:t>
      </w:r>
    </w:p>
    <w:p>
      <w:pPr>
        <w:pStyle w:val="Heading2"/>
      </w:pPr>
      <w:r>
        <w:t xml:space="preserve">Cómo gana dinero</w:t>
      </w:r>
    </w:p>
    <w:p>
      <w:pPr>
        <w:spacing w:after="100"/>
      </w:pPr>
      <w:r>
        <w:t xml:space="preserve">Gana dinero vendiendo equipos hechos a medida a eléctricas, operadores de red y grandes consumidores (centros de datos, fábricas de semiconductores, renovables) [1]. El margen depende de tres cosas: el precio de los pedidos firmados dos o tres años antes (hoy entregando pedidos de 2023-2024 a precios de escasez), el coste del acero eléctrico de grano orientado y el cobre (el acero es el 30-40 % del coste) y la ocupación de las fábricas [1, 21]. Los clientes adelantan parte del precio para reservar capacidad, lo que financia el circulante. La ventaja frente a chinos e indios es la homologación en las eléctricas de EE. UU. y Oriente Medio (proceso de años), la capacidad de 765 kV y la fábrica de Alabama, que evita parte de los aranceles [1, 23].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Equipos de potencia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2.835.195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Máquinas rotativas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588.664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Distribución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655.639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Equipos de potencia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975.952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1.096.837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1.571.748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2.035.525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2.835.195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Máquinas rotativas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379.034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588.664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Distribución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451.006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602.864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644.237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749.597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655.639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Saudi Electricity (421.200 M, el 10,3 % de las ventas de 2025), Xcel Energy (406.700 M, 9,9 %) y NextEra (358.900 M, 8,8 %) son los tres mayores; juntos, el 29 % [1]. En EE. UU. vende a eléctricas reguladas, a promotores renovables y, desde 2026, a un gran tecnológico para centros de datos (contrato de 1,12 billones hasta 2029) [1]. En Corea, KEPCO y fábricas de semiconductores. Poder de precios: demostrado en el ciclo (margen operativo del 6 % al 24 % en tres años con precios unitarios en EE. UU. un 45-95 % por encima de 2019 [17]), pero no estructural: en 2020-2021, con exceso de capacidad, la empresa tuvo pérdidas netas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(millones de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 (2025); 3.237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2026 subido a 5.185 M USD el 6-jul [7,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(millones de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5.541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8.490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en 18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dos años de ventas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Norteamérica (miles de millones de KRW)</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Xcel (9,9 %) y NextEra (8,8 %) entre los tres primeros clientes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 (2025); 25,1 %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 principal (Saudi Electricity)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421.200 M (10,3 % de las ventas de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clientes suman el 29 %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transformadores (de potencia y de distribución), con EE. UU. como el que fija el precio marginal. Es el perímetro de la ficha sectorial del repositorio: GlobalData lo cifra en 89.340 M USD en 2030 (35.830 M de potencia y 53.510 M de distribución) y una estimación propia de 65.200 M USD en 2025 [17]. Más estrecho, MarketsandMarkets da 30.380 M USD de transformadores de potencia en 2025 y 41.620 M en 2030 (+6,5 % anual) [15]; Frost &amp; Sullivan, 41.000 M USD en 2024 para los de más de 10 MVA y 80.100 M en 2030 [16]. Las ventas de la empresa incluyen máquinas rotativas (14 %), fuera de este perímetro: la cuota calculada la sobrestima algo.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65.200 M USD en 2025 (transformadores de potencia y distribución; estimación de la ficha sectorial con GlobalData)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inteligencia artificial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1,12 billones con un gran tecnológico; la FERC ordena agilizar la conexión de grandes consumidores (jun-2026) [1,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 envejecida y escasez de transformadores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Faltan el 30 % de los transformadores de potencia; el 80 % se importa (Wood Mackenzie)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red de Oriente Medio y renovables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Oriente Medio 854.000 M de ventas en 2025; Saudi Electricity el 10,3 %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nueva de la competencia (2027-2029)</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Hitachi Energy, Siemens Energy, Prolec GE, Hyosung y LS amplían fábricas, también en EE. UU.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 (sección 232 y antidumping)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Antidumping del 0,00 % para la empresa [18]; arancel de la sección 232 sobre el valor del transformador desde abril de 2026, 15 % para muy alta tensión hasta 2027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 baja por la escasez (plazos de 2-4 años); estructuralmente alta: Hitachi Energy, Siemens Energy, GE Vernova-Prolec, Hyosung, LS, WEG y fabricantes chinos e indios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Eléctricas grandes y concentradas (tres clientes, el 29 % de las ventas) que hoy aceptan anticipos y precios altos para asegurar capacidad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eléctrico de grano orientado con pocos productores (POSCO, Nippon Steel, Cleveland-Cliffs en EE. UU.) y cobre; el acero es el 30-40 % del coste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en cada eléctrica, ensayos de 765 kV y años de historial; los chinos entran por precio fuera de EE. UU. [1,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para el transformador en la red; los transformadores de estado sólido están en fase de pruebas.</w:t>
            </w:r>
          </w:p>
        </w:tc>
      </w:tr>
    </w:tbl>
    <w:p>
      <w:pPr>
        <w:spacing w:after="160" w:before="0"/>
      </w:pPr>
    </w:p>
    <w:p>
      <w:pPr>
        <w:pStyle w:val="Heading2"/>
      </w:pPr>
      <w:r>
        <w:t xml:space="preserve">Ciclo</w:t>
      </w:r>
    </w:p>
    <w:p>
      <w:pPr>
        <w:spacing w:after="100"/>
      </w:pPr>
      <w:r>
        <w:t xml:space="preserve">Es un negocio muy cíclico en precio. Tras el auge de 2005-2008 los precios y márgenes cayeron casi una década [17]; la propia empresa tuvo pérdidas netas en 2020 y 2021, con un margen operativo del 4,2 % y del 0,5 % [1] [4]. Desde 2022 la escasez ha subido precios y márgenes a máximos; la cartera de 8.490 M USD cubre unos dos años de ventas [7]. Los indicadores a vigilar: plazos de entrega en EE. UU., precios de los pedidos nuevos (la empresa dice que siguen mejorando) y la puesta en marcha de la capacidad anunciada por la competencia en 2027-2029 [17, 23].</w:t>
      </w:r>
    </w:p>
    <w:p>
      <w:pPr>
        <w:pStyle w:val="Heading2"/>
      </w:pPr>
      <w:r>
        <w:t xml:space="preserve">Regulación</w:t>
      </w:r>
    </w:p>
    <w:p>
      <w:pPr>
        <w:spacing w:after="100"/>
      </w:pPr>
      <w:r>
        <w:t xml:space="preserve">Lo que más pesa es el comercio con EE. UU. Antidumping: la orden de 2012 sobre transformadores grandes coreanos sigue vigente; en la revisión de 2023-2024 (final del 14-ago-2026) Commerce dio a HD Hyundai Electric e Iljin un margen del 0,00 % y a Hyosung y LS Electric un 4,32 %; la revisión de agosto de 2025 a julio de 2026 está abierta [18, 19]. Sección 232: desde el 18-ago-2025 un arancel del 50 % sobre el contenido de acero y aluminio de los transformadores importados; desde el 6-abr-2026 se cobra sobre el valor en aduana del producto acabado, con un tipo reducido del 15 % para los de muy alta tensión hasta el 31-dic-2027 [20, 21]. Además, normas de eficiencia del DOE y planes de red nacionales (KEPCO en Corea).</w:t>
      </w:r>
    </w:p>
    <w:p>
      <w:pPr>
        <w:pStyle w:val="Heading2"/>
      </w:pPr>
      <w:r>
        <w:t xml:space="preserve">Tendencias y disrupción</w:t>
      </w:r>
    </w:p>
    <w:p>
      <w:pPr>
        <w:spacing w:after="100"/>
      </w:pPr>
      <w:r>
        <w:t xml:space="preserve">Tres tendencias. (1) Electrificación de grandes consumidores: centros de datos, fábricas de semiconductores y baterías piden transformadores y aparamenta directamente, no a través de la eléctrica [23]. (2) Fabricar en EE. UU. para sortear aranceles: Alabama amplía capacidad y la competencia también (Hyosung en Memphis, Hitachi en Virginia) [17, 24]. (3) Muy alta tensión (765 kV) para las nuevas líneas de transporte de EE. UU., donde hay pocos proveedores homologados: la empresa firmó dos contratos de 765 kV en 2026 (98.300 M y 173.000 M) [1]. La inteligencia artificial empuja la demanda, no cambia el producto.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cinco o seis mayores fabricantes de transformadores de potencia del mundo y el primer exportador coreano a EE. UU.; ventas de 4,08 billones en 2025 (≈ 3.070 M USD al cambio del corte), un 4,7 % de un mercado mundial de transformadores de ≈ 65.200 M USD (incluye máquinas rotativas, fuera del perímetro) [1, 17]. En EE. UU. es de los pocos con fábrica local y homologación de 765 kV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Hitachi Energy (Hitachi)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 / 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Antigua ABB Power Grids; el mayor fabricante del mundo; amplía en EE. UU. Dentro de Hitachi (margen operativo del grupo 10.9 %)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Energy (Grid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ENR.DE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del mundo en red; margen operativo del grupo 13 %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 Vernova (Prolec 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el 50 % restante de Prolec GE en oct-2025: el mayor proveedor de transformadores de EE. UU. con fábricas en México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Hyosung Heavy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298040.KS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6.412.279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coreano directo con fábrica en Memphis; también construcción [18,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010120.KS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5.694.222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fuerte en distribución y baja tensión; antidumping del 4,32 % [18,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Iljin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103590.KS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2.207.818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Menor; antidumping del 0,00 % [18,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Hammond Power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HPS-A.TO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1.002.971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Transformadores secos y de distribución en Norteamérica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venta de equipos a medida.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en cada eléctrica y repuestos y servicio durante 30-40 años de vida del transformador; los tres primeros clientes repiten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en 765 kV y certificaciones en EE. UU. y Oriente Medio; antidumping al 0,00 % frente al 4,32 % de dos competidores coreanos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25.1 % frente al 14.5 % de Hyosung y el 11.3 % de LS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con pocos fabricantes de muy alta tensión, pero la escala no impide la entrada de capacidad nueva en 2027-2029 [4].</w:t>
            </w:r>
          </w:p>
        </w:tc>
      </w:tr>
    </w:tbl>
    <w:p>
      <w:pPr>
        <w:spacing w:after="160" w:before="0"/>
      </w:pPr>
    </w:p>
    <w:p>
      <w:pPr>
        <w:pStyle w:val="Heading2"/>
      </w:pPr>
      <w:r>
        <w:t xml:space="preserve">Amenazas</w:t>
      </w:r>
    </w:p>
    <w:p>
      <w:pPr>
        <w:spacing w:after="100"/>
      </w:pPr>
      <w:r>
        <w:t xml:space="preserve">Lo más probable es la normalización de precios cuando entre la capacidad nueva de la competencia (2027-2029): Hitachi Energy, Siemens Energy, Prolec GE y los coreanos amplían, y en el ciclo anterior los márgenes tardaron una década en recuperarse [17]; probabilidad media-alta a tres-cinco años. Segunda: aranceles de EE. UU. más altos o una revisión antidumping desfavorable (el margen del 0,00 % se revisa cada año) [18, 20]. Tercera: los fabricantes chinos e indios en Oriente Medio y Europa, donde no hay aranceles, a precios un 20-30 % menores (media). Cuarta: un frenazo del capex de centros de datos.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1.805.992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2.104.499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3.322.349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734.093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668.971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13.935,00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4.079.498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1.068.901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995.313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732.605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20.354,00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22,6 %</w:t>
      </w:r>
      <w:r>
        <w:t xml:space="preserve">, EBITDA </w:t>
      </w:r>
      <w:r>
        <w:rPr>
          <w:b/>
          <w:bCs/>
        </w:rPr>
        <w:t xml:space="preserve">112,4 %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KRW,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1,81 billones de KRW en 2021 a 4,08 billones en 2025, un 22,6 % anual, casi todo orgánico [1, 3, 4]. El cambio de verdad está en el margen: el operativo pasó del 0,5 % en 2021 (con un cargo por la demanda de salario ordinario) al 6,3 % en 2022, el 11,7 % en 2023, el 20,1 % en 2024 y el 24,4 % en 2025 [1, 2]. La causa es el ciclo de transformadores de alta tensión: escasez en EE. UU. y Oriente Medio, precios unitarios mucho más altos y pedidos seleccionados; la línea de equipos de potencia pasó de 1,10 a 2,84 billones entre 2022 y 2025 y Norteamérica de 728.100 M en 2023 a 1,61 billones en 2025 [1, 8]. En el 1S26 las ventas crecieron un 13,4 % (2,18 billones) y el beneficio operativo un 27,6 % (545.304 M; margen del 25,0 %) [5]. Los últimos doce meses suman 4,34 billones de ventas, 1,11 billones de beneficio operativo (25,7 %) y 850.785 M de beneficio atribuido [5].</w:t>
      </w:r>
    </w:p>
    <w:p>
      <w:pPr>
        <w:pStyle w:val="Heading2"/>
      </w:pPr>
      <w:r>
        <w:t xml:space="preserve">Ajustes y partidas no recurrentes</w:t>
      </w:r>
    </w:p>
    <w:p>
      <w:pPr>
        <w:spacing w:after="100"/>
      </w:pPr>
      <w:r>
        <w:t xml:space="preserve">Cifras publicadas K-IFRS, sin ajustes. Partidas a tener en cuenta: (1) 2021, el beneficio operativo de 9.736 M incluye el coste de la sentencia sobre el salario ordinario en gastos de personal [4]; (2) 2022, el BAI (163.915 M) supera al beneficio operativo (133.041 M) por 85.777 M de otros ingresos no operativos (diferencias de cambio y derivados) y un impuesto casi nulo (1.897 M) por créditos fiscales de pérdidas anteriores: el BPA de 2022 (4.514 KRW) no es recurrente [3, 4]; (3) devoluciones de derechos antidumping de EE. UU. contabilizadas en otros ingresos: 8.671 M en 2024 y 3.248 M en 2025 [1]; (4) en el 2T26 el beneficio operativo lleva devoluciones de los aranceles «recíprocos» (IEEPA) anulados en EE. UU., sin importe publicado; la prensa los cifra en unos 6.000 M [7, 14]. El tipo impositivo efectivo fue del 23,5 % en 2025 y del 26,5 % en el 1S26 [1, 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4.282,00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5.301,00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6.797,00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5.772,00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5.740,00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2T26 (28-jul-2026) la empresa publicó ventas de 1,14 billones (+26,0 %) y beneficio operativo de 287.000 M (+37,3 %; margen del 25,1 %), en línea con lo esperado [7]. Los pedidos del trimestre fueron 1.440 M USD (−19,9 % frente al 1T por la base alta) y la cartera llegó a 8.490 M USD (+29,6 % en un año) [7]. Norteamérica: pedidos del 1S26 iguales a todo 2025 y mejor margen en los nuevos pedidos de equipos de potencia [7]. Antes, el 6-jul, había subido el objetivo de pedidos de 2026 de 4.222 a 5.185 M USD sin tocar el de ventas (4,35 billones) [9], y el 2-jul anunció el mayor contrato de su historia: 1,12 billones de equipos para centros de datos de un cliente de EE. UU. hasta 2029 [10]. Lo que se preguntó y pesó en bolsa el día siguiente (−16,9 %): la dirección dijo que la venta de equipos de distribución en EE. UU. no despegará hasta después de 2029 y que las devoluciones de aranceles compensatorios son de solo unos 6.000 M [14]. No dio guía de margen.</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2.214.970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375.866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545.862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646.222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2.435.030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612.170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822.580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2.910.160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715.493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542.617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1.048.142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3.795.545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512.099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293.749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1.501.787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4.769.815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267.819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968.043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186.059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2.028.772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Compra de Plaspo (aparamenta de baja tensión, 14.416 M), pequeña frente al grupo [4].; 2026: Cierre de la fábrica de distribución de Anseong (84.900 M de ventas) al trasladarse la producción al campus de Cheongju; no es una venta de negocio [13].).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ha pasado de deuda neta de 170.000 M en 2021 (545.862 M de deuda y 375.866 M de caja) a caja neta de 782.000 M en 2025 y de 895.000 M en junio de 2026 [1, 4, 5]. Lo ha hecho el ciclo: los clientes adelantan dinero para asegurar capacidad (pasivos de contrato de 1,89 billones), lo que deja el circulante comercial cerca de cero pese a unas existencias de 1,54 billones (+21 % en seis meses) [5]. Es una caja «prestada» por los clientes: en una normalización de pedidos los anticipos bajarían y el circulante absorbería caja, como en 2022-2023 (flujo operativo negativo con pedidos y existencias al alza) [3, 4]. Los fondos propios atribuidos casi se triplicaron desde 2022 (822.580 M a 2,25 billones)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-4.866,74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1.033.722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882.014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24.507,20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959.573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241.915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698.963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732.605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19.421,03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1.349.671</w:t>
      </w:r>
      <w:r>
        <w:t xml:space="preserve">, conversión </w:t>
      </w:r>
      <w:r>
        <w:rPr>
          <w:b/>
          <w:bCs/>
        </w:rPr>
        <w:t xml:space="preserve">83 %</w:t>
      </w:r>
      <w:r>
        <w:t xml:space="preserve"> del beneficio neto; adquisiciones 14.432, dividendos 314.926, recompras 0.</w:t>
      </w:r>
    </w:p>
    <w:p>
      <w:pPr>
        <w:spacing w:after="100"/>
      </w:pPr>
      <w:r>
        <w:t xml:space="preserve">El flujo operativo fue negativo en 2022 (−124.139 M) y 2023 (−22.439 M) porque las existencias y los clientes crecieron con los pedidos antes de que llegaran los anticipos, y saltó a 1,03 billones en 2024 y 959.573 M en 2025 cuando los pasivos de contrato subieron de 468.137 M a 1,48 billones [1, 2, 3]. En los últimos doce meses: 982.843 M de flujo operativo, 328.195 M de capex y 19.689 M de arrendamientos, un flujo libre de 634.959 M (75 % del beneficio) [5]. El capex sube con las ampliaciones: transformadores en Ulsan (211.800 M, 2025-2027), el campus de distribución de Cheongju (118.500 M, en marcha desde nov-2025) y la ampliación de Alabama [1, 13]; 241.915 M en 2025 (5,9 % de las ventas) frente a 33.190 M en 2021 (1,8 %). Estimación propia: capex de mantenimiento del 2 % de las ventas, en línea con la amortización. Usos de la caja en 2025: dividendos 221.347 M y amortización de deuda (de 293.749 a 186.059 M)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Hanyoung (2024-2025); Samjong KPMG hasta 2023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(consolidado e individual,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Opinión favorable sin salvedades de EY Hanyoung en 2025, igual que en 2024; Samjong KPMG la dio en 2022 y 2023 [1, 4, 12]. El cambio de auditor de 2024 encaja con la rotación obligatoria coreana (designación periódica). Criterios a vigilar: (1) reconocimiento de ingresos a lo largo del tiempo en contratos grandes (activos de contrato de 547.447 M a junio de 2026, +73 % en seis meses, frente a pasivos de contrato de 1,89 billones) [5]; (2) existencias de 1,54 billones, el 35 % de las ventas anuales, sostenidas por la cartera de pedidos [5]; (3) partidas no recurrentes pequeñas: devoluciones de antidumping (3.248 M en 2025) y de aranceles recíprocos en el 2T26 [1, 7]; (4) el impuesto casi nulo de 2022 por créditos de pérdidas anteriores [4]. No hay pagos en acciones relevantes ni capitalización agresiva de desarrollo (intangibles de 65.246 M, el 1,4 % del activo) [1]. La conversión del beneficio en caja (flujo operativo/beneficio de 1,3 veces en 2025 y 1,2 veces en los últimos doce meses) depende de los anticipos de clientes.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apoyado en anticipos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Pasivos de contrato de 1,89 billones (41 % de las ventas) a jun-2026; se revertirían en una normalización de pedidos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de contrato y existencias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contrato +73 % y existencias +21 % en el 1S26, con la cartera +26 %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no recurrentes por aranceles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Devoluciones de antidumping (8.671 M en 2024, 3.248 M en 2025) y de aranceles recíprocos en el 2T26 [1, 14].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824.992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1.030.060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1.417.388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1.428.092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1.289.997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162,2 % · </w:t>
      </w:r>
      <w:r>
        <w:rPr>
          <w:b/>
          <w:bCs/>
        </w:rPr>
        <w:t xml:space="preserve">WACC</w:t>
      </w:r>
      <w:r>
        <w:t xml:space="preserve">: 10,0 %.</w:t>
      </w:r>
    </w:p>
    <w:p>
      <w:pPr>
        <w:spacing w:after="100"/>
      </w:pPr>
      <w:r>
        <w:t xml:space="preserve">HD Hyundai Electric crea mucho valor hoy: ROIC del 59,0 % en 2025 frente a un WACC del 10,02 % (49 puntos), después del 35,9 % en 2024, el 18,6 % en 2023, el 12,8 % en 2022 y el 0,9 % en 2021. Dos cosas lo inflan. (1) El ciclo: el margen operativo pasó del 0,5 % al 24,4 % en cuatro años [1, 4]. (2) Los anticipos de clientes: los pasivos de contrato de 1,48 billones reducen el capital invertido a 1,29 billones para 4,08 billones de ventas (rotación de 3,2 veces). Con el circulante de 2022-2023 (30 % de las ventas) el capital invertido sería un 75 % mayor y el ROIC, del 34 %. El ROIC incremental de 2021-2025 (162 %) mide sobre todo eso. El ROE fue del 41,5 % en 2025. En el ciclo bajo (2021) la empresa no cubría su coste de capital: el ROIC medio a lo largo del ciclo es mucho menor que el actual.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-826.876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efectivo de 988.054 M y depósitos a corto de 21.041 M (1,01 billones) frente a 114.467 M de préstamos y bonos (104.518 M a corto) y 67.752 M de arrendamientos [5]. Caja neta de unos 895.000 M sin arrendamientos (827.000 M con ellos). Calificación AA- de Korea Ratings, NICE y KIS (marzo de 2026)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 (Korea Ratings, NICE Investors Service y Korea Investors Service; escala coreana, marzo de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de contrato (anticipos de clientes) de 1,89 billones a junio de 2026 (1,48 billones a cierre de 2025, 241.570 M en 2021): financian el circulante mientras dura la escasez y se devuelven en cuanto los pedidos se normalicen [1, 5]. Plan de pensiones de prestación definida con activos afectos; provisiones de garantías y por pérdidas en contratos. Venta con arrendamiento posterior a un 6,2 % [1]. Sin litigios relevantes abiertos tras la sentencia del salario ordinario [1].</w:t>
      </w:r>
    </w:p>
    <w:p>
      <w:pPr>
        <w:pStyle w:val="Heading1"/>
      </w:pPr>
      <w:r>
        <w:t xml:space="preserve">12. Asignación de capital</w:t>
      </w:r>
    </w:p>
    <w:p>
      <w:pPr>
        <w:pStyle w:val="Confianza"/>
        <w:spacing w:after="100"/>
      </w:pPr>
      <w:r>
        <w:t xml:space="preserve">Confianza: Alta</w:t>
      </w:r>
    </w:p>
    <w:p>
      <w:pPr>
        <w:spacing w:after="100"/>
      </w:pPr>
      <w:r>
        <w:t xml:space="preserve">El plan de mejora del valor (marzo de 2025, revisado en marzo de 2026) fija un retorno al accionista de al menos el 30 % del beneficio (en 2025 fue del 40 %), ventas de 4,74 billones en 2027 y un ROE medio del 30 % en 2025-2027 [11]. Desde 2026 el dividendo es trimestral: 1.300 KRW en el 1T y el 2T de 2026, tras un dividendo total de 7.100 KRW por 2025 (1.900 a cuenta y 5.200 final; 255.548 M, el 34,9 % del beneficio) [5, 12]. No hay recompras. La empresa cumple los requisitos de «empresa de dividendo alto» de la ley fiscal coreana (tributación separada del dividendo para el accionista)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882.014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698.963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Plaspo (aparamenta de baja tensión)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14.416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 consolidada como filial (HD Hyundai Plaspo) [4, 7].</w:t>
            </w:r>
          </w:p>
        </w:tc>
      </w:tr>
    </w:tbl>
    <w:p>
      <w:pPr>
        <w:spacing w:after="160" w:before="0"/>
      </w:pPr>
    </w:p>
    <w:p>
      <w:pPr>
        <w:spacing w:after="100"/>
      </w:pPr>
      <w:r>
        <w:t xml:space="preserve">La asignación de capital es conservadora y buena: con el ciclo a favor, la empresa ha preferido pagar deuda (de 715.493 M en 2023 a 114.467 M), ampliar capacidad en sus fábricas (Ulsan, Cheongju, Alabama) con un capex que ha pasado del 2 % al 6 % de las ventas y subir el dividendo de 1.000 a 7.100 KRW en dos años, en lugar de comprar empresas [1, 5]. Lo discutible es la caja acumulada (1,01 billones) sin recompras en un año en que la acción ha caído un 63 % desde máximos: los particulares del foro las reclaman (nota E). ROE de 2025 del 41,5 % según la empresa [11].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Young-gi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(representante) y 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la casa: dirigió el negocio de equipos de potencia (transformadores) antes de ser nombrado consejero delegado en la junta de marzo de 2025, cuando Cho Seok dejó el cargo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Namgung Hoon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(finanzas del grupo)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 HD Hyundai: responsable de apoyo financiero del holding (2024-) y antes de recursos humanos de HD Korea Shipbuilding; elegido en marzo de 2026 con el 99,1 % de los votos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Cho Seok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consejero delegado (hasta marzo de 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Dirigió la empresa en el giro de 2021-2024 (de pérdidas a un margen del 20 %) y pasó a otro cargo del grupo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anuales de pedidos y cartera (cifra no recogida en la presentación)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3.816 M USD y cartera de 5.541 M USD: «superan el objetivo de pedidos y cartera»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3.822 M USD (4.274 − 452)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4.274 M USD (+452 M sobre la guía); ventas de 4,08 billones (+22,8 %)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4,35 billones; pedidos de 4.222 M USD, subidos a 5.185 M USD el 6-jul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de 2,18 billones (50 % de la guía) y pedidos de 3.237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curso</w:t>
            </w:r>
          </w:p>
        </w:tc>
      </w:tr>
    </w:tbl>
    <w:p>
      <w:pPr>
        <w:spacing w:after="160" w:before="0"/>
      </w:pPr>
    </w:p>
    <w:p>
      <w:pPr>
        <w:spacing w:after="100"/>
      </w:pPr>
      <w:r>
        <w:t xml:space="preserve">La dirección tiene buen historial de guías: en 2024 y 2025 superó sus objetivos de pedidos (en 2025, por 452 M USD), que fija con prudencia en enero [2, 28]; no hemos encontrado la cifra de la guía de 2023. En 2026 va en línea en ventas (la mitad de la guía en el primer semestre) y por encima en pedidos, lo que llevó a subir el objetivo un 23 % en julio [9]. El equipo es de la casa y del grupo: el consejero delegado viene de la línea de transformadores y el otro consejero ejecutivo de finanzas del holding [1, 12]. La estabilidad es razonable (un cambio de consejero delegado en 2025, ordenado por el grupo). Ningún directivo tiene una participación relevante; el incentivo lo marca el grupo HD Hyundai.</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Young-gi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Namgung Hoon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Su-hwan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Jeon Sun-ok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Kim Woo-chan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externo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(consolidado e individual,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Co. (holding del grupo)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12.756.533 acciones a 30-sep-2026; baja poco a poco por el canje de sus bonos canjeables de noviembre de 2024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Fundaciones Asan (Asan Social Welfare y Asan Nanum) y directivos del grupo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Partes vinculadas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37,06 % con el holding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Nacional de Pensiones (NPS)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más del 5 % [27]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54.431 acciones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fondos extranjeros (BlackRock declaró más del 5 % en agosto de 2026)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6"/>
        <w:gridCol w:w="3381"/>
        <w:gridCol w:w="1521"/>
        <w:gridCol w:w="1690"/>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Co. (accionista de control)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el consejero delegado Kim Young-gi cobró 1.232 M KRW: 728 M de salario y 504 M de variable, ligado según el informe a resultados (ventas, beneficio operativo y pedidos) y a objetivos cualitativos [1]. Su antecesor Cho Seok cobró 664 M por el tiempo en el cargo [1]. En Corea la junta vota un límite global de remuneración de los consejeros, no la política individual: en marzo de 2026 lo aprobó el 99,7 % de los votos emitidos (0,3 % en contra) [12]. Los empleados de la matriz (2.209) cobraron de media unos 131 M KRW [1]. No hay planes de acciones ni opciones.</w:t>
      </w:r>
    </w:p>
    <w:p>
      <w:pPr>
        <w:pStyle w:val="Heading2"/>
      </w:pPr>
      <w:r>
        <w:t xml:space="preserve">Operaciones vinculadas, estructura de control y defensas</w:t>
      </w:r>
    </w:p>
    <w:p>
      <w:pPr>
        <w:spacing w:after="100"/>
      </w:pPr>
      <w:r>
        <w:t xml:space="preserve">HD Hyundai controla la empresa con el 35,39 % (37,06 % con fundaciones y directivos del grupo), y el grupo lo controla a su vez la familia Chung (Chung Ki-sun, presidente de HD Hyundai) [26]. El consejo tiene cinco miembros, tres independientes (60 %); el presidente es el consejero delegado, propuesto por el grupo [12]. En la junta de marzo de 2026 los accionistas aprobaron quitar del estatuto la exclusión del voto acumulativo (ahora se aplica), por la reforma de la ley de sociedades coreana, lo que facilita que los minoritarios elijan un consejero [12]. Un consejero independiente reelegido en marzo con un 15,7 % de votos en contra dimitió en junio; lo sustituyó en septiembre un exfiscal y exjuez, antiguo auditor de la autoridad financiera (95,0 % a favor) [12, 25]. Operaciones vinculadas: ventas a la filial de EE. UU. y servicios del grupo (marca, sistemas), aprobadas por el consejo [1].</w:t>
      </w:r>
    </w:p>
    <w:p>
      <w:pPr>
        <w:pStyle w:val="Heading2"/>
      </w:pPr>
      <w:r>
        <w:t xml:space="preserve">Señales de alerta</w:t>
      </w:r>
    </w:p>
    <w:p>
      <w:pPr>
        <w:pStyle w:val="ListParagraph"/>
        <w:numPr>
          <w:ilvl w:val="0"/>
          <w:numId w:val="2"/>
        </w:numPr>
        <w:spacing w:after="60"/>
      </w:pPr>
      <w:r>
        <w:t xml:space="preserve">Filial cotizada de un grupo familiar: el accionista de control decide el consejero delegado y parte del consejo [26].</w:t>
      </w:r>
    </w:p>
    <w:p>
      <w:pPr>
        <w:pStyle w:val="ListParagraph"/>
        <w:numPr>
          <w:ilvl w:val="0"/>
          <w:numId w:val="2"/>
        </w:numPr>
        <w:spacing w:after="60"/>
      </w:pPr>
      <w:r>
        <w:t xml:space="preserve">El holding reduce su participación con bonos canjeables en acciones de la empresa (presión vendedora gradual) [26].</w:t>
      </w:r>
    </w:p>
    <w:p>
      <w:pPr>
        <w:pStyle w:val="ListParagraph"/>
        <w:numPr>
          <w:ilvl w:val="0"/>
          <w:numId w:val="2"/>
        </w:numPr>
        <w:spacing w:after="60"/>
      </w:pPr>
      <w:r>
        <w:t xml:space="preserve">Presidente del consejo y consejero delegado son la misma persona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dada en enero: ventas de 4,35 billones de KRW (+6,6 %) y pedidos de 4.222 M USD; el 6-jul-2026 subió los pedidos a 5.185 M USD (+23 %) y mantuvo las ventas [9]. No da guía de margen. A medio plazo, el plan de mejora del valor fija ventas de 4,74 billones en 2027 y un ROE medio del 30 % en 2025-2027 [11]. La empresa suele dar la guía con prudencia y superarla (nota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1.290.900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25.677,00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8.705,00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FnGuide, media de 3 meses a 16-oct-2026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1.516.000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32.314,00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FnGuide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6.354.000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1.848.900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39.584,00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4.577.197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4.647.300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1.254.152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1.290.900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5.309.548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5.459.100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1.513.221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5.999.790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6.354.000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1.709.940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1.083.056,00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900.000,00 – 1.430.000,00</w:t>
            </w:r>
          </w:p>
        </w:tc>
      </w:tr>
    </w:tbl>
    <w:p>
      <w:pPr>
        <w:spacing w:after="160" w:before="0"/>
      </w:pPr>
    </w:p>
    <w:p>
      <w:pPr>
        <w:pStyle w:val="Heading2"/>
      </w:pPr>
      <w:r>
        <w:t xml:space="preserve">Revisiones de estimaciones</w:t>
      </w:r>
    </w:p>
    <w:p>
      <w:pPr>
        <w:spacing w:after="100"/>
      </w:pPr>
      <w:r>
        <w:t xml:space="preserve">Los BPA apenas se han movido (Yahoo: 25.951 KRW en 2026e y 33.087 en 2027e con 23 analistas, casi igual que FnGuide) [22, 30], pero los objetivos bajan: en octubre recortaron Mirae, Korea Investment, LS, Daewoo y Hana (de 1,44 M a 1,15 M KRW el 7-oct, por el won más fuerte), y la prensa del 19-oct recoge más recortes antes de los resultados del 3T [30, 31]. El consenso del 3T26 es de 1,17 billones de ventas y 306.500 M de beneficio operativo [30]. Todos recomiendan comprar con un objetivo medio de 1,08 M KRW, el doble del precio: el consenso no ha seguido a la acción.</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caída del 63 % desde máximos que marcaba el escáner es real: de 1.430.000 KRW de cierre el 7-may-2026 a 525.000 el 19-oct (−63,3 %; −65,6 % hasta el mínimo de 473.500 del 15-oct) [29]. No es un error de datos ni un desdoblamiento: Yahoo no registra ningún desdoblamiento (solo dividendos de 5.200, 1.300 y 1.300 KRW), el volumen es normal y Naver da los mismos precios (cierre de 522.000, máximo de 1.449.000 y mínimo de 473.000 en 52 semanas) [29, 42]. Tres causas: (1) el sector entero cayó desde el mismo 7-may (Hyosung Heavy −57,9 %, LS Electric −48,3 %) por dudas sobre el gasto en inteligencia artificial y la rotación de los fondos [22, 29]; (2) el KOSPI cayó un 36,7 % desde su máximo de junio (de 9.115 a 5.768) con las dudas sobre Samsung y SK Hynix y las ventas de extranjeros [32]; (3) lo propio: −16,9 % el 29-jul tras el 2T26 por el retraso de la distribución en EE. UU. y unas devoluciones de aranceles pequeñas, y recortes de objetivos por el won fuerte (1.330 KRW/USD) [14, 31]. El múltiplo bajó de 38 veces el beneficio de 2025 a 22 veces el de los últimos doce meses mientras el beneficio subía.</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 / -34,1 % / -47,4 % / -9,8 %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-63,0 % / +7,8 %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774.000 a 1.050.000 KRW con el KOSPI +48 % en dos meses; contrato de 765 kV de 98.300 M (6-ene), resultados del 4T25 con ventas +42,6 % (27-ene) y dividendo final de 5.200 KRW [8, 12,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mercado: el 4-mar la acción cayó un 11,8 % con el KOSPI −12,1 %; el KOSPI perdió un 19 % en el mes [29,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832.000 a 1.252.000 KRW en abril con el KOSPI +31 % y la sección 232 rebajada al 15 % para muy alta tensión (6-abr); máximo de 1.430.000 el 7-may tras el contrato de 765 kV de 173.000 M (6-may) [8, 20,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del 7-may a 1.053.000 KRW a fin de mayo y 972.000 en junio, con el KOSPI subiendo un 28 % en mayo: rotación de los fondos de equipos eléctricos a semiconductores; Hyosung y LS Electric cayeron desde el mismo día [22, 29]. Sin hecho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28-29-jul −11,5 % y −16,9 % con el KOSPI −10,8 % y −6,0 % (caída de SK Hynix y dudas sobre el gasto en IA) y, en la conferencia del 2T26, la distribución en EE. UU. retrasada a después de 2029 y devoluciones de aranceles de solo ≈ 6.000 M [14, 32]. Rebote del +17,3 % el 31-jul con el KOSPI +17,9 %.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sectorial (27-ago +12,0 %, Hyosung +10,1 %) y antidumping definitivo del 0,00 % (14-ago) [18,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781.000 a 525.000 KRW: huelga del sindicato del grupo HD Hyundai (desde finales de agosto), won más fuerte (1.330 KRW/USD) y recortes de objetivos (Hana de 1,44 M a 1,15 M el 7-oct, −8,1 % ese día; más recortes el 15-19-oct); el 15-oct −10,3 % con el KOSPI −7,6 % y Hyosung −14,7 % [29, 30, 31,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fecha estimada (sin aviso en DART a 19-oct; el 3T25 se publicó el 23-oct-2025). Consenso: 1,17 billones de ventas y 306.500 M de beneficio operativo [30]. Pueden mover el precio más de un 5 %, pero según la regla 13 unos resultados cercanos no aplazan la decisión, ni con tendencia bajista.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objetivos de varias casas antes del 3T26 (Mirae, Korea Investment, LS, Daewoo y Hana en octubre); las 18 mantienen comprar con un objetivo medio de 1.083.056 KRW [30,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HD Hyundai baja al 35,39 % (37,06 % con partes vinculadas) por el canje de sus bonos canjeables de noviembre de 2024 (−1.623 acciones el 30-sep) [26]. Es un goteo, no una colocación: no hay venta en bloque anunciada ni estudiada.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Kim Woo-chan, exfiscal y exjuez, consejero independiente y de auditoría (95,0 % a favor)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Antidumping definitivo de EE. UU. de 2023-2024: 0,00 % para HD Hyundai Electric e Iljin y 4,32 % para Hyosung y LS Electric; abierta la revisión de agosto de 2025 a julio de 2026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 declara más del 5 % del capital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pedidos de 2026 subido de 4.222 a 5.185 M USD (+23 %); ventas sin cambio (4,35 billones)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equipos para centros de datos de 1,12 billones KRW (27,5 % de las ventas) con un gran tecnológico de EE. UU. hasta 2029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2026-04-06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232: el arancel pasa a cobrarse sobre el valor del transformador; tipo reducido del 15 % para los de muy alta tensión hasta el 31-dic-2027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63 % desde el máximo del 7-may es real (sin desdoblamiento ni error de datos) y tiene causas conocidas: el mercado coreano (KOSPI −37 % desde junio), la rotación de los fondos fuera de los equipos eléctricos (Hyosung −58 %, LS −48 % desde el mismo día), la conferencia del 2T26 y los recortes de objetivos por el won. Ninguna es un deterioro del negocio: el beneficio de los últimos doce meses sube y la cartera crece; todas caben en la tesis de este informe, que ya descuenta la normalización del margen. No hay hecho pendiente ajeno al análisis (colocación, ampliación, decisión con fecha) que pueda mover el precio más de un 5 %: el canje del holding es un goteo. Los resultados del 3T26 (≈ 22-oct) no aplazan nada. Veredicto: no cambia. Fuentes revisadas: DART, prensa coreana e inglesa, FnGuide y el foro de Naver.</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PER de los doce meses siguientes «realizado» (cierre de cada año ÷ BPA real del año siguiente) pasó de 4-6 veces en 2021-2023, cuando nadie esperaba el ciclo, a 18,8 veces en 2024 y 30 veces en 2025 (con el consenso de 2026). Al cierre de cada año, sobre el beneficio del propio año, fue de 9,4 veces en 2022, 11,4 en 2023, 27,4 en 2024 y 38,0 en 2025 (la empresa da 27,45 y 38,03 en su plan de valor) [11]. Hoy cotiza a 20,4 veces el BPA de consenso de 2026e y a 16,2 veces el de 2027e: el mercado ya ha quitado la prima de 2025 y descuenta que el beneficio de pico no dura. 2021 se excluye: el BPA de 2022 lleva 85.777 M de otros ingresos y casi no paga impuestos (nota A).</w:t>
      </w:r>
    </w:p>
    <w:p>
      <w:pPr>
        <w:pStyle w:val="Heading1"/>
      </w:pPr>
      <w:r>
        <w:t xml:space="preserve">18. Comparables cotizados</w:t>
      </w:r>
    </w:p>
    <w:p>
      <w:pPr>
        <w:pStyle w:val="Confianza"/>
        <w:spacing w:after="100"/>
      </w:pPr>
      <w:r>
        <w:t xml:space="preserve">Confianza: Media</w:t>
      </w:r>
    </w:p>
    <w:p>
      <w:pPr>
        <w:spacing w:after="100"/>
      </w:pPr>
      <w:r>
        <w:t xml:space="preserve">Fabricantes cotizados de transformadores y equipos de red: los tres coreanos (Hyosung Heavy, LS Electric, Iljin Electric), los grandes occidentales con negocio de red (Siemens Energy, GE Vernova, Hitachi, ABB, Schneider, Eaton, Hubbell) y Hammond Power (transformadores en Norteamérica). Los occidentales son conglomerados con más servicio y software y mayor calidad de beneficio, por eso cotizan con prima; los coreanos son la comparación más pura. Hitachi Energy y Prolec GE no cotizan por separado. PER de los próximos doce meses con el consenso de Yahoo (2026e y 2027e ponderados; Siemens Energy y Hitachi con sus ejercicios no naturales).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18.894.750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Hyosung Heavy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18.027.530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24.490.067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Iljin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167.505.397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 Vernova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326.298.578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209.284.294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216.963.394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202.101.199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Hammond Power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2.762.823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Hitachi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215.726.719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Hubbell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32.399.044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1.191.183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 / 19,8x / 26,1x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655.047,52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678.215,85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888.385,68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 / 21,1x / 25,2x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639.892,05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653.836,43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780.885,22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4.336.924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 / 3,8x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345.832,77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478.386,71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567.559,36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Los comparables coreanos cotizan a 16-35 veces el BPA de los próximos doce meses (Iljin a 16, Hyosung a 17, LS Electric a 35) y los occidentales a 20-36; la mediana de los once es de 21,1 veces. HD Hyundai Electric, con el margen más alto del grupo (EBITDA del 27 % frente al 14 % de Hyosung y el 12 % de LS), cotiza a unas 17 veces el consenso de los próximos doce meses: en la parte baja, con los coreanos de menos calidad. El descuento frente a los occidentales tiene tres razones: es un fabricante puro de equipos (más cíclico, sin servicio), está en el mercado coreano (descuento de gobierno corporativo y del won) y sus márgenes están en máximos. Por EV/EBITDA de los últimos doce meses (15,2 veces) está por debajo de todos salvo Iljin.</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Prolec GE (50 %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 Vernova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14.030.973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5.275 M USD por el 50 % = 10.550 M USD por el 100 %; ventas de 2025 de ≈ 3.000 M USD con un margen EBITDA de ≈ 25 % (estimación propia con datos de la operación)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 (salas eléctricas modulares)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1.861.930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378 M USD y EBITDA de 110 M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DMC Power (conectores de alta tensión)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Hubbell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1.097.209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130 M USD; múltiplo sobre el EBITDA de 2026e (60 M)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 Power Grids (80,1 %, después 100 %)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Hitachi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14.629.450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11.000 M USD por el 100 %, 11,2 veces el EBITA, en el fondo del ciclo anterior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Plaspo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14.416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pequeña de aparamenta de baja tensión; sin múltiplo publicado [4].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13,8x (13,3x – 14,0x)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479.630,19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461.426,50 – 484.594,83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recientes de equipos de red se pagaron a 12,7-14,1 veces el EBITDA (Prolec GE, Fibrebond, DMC Power), y la de ABB Power Grids, en el fondo del ciclo anterior, a 11 veces el EBITA. HD Hyundai Electric vale en bolsa 15,2 veces el EBITDA de los últimos doce meses, algo por encima de esas operaciones, pero sobre un EBITDA en máximos de ciclo (margen del 27 %). Con un margen de ciclo medio (15-18 %), el mismo valor empresa sería unas 25 veces el EBITDA. No hay posibilidad práctica de una opa: la controla el grupo HD Hyundai.</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22,6 % anual entre 2021 y 2025 (de 1,81 a 4,08 billones) [1, 4]. Para 2026e tomamos un +12,2 % (4,58 billones): el 1S26 creció un 13,4 % y la guía es de 4,35 billones, que la empresa suele superar [5, 9]. 2027e +16 % y 2028e +13 %: la cartera de 8.490 M USD (unos dos años de ventas) y el contrato de 1,12 billones con un cliente de centros de datos hasta 2029 lo sostienen [7, 10]; el consenso espera +17,5 % y +16,4 % [30]. Después bajamos al 9 %, 7 %, 5 %, 4 % y 3,5 % en 2033e: el mercado de transformadores crece un 6,5 % anual [15].</w:t>
      </w:r>
    </w:p>
    <w:p>
      <w:pPr>
        <w:keepNext/>
        <w:spacing w:after="100"/>
      </w:pPr>
      <w:r>
        <w:rPr>
          <w:b/>
          <w:bCs/>
        </w:rPr>
        <w:t xml:space="preserve">Márgenes.</w:t>
      </w:r>
    </w:p>
    <w:p>
      <w:pPr>
        <w:spacing w:after="100"/>
      </w:pPr>
      <w:r>
        <w:t xml:space="preserve">Margen EBITDA del 27,4 % en 2026e (26,9 % en el 2T26 [7]) y del 28,5 % en 2027-2028, porque se entregan pedidos firmados a precios de escasez y la empresa dice que los nuevos tienen más margen [7]. Desde 2029 baja un punto y medio o dos al año hasta el 20 % en 2033e. El margen fue del 2,9 % en 2021, el 8,5 % en 2022 y el 13,6 % en 2023 [3, 4]; el ciclo normal del sector es del 10-15 % [17]. Un 20 % permanente ya supone que la empresa sale del ciclo mejor que antes (765 kV, fábrica en EE. UU., antidumping del 0 %).</w:t>
      </w:r>
    </w:p>
    <w:p>
      <w:pPr>
        <w:keepNext/>
        <w:spacing w:after="100"/>
      </w:pPr>
      <w:r>
        <w:rPr>
          <w:b/>
          <w:bCs/>
        </w:rPr>
        <w:t xml:space="preserve">Inversión y circulante.</w:t>
      </w:r>
    </w:p>
    <w:p>
      <w:pPr>
        <w:spacing w:after="100"/>
      </w:pPr>
      <w:r>
        <w:t xml:space="preserve">Capex del 6,5 % de las ventas en 2026e y del 6,0 % y 5,5 % en 2027-2028 (ampliaciones de Ulsan, Cheongju y Alabama; 5,9 % en 2025 [1]), bajando al 3,0 % en 2032-2033, por encima de la amortización (2,6 %). El circulante comercial (con activos y pasivos de contrato) es el punto clave: fue del 6,6 % de las ventas en 2025 porque los clientes adelantan 1,48 billones; en 2022-2023, con el ciclo arrancando, fue del 29-32 % [1, 3]. Lo subimos del 7 % al 15 % en 2033e: los anticipos se devuelven en entregas a medida que se normalizan los pedidos, y eso consume caja.</w:t>
      </w:r>
    </w:p>
    <w:p>
      <w:pPr>
        <w:keepNext/>
        <w:spacing w:after="100"/>
      </w:pPr>
      <w:r>
        <w:rPr>
          <w:b/>
          <w:bCs/>
        </w:rPr>
        <w:t xml:space="preserve">Coste del capital.</w:t>
      </w:r>
    </w:p>
    <w:p>
      <w:pPr>
        <w:spacing w:after="100"/>
      </w:pPr>
      <w:r>
        <w:t xml:space="preserve">Todo en KRW: bono coreano a 10 años del 4,154 % (19-oct-2026) [33]. Beta de 1,0: la de la acción frente al KOSPI es de 0,82 mensual a 5 años (0,88 ajustada) y de 0,90 semanal a 2 años [29]; la subimos por el apalancamiento operativo de un fabricante cíclico. Prima de mercado del 5,5 % y prima adicional de 0,5 puntos (riesgo país y descuento de gobierno corporativo de una filial de grupo coreano; el ciclo va en los flujos, no en la tasa). Coste de la deuda del 4,8 % (bonos y préstamos al 4,8-5,5 % [1]) y un peso de la deuda del 2 % a valor de mercado. WACC del 10,02 %.</w:t>
      </w:r>
    </w:p>
    <w:p>
      <w:pPr>
        <w:keepNext/>
        <w:spacing w:after="100"/>
      </w:pPr>
      <w:r>
        <w:rPr>
          <w:b/>
          <w:bCs/>
        </w:rPr>
        <w:t xml:space="preserve">Valor terminal.</w:t>
      </w:r>
    </w:p>
    <w:p>
      <w:pPr>
        <w:spacing w:after="100"/>
      </w:pPr>
      <w:r>
        <w:t xml:space="preserve">Crecimiento a perpetuidad del 3,0 %, por debajo del bono coreano (4,154 %) y en línea con la inflación coreana más un crecimiento real de la red del 1 %. El valor terminal pesa el 59 % del valor; el múltiplo de salida implícito es de 8,2 veces el EBITDA, por debajo de las transacciones del sector (12,7-14,1 veces) [36, 37, 38] porque el EBITDA terminal ya es de ciclo medio, y las transacciones se hicieron con márgenes de pico.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4.577.197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5.309.548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689.083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5.999.790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1.709.940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397.486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737.176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6.539.771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1.765.738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6.997.555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623.466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7.347.432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1.689.909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376.556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940.734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7.641.330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1.642.886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937.973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7.908.776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1.581.755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205.628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344.032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465.743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12.963.949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15.817.552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4.515.654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6.516.821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11.032.475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826.876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11.856.040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329.425,96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343.760,15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359.449,87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377.744,60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399.351,83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425.260,79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323.260,06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336.483,64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351.734,47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369.517,43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390.520,24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305.317,61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316.570,62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329.425,96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344.252,09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361.539,84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289.482,09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299.139,41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310.080,45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322.579,40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336.994,51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275.402,71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283.752,72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293.143,51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303.782,58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315.936,56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270.339,60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280.594,67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291.241,39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302.291,27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313.755,98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287.471,21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298.681,53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310.333,68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322.441,43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335.018,83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304.602,81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316.768,39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329.425,96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342.591,58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356.281,68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321.734,42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334.855,24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348.518,24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362.741,74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377.544,52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338.866,03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352.942,10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367.610,53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382.891,90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398.807,37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1.959.359 M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 (ROIC 59,0 %)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 frente al 8,7 %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 (histórico: 162,2 %)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 (hoy: 4,7 %)</w:t>
            </w:r>
          </w:p>
        </w:tc>
      </w:tr>
    </w:tbl>
    <w:p>
      <w:pPr>
        <w:spacing w:after="160" w:before="0"/>
      </w:pPr>
    </w:p>
    <w:p>
      <w:pPr>
        <w:spacing w:after="100"/>
      </w:pPr>
      <w:r>
        <w:t xml:space="preserve">La proyección reinvierte el 22 % del NOPAT. Con el ROIC del último ejercicio (59,0 %), eso financia un crecimiento del 13,2 % anual, frente al 8,7 % de ingresos proyectado. Supone que el capital nuevo rinde un 13,8 %, frente a un ROIC incremental histórico del 162,2 %; la cuota de mercado pasaría al 5,9 % desde el 4,7 %.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+7 % (entregas de transformadores a EE. UU. y Oriente Medio, distribución en Corea para fábricas de semiconductores), precio del +6 % (pedidos de 2024-2025 firmados a precios más altos) y −0,8 puntos de otros: cierre de Anseong (84.900 M, −2,1 puntos) compensado en parte por baterías (proyecto Anjwa) [7,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+11 % (contrato de centros de datos de 1,12 billones hasta 2029, ampliación de Ulsan), precio del +4 % (cartera de 8.490 M USD con mejor margen en los pedidos nuevos) y +1 punto de mezcla (más 765 kV) [7,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+10 % (Alabama y Ulsan a plena capacidad) y precio del +3 % (últimos pedidos de escasez).</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+8 % y precio del +1 %: entra la capacidad nueva de la competencia y los precios dejan de subir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+6,5 % (el mercado crece un 6,5 % [15]) y precio del +0,5 %. Ventas de 7,0 billones: el 5,9 % del mercado mundial de transformadores de 2030 (89.340 M USD de GlobalData, ≈ 118,8 billones KRW [17]) frente al 4,7 % de hoy.</w:t>
            </w:r>
          </w:p>
        </w:tc>
      </w:tr>
    </w:tbl>
    <w:p>
      <w:pPr>
        <w:spacing w:after="160" w:before="0"/>
      </w:pPr>
    </w:p>
    <w:p>
      <w:pPr>
        <w:spacing w:after="100"/>
      </w:pPr>
      <w:r>
        <w:t xml:space="preserve">Sí. Las tres pruebas pasan: el crecimiento proyectado (8,7 % de media en 2026e-2033e) es menos de la mitad del histórico (22,6 % en 2021-2025); la reinversión (22 % del NOPAT, con un ROIC del 59,0 % en 2025) financia un 13,2 % anual, más de lo que proyectamos, y supone que el capital nuevo rinde un 13,8 %, muy por debajo del ROIC incremental histórico (162 %, inflado por los anticipos de clientes); y la cuota de mercado pasa del 4,7 % al 5,9 % en 2030, sostenida por la cartera y la capacidad en obras [17]. El riesgo no es el crecimiento sino el margen: el ROIC del 59 % es de pico de ciclo y con capital invertido rebajado por los anticipos.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 (base: 8,2 %)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10,0 %)</w:t>
            </w:r>
          </w:p>
        </w:tc>
      </w:tr>
    </w:tbl>
    <w:p>
      <w:pPr>
        <w:spacing w:after="160" w:before="0"/>
      </w:pPr>
    </w:p>
    <w:p>
      <w:pPr>
        <w:spacing w:after="100"/>
      </w:pPr>
      <w:r>
        <w:t xml:space="preserve">El DCF da 329.426 KRW por acción, un 37,3 % por debajo del precio, con el valor terminal en el 59 % del valor (múltiplo de salida implícito de 8,2 veces el EBITDA). El DCF inverso explica por qué: el precio de 525.000 KRW equivale a un margen EBITDA del 30,2 % para siempre (el base baja al 20 %; 2025 fue del 26,2 %) o a un crecimiento del 20,2 % anual en 2027-2033 (base 8,2 %), y la rentabilidad implícita es del 7,2 % frente a un WACC del 10,02 %. Es exigente: supone que el margen de pico de un fabricante de equipos con historia de pérdidas en 2020-2021 dura indefinidamente. Ni el escenario alcista del DCF (margen terminal del 26 %, 496.389 KRW) llega al precio. Con un WACC del 9 % y un crecimiento terminal del 4 % el valor sube a 425.261 KRW; con la prima de mercado de Damodaran (4,2 %, WACC del 8,8 %) la síntesis sale en 448.237 KRW. Todos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186.751,54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capacidad nueva de la competencia (2027-2029) y una pausa en la inversión de centros de datos bajan los precios de los pedidos: el margen EBITDA vuelve al 22,5 % en 2027-2028 y al 14 % a largo plazo (el ciclo normal del sector), con un crecimiento 2-5 puntos menor. Es lo que pasó tras 2008 [17].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329.425,96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entrega la cartera a precios de escasez hasta 2028 (margen EBITDA del 28,5 %) y después el margen baja hacia el 20 % con la capacidad nueva; las ventas crecen al 13-16 % en 2027-2028 y al 3,5-9 % después.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496.389,00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escasez dura una década: centros de datos, red de EE. UU. y Oriente Medio absorben toda la capacidad nueva; el consenso acierta en 2027-2028 y el margen EBITDA se queda en el 26 % o más a largo plazo, con 3 puntos más de crecimiento.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KRW) · precio actual 525.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335.498,12 KRW (-36,1 %).</w:t>
      </w:r>
    </w:p>
    <w:p>
      <w:pPr>
        <w:spacing w:after="100"/>
      </w:pPr>
      <w:r>
        <w:t xml:space="preserve">La asimetría es mala: en el DCF el bajista pierde un 64,4 % (186.752 KRW) y ni el alcista llega al precio (496.389 KRW, −5,4 %). A 12 meses, con el PER propio, el bajista pierde un 71,9 % (5,9 veces el BPA de 2028e, el múltiplo de 2022-2023) y el alcista gana un 53,1 % (21,1 veces, la mediana de los comparables): asimetría de 0,7 veces. Lo que se gana si el ciclo dura no compensa lo que se pierde si se normaliza. Haría falta un precio de unos 400.000 KRW para que la cuenta saliera.</w:t>
      </w:r>
    </w:p>
    <w:p>
      <w:pPr>
        <w:pStyle w:val="Heading1"/>
      </w:pPr>
      <w:r>
        <w:t xml:space="preserve">22. Suma de partes</w:t>
      </w:r>
    </w:p>
    <w:p>
      <w:pPr>
        <w:pStyle w:val="Confianza"/>
        <w:spacing w:after="100"/>
      </w:pPr>
      <w:r>
        <w:t xml:space="preserve">Confianza: Media</w:t>
      </w:r>
    </w:p>
    <w:p>
      <w:pPr>
        <w:spacing w:after="100"/>
      </w:pPr>
      <w:r>
        <w:t xml:space="preserve">No la hacemos: la empresa tiene un solo segmento a efectos de NIIF 8 y no publica resultado por línea (equipos de potencia, rotativas, distribución) [1]; las tres comparten clientes, fábricas y ciclo.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KRW) · precio actual 525.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473.500,00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1.083.056,00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639.892,05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653.836,43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780.885,22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461.426,50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479.630,19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484.594,83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299.139,41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329.425,96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369.517,43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186.751,54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335.498,12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496.389,00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365.472,76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393.916,40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427.777,69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522.375,00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525.000,00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527.625,00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329.425,96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653.836,43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479.630,19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335.498,12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396.129,70 KRW (-24,5 % sobre 525.000,00).</w:t>
      </w:r>
    </w:p>
    <w:p>
      <w:pPr>
        <w:spacing w:after="100"/>
      </w:pPr>
      <w:r>
        <w:t xml:space="preserve">Pesamos el DCF un 50 %, los escenarios un 30 % y los comparables un 20 %; las transacciones no (son de compradores estratégicos con prima de control y la empresa no se puede comprar: la controla HD Hyundai). El DCF manda porque el problema de esta empresa es el ciclo y solo el DCF lo modela: proyecta el margen de pico hasta 2028 y su vuelta hacia la media después. Los múltiplos dicen otra cosa (640.000-890.000 KRW con el PER de los próximos doce meses y el EV/EBITDA de los últimos doce) porque aplican múltiplos de sector, también en máximos, a un beneficio de pico. La dispersión entre métodos es enorme (de 330.000 a 780.000 KRW) y eso es la tesis: el precio depende de cuánto dure el margen.</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23.649,58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139.532,52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33.341,43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(17.7x) ÷ 1.1 (tope: la mediana de 5 años, 12.3x,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536.797,02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37.734,09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796.189,30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+53,1 %</w:t>
            </w:r>
          </w:p>
        </w:tc>
      </w:tr>
    </w:tbl>
    <w:p>
      <w:pPr>
        <w:spacing w:after="160" w:before="0"/>
      </w:pPr>
    </w:p>
    <w:p>
      <w:pPr>
        <w:spacing w:after="100"/>
      </w:pPr>
      <w:r>
        <w:rPr>
          <w:b/>
          <w:bCs/>
        </w:rPr>
        <w:t xml:space="preserve">Objetivo a 12 meses (ponderado):</w:t>
      </w:r>
      <w:r>
        <w:t xml:space="preserve"> 502.328,97 KRW · rentabilidad -2,8 % (base +3,7 %) · señal Mantener.</w:t>
      </w:r>
    </w:p>
    <w:p>
      <w:pPr>
        <w:spacing w:after="100"/>
      </w:pPr>
      <w:r>
        <w:t xml:space="preserve">Para comparar, con la regla v2 (historia al cierre, mismo precio): 11,4x / 17,7x / 23,0x, 11,9 % Mantener; con el tope anterior del base (×1,3, 14-oct mediodía): -8,9 %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(29.640 KRW) está un 8 % por debajo del consenso de FnGuide (32.314) y el de 2028e (33.341) un 16 % por debajo (39.584) [30]. La diferencia es de margen, no de ventas: el consenso supone un margen operativo del 27,8 % en 2027e y del 29,1 % en 2028e, por encima del 25,1 % del 2T26; nosotros lo dejamos en el 26,5 % (EBITDA del 28,5 %) porque el won se ha apreciado (1.330 KRW/USD) y la competencia amplía capacidad para 2027-2029. Nuestro precio base (536.797 KRW) está un 50 % por debajo del objetivo medio de los analistas (1,08 M): ellos aplican 25-30 veces al beneficio de 2027; nosotros, 16 veces el de 2028.</w:t>
      </w:r>
    </w:p>
    <w:p>
      <w:pPr>
        <w:keepNext/>
        <w:spacing w:after="100"/>
      </w:pPr>
      <w:r>
        <w:rPr>
          <w:b/>
          <w:bCs/>
        </w:rPr>
        <w:t xml:space="preserve">Del valor intrínseco al objetivo a 12 meses.</w:t>
      </w:r>
    </w:p>
    <w:p>
      <w:pPr>
        <w:spacing w:after="100"/>
      </w:pPr>
      <w:r>
        <w:t xml:space="preserve">El objetivo a 12 meses (502.329 KRW, −2,8 % con dividendo; base +3,7 %) y el valor intrínseco (396.130 KRW) están un 27 % separados, y los dos por debajo del precio. El objetivo usa el PER de hoy con el tope de ×1,1 (16,1x) sobre un BPA de 2028e que todavía crece; el valor intrínseco descuenta además que el margen vuelve hacia el 20 % de EBITDA a partir de 2029. Para cerrar la distancia hacia arriba haría falta que el ciclo durase más de lo que suponemos (el alcista del DCF vale 496.389 KRW) o un precio más bajo: el límite de compra del motor es de 396.130 KRW. La tesis es de ciclo y, a este precio, no da margen de seguridad.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(sin aviso en DART a 19-oct; el 3T25 se publicó el 23-oct-2025) [40]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1,17 billones de ventas y 306.500 M de beneficio operativo [30]; lo que mueve la acción son los pedidos, el margen de los nuevos y lo que diga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pedidos y ventas de 2027 (el plan de valor apunta a 4,74 billones) [11]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de ventas de más de 5 billones confirmaría el base; una de 4,7-4,8 billones, que el ciclo se aplana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(preliminar)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antidumping de EE. UU. de agosto de 2025 a julio de 2026 [18]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margen distinto de cero encarecería las ventas a EE. UU. desde Corea (el 40 % de las ventas va a Norteamérica)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2027-12-31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tipo reducido del 15 % de la sección 232 para los transformadores de muy alta tensión [20]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sube al tipo general, más coste en los transformadores que no se hacen en Alabama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los bonos canjeables de HD Hyundai en acciones de la empresa [26]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vendedora gradual; el holding ya ha bajado al 35,39 %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Puesta en marcha de la ampliación de Ulsan (211.800 M) y de Alabama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capacidad para entregar la cartera; más amortización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del margen cuando entre la capacidad nueva de la competencia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en el DCF (bajista, 186.752 KRW frente a 329.426); −72 % a 12 meses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8.490 M USD firmada a precios de escasez (dos años de ventas)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los pedidos nuevos a la baja o plazos de entrega en EE. UU. más cortos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la inversión en centros de datos e inteligencia artificial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contrato de 1,12 billones es el 27,5 % de las ventas en 2,5 años [10]; sin nuevos, el crecimiento de 2028 bajaría al 5-8 %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EE. UU. y Oriente Medio pesa más que los centros de datos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del capex de los grandes tecnológicos; cancelaciones de pedidos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sección 232 y revisiones antidumping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 por cada punto de margen operativo perdido en Norteamérica (estimación propia con la sensibilidad del motor)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de Alabama; margen antidumping del 0,00 % en las dos últimas revisiones [18,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Preliminar de la revisión 2025-2026; cambios de la sección 232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77 % de las ventas se exporta; Hana recortó su objetivo un 20 % por el cambio [30]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parcialmente en dólares (Alabama, acero importado) y coberturas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USD/KRW por debajo de 1.300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Tres clientes son el 29 % de las ventas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Eléctricas reguladas con planes de inversión a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Saudi Electricity, Xcel y NextEra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acero eléctrico y del cobre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acero es el 30-40 % del coste [21]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Cláusulas de revisión de precio en parte de los contratos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acero de grano orientado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de grupo: el holding vende con bonos canjeables y decide el consejo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Presión vendedora gradual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acumulativo desde 2026; 60 % de independientes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cambio de participación en DART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Huelgas en el grupo HD Hyundai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Retrasos de entregas de un trimestre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Fábricas fuera de Ulsan (Cheongju, Alabama)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Convocatorias del sindicato [44]</w:t>
            </w:r>
          </w:p>
        </w:tc>
      </w:tr>
    </w:tbl>
    <w:p>
      <w:pPr>
        <w:spacing w:after="160" w:before="0"/>
      </w:pPr>
    </w:p>
    <w:p>
      <w:pPr>
        <w:pStyle w:val="Heading2"/>
      </w:pPr>
      <w:r>
        <w:t xml:space="preserve">Pre-mortem</w:t>
      </w:r>
    </w:p>
    <w:p>
      <w:pPr>
        <w:spacing w:after="100"/>
      </w:pPr>
      <w:r>
        <w:t xml:space="preserve">Octubre de 2029: la acción ha perdido un 40 % desde 525.000 KRW. Lo que pasó: en 2027 entraron en servicio las ampliaciones de Hitachi Energy en Virginia, de Siemens Energy en Charlotte, de Prolec GE en México y de Hyosung en Memphis, justo cuando los grandes tecnológicos frenaban su capex en centros de datos tras dos años de dudas sobre la rentabilidad de la inteligencia artificial. Los plazos de entrega de transformadores en EE. UU. bajaron de tres años a uno, los clientes dejaron de adelantar dinero y los pedidos nuevos se firmaron con descuentos del 15-20 %. La empresa entregó la cartera de 2026 con buenos márgenes, pero en 2028 el margen operativo bajó del 26 % al 17 % y el circulante absorbió un billón de KRW al devolverse los anticipos. El mercado, que en 2026 pagaba 16-20 veces el beneficio, pasó a pagar 10 veces un beneficio un 30 % menor. Los indicadores que lo habrían anticipado: el margen de los pedidos nuevos en las presentaciones trimestrales, los plazos de entrega de Wood Mackenzie y los pasivos de contrato del balance, que habrían dejado de crecer en 2027.</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+15 % / −40 % a 3-5 años (alcista y bajista del DCF frente al base)</w:t>
      </w:r>
    </w:p>
    <w:p>
      <w:pPr>
        <w:spacing w:after="100"/>
      </w:pPr>
      <w:r>
        <w:t xml:space="preserve">La inteligencia artificial no amenaza el producto (un transformador no se sustituye con software), pero mueve la demanda: los centros de datos para IA son la razón principal de la escasez de transformadores en EE. UU. y el mayor contrato de la historia de la empresa (1,12 billones con un gran tecnológico hasta 2029, el 27,5 % de las ventas) [10, 23]. Es una oportunidad mientras dure el capex y una amenaza si se frena: la caída de la acción del 7-may y del 28-29-jul coincidió con dudas sobre el gasto en IA y la caída de SK Hynix [32]. En la fábrica la IA ayuda poco (diseño y ensayos). Señal: capex trimestral de los grandes tecnológicos y peso de los centros de datos en los pedidos.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ESG que tocan las cifras son tres. (1) Seguridad laboral y relaciones con el sindicato: las huelgas del grupo HD Hyundai en Ulsan (agosto de 2026) pueden retrasar entregas [1]. (2) Gobierno: filial cotizada de un grupo familiar (HD Hyundai, 35,39 %) con consejeros dominicales y operaciones con el grupo (servicios, marcas, contratos con HD Hyundai Electric America) [1, 11]. (3) Producto: los transformadores eficientes y la red para renovables son el lado positivo; el acero y la energía de las fábricas, el lado de las emisiones. La empresa publica informe de sostenibilidad (junio de 2026) y cumple el 87 % de los 15 indicadores clave de gobierno de la bolsa coreana [11].</w:t>
      </w:r>
    </w:p>
    <w:p>
      <w:pPr>
        <w:pStyle w:val="Heading2"/>
      </w:pPr>
      <w:r>
        <w:t xml:space="preserve">Controversias</w:t>
      </w:r>
    </w:p>
    <w:p>
      <w:pPr>
        <w:spacing w:after="100"/>
      </w:pPr>
      <w:r>
        <w:t xml:space="preserve">La demanda colectiva por el salario ordinario (2021) se cerró con un cargo en las cuentas [1]. No hemos encontrado sanciones, retiradas de producto ni litigios relevantes abiertos en DART ni en la prensa en los últimos tres años, más allá de los procedimientos antidumping de EE. UU., que la empresa ha ganado en las dos últimas revisiones [18, 19].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más margen tienen los pedidos firmados en 2026 que los de 2024 y cuánto de la cartera de 8.490 M USD se entrega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de 2027-2028 es el del base (28,5 % de EBITDA) o el del consenso (30 %+).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capacidad en MVA tendrá la empresa en 2028 tras Ulsan y Alabama, y qué capacidad nueva ve en la competencia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capacidad del sector es lo que normaliza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1,89 billones de pasivos de contrato se consumirá en entregas en los próximos 12 meses?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cuánta caja devolverá el circulante si se frenan los pedidos.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paga hoy por la sección 232 por transformador exportado desde Corea y qué cambia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tipo reducido del 15 % caduca a fin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los centros de datos en los pedidos de 2026 y con qué condiciones de cancelación?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demanda más volátil.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no recompran acciones con 1,01 billones de caja y la acción un 63 % por debajo del máximo?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política es solo dividendo; una recompra cambiaría el retorno al accionista.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Naver (종목토론실), octubre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Capitulación: «−70 % desde máximos», rabia contra las casas de análisis que mantienen objetivos de 1 M KRW mientras recortan, contra el Gobierno y el KOSPI; algunos hablan de un «valor justo de 300.000» y de vender para pasarse a SK Hynix; peticiones de recompra de acciones a la empresa [31,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Naver, septiembre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que promedian a la baja y dudan; quejas por la presión vendedora de los extranjeros y por el canje de los bonos del holding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 de Naver, finales de agosto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2T26: miedo por la huelga del sindicato del grupo y el comentario sobre la distribución en EE. UU.; optimismo por el antidumping al 0,00 % y la fábrica de Alabama [43,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ciclo de transformadores ha tocado techo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Parcialmente cierto: el margen está en máximos y la competencia amplía capacidad para 2027-2029 (nota B), pero la cartera de 8.490 M USD y los pedidos de 2026 por encima de la guía (nota A) dan dos años de visibilidad.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casas de análisis no bajan sus objetivos lo suficiente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18 de 18 recomiendan comprar con un objetivo medio que dobla el precio; los recortes de octubre son de un 10-20 % (nota 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 cero en EE. UU. y fábrica de Alabama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margen antidumping del 0,00 % frente al 4,32 % de Hyosung y LS (nota B), aunque se revisa cada año.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empresa debería recomprar acciones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1,01 billones de caja y no recompra; la política es de dividendo (nota 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 mercado coreano y los extranjeros arrastran la acción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el KOSPI ha caído un 37 % desde junio y el sector un 50-60 % desde mayo (nota D).</w:t>
            </w:r>
          </w:p>
        </w:tc>
      </w:tr>
    </w:tbl>
    <w:p>
      <w:pPr>
        <w:spacing w:after="160" w:before="0"/>
      </w:pPr>
    </w:p>
    <w:p>
      <w:pPr>
        <w:spacing w:after="100"/>
      </w:pPr>
      <w:r>
        <w:t xml:space="preserve">El sentimiento de los particulares coreanos es de capitulación, con la acción un 63 % por debajo del máximo de mayo y los foros llenos de vendedores que se pasan a los semiconductores. Coincide con los datos en lo esencial (el margen está en máximos de ciclo y el mercado coreano está en plena corrección) y exagera en lo demás: el beneficio de los últimos doce meses sigue subiendo (+27 % en el 1S26) y la cartera de pedidos crece. Va en contra del consenso de analistas, unánime en comprar. Para un inversor de valor, este pesimismo es una condición necesaria para comprar, no suficiente: el precio tiene que pagar el riesgo de que el margen vuelva a su media.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21 controles correctos. Fuentes: 44 (22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13,8 % frente a un ROIC de 59,0 % y un incremental histórico de 162,2 %: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5,9 % en 2030e frente al 4,7 %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7,0 % frente a 6,6 % real: genera una variación de circulante de 52.585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34,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previo de cada trimestre 3T24-1T26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FnGuide/WiseReport (solo el consenso vigente); 2) prensa coreana de cada publicación (solo el 2T26: en línea); 3) Yahoo (sin histórico de sorpresas para KRX)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línea de negocio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(un solo segmento a efectos de NIIF 8); 2) presentaciones trimestrales (solo variaciones cualitativas por línea); 3) informes de analistas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KCGS)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FY2025 (no las publica); 2) FnGuide/WiseReport (sin calificación ESG en la ficha); 3) búsqueda en prensa (sin calificación reciente)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 histórico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MarketsandMarkets y Frost &amp; Sullivan (solo resúmenes públicos); 2) ficha sectorial (sin CR5 público); 3) informe anual (sin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KRX, saldo de préstamo y posición corta (sin acceso desde este entorno); 2) FnGuide (no la publica); 3) foro de Naver (cifras sin verificar)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12 meses con el consenso de cada momento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FnGuide (solo PER de cierre); 2) Yahoo (sin histórico de estimaciones); 3) informes de analistas (sin acceso a bandas históricas)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Sustituido por el PER «realizado» con el BPA real del año siguiente</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사업보고서 (informe anual) FY2025: estados consolidados K-IFRS de 2025 y 2024 con notas (ventas por producto y región, clientes principales, amortizaciones, deuda, contratos), dividendos, consejo y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https://dart.fss.or.kr/dsaf001/main.do?rcpNo=20260316000940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사업보고서 FY2024 (versión corregida): estados consolidados de 2024 y 2023 con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https://dart.fss.or.kr/dsaf001/main.do?rcpNo=20250320001309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사업보고서 FY2023: estados consolidados de 2023 y 2022, ventas por producto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https://dart.fss.or.kr/dsaf001/main.do?rcpNo=20240318000722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사업보고서 FY2022 e informe de auditoría consolidado FY2022: estados de 2022 y 2021 y notas (Samjong KPMG)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https://dart.fss.or.kr/dsaf001/main.do?rcpNo=20230314001160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반기보고서 (informe semestral) 1S26: estados consolidados a 30-jun-2026 (balance, resultados del 2T y del 1S, flujos del semestre)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https://dart.fss.or.kr/dsaf001/main.do?rcpNo=20260814003228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3T25 y 1T26 (estados consolidados a 30-sep-2025 y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https://dart.fss.or.kr/dsaf001/main.do?rcpNo=20260515002315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2Q 2026 Earning Release: ventas, beneficio operativo, pedidos y cartera por negocio y región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https://www.hd-hyundaielectric.com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 Releases 3Q24, 4Q24, 2Q25, 3Q25, 4Q25 y 1Q26 (resultados trimestrales, pedidos y cartera)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https://www.hd-hyundaielectric.com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DART: previsión de resultados consolidados corregida (pedidos de 2026 de 4.222 a 5.185 M USD; ventas 4,35 billones KRW)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https://dart.fss.or.kr/dsaf001/main.do?rcpNo=20260706800260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DART: contrato a largo plazo de equipos para centros de datos (1,1212 billones KRW, 27,5 % de las ventas, hasta 1-ene-2029)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https://dart.fss.or.kr/dsaf001/main.do?rcpNo=20260702800227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DART: plan de mejora del valor 2026 (retorno al accionista ≥ 30 %, ventas de 4,74 billones en 2027, ROE medio del 30 % en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https://dart.fss.or.kr/dsaf001/main.do?rcpNo=20260325800992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DART: resultado de la junta de 24-mar-2026 (cuentas, dividendo final de 5.200 KRW,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https://dart.fss.or.kr/dsaf001/main.do?rcpNo=20260324801629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DART: cierre de la fábrica de Anseong (84.900 M de ventas) al entrar en servicio el campus de distribución de Cheongju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https://dart.fss.or.kr/dsaf001/main.do?rcpNo=20260206801061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 in Focus: HD Hyundai Electric cae tras el 2T26 (distribución en EE. UU. después de 2029; devoluciones de aranceles compensatorios de unos 6.000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Edaily (edición inglesa)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https://en.edaily.co.kr/news/eda202607295199/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Power Transformer Market Size Projected to Grow $41.62 billion by 2030 (30.380 M USD en 2025; +6,5 %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https://www.globenewswire.com/news-release/2025/09/29/3157392/0/en/Power-Transformer-Market-Size-Projected-to-Grow-41-62-billion-by-2030-MarketsandMarkets.html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Power Transformers Industry, Global, 2025-2035 (transformadores de más de 10 MVA: 41.000 M USD en 2024, 80.100 M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Frost &amp; Sullivan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https://store.frost.com/power-transformers-industry-global-2025-2035.html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transformadores y equipos de red eléctrica (GlobalData 89.340 M USD en 2030; Wood Mackenzie; cotizadas)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(sectores/transformadores-2026-10-16.md)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https://www.woodmac.com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Large Power Transformers from the Republic of Korea: Final Results of Antidumping Duty Administrative Review; 2023-2024 (HD Hyundai Electric 0,00 %; Hyosung y LS Electric 4,32 %)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Commerce / Federal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https://www.federalregister.gov/d/2026-16663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Large Power Transformers from the Republic of Korea: Preliminary Results of Antidumping Duty Administrative Review;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Commerce / Federal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https://www.federalregister.gov/documents/2026/02/10/2026-02646/large-power-transformers-from-the-republic-of-korea-preliminary-results-of-antidumping-duty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232: desde el 6-abr-2026 el arancel se aplica sobre el valor del producto acabado; transformadores de muy alta tensión al 15 % hasta fin 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Financial News (edición inglesa)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https://en.fnnews.com/news/202604061143170211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After an Unprecedented Boom: Korean High-Voltage Transformer Firms on Alert Over Multibillion-Won Tariff Shock (arancel del 50 % sobre el acero; el acero eléctrico es el 30-40 % del coste)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Economy (edición inglesa)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https://view.asiae.co.kr/en/article/2025081911440803842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Hyosung Heavy Industries, LS Electric, Iljin Electric, Siemens Energy, GE Vernova, Hitachi, ABB, Schneider, Eaton, Hubbell y Hammond Power (ventas, márgenes)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https://finance.yahoo.com/quote/298040.KS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2Q 2026 Earning Release: perspectivas por región (FERC, centros de datos, Oriente Medio, Europa)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https://www.hd-hyundaielectric.com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 to invest $273.7 million in high-voltage transformers (ampliación de Ulsan y Alabama)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Korea JoongAng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https://www.koreajoongangdaily.com/business/hd-hyundai-electric-to-invest-2737-million-in-high-voltage-transformers-by-2026/10181530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DART: resultado de la junta extraordinaria de 8-sep-2026 (elección de Kim Woo-chan, 95,0 % a favor)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https://dart.fss.or.kr/dsaf001/main.do?rcpNo=20260908800531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DART: cambio en la participación del accionista de control (HD Hyundai 35,39 %; 37,06 % con partes vinculadas; canje de bonos)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https://dart.fss.or.kr/dsaf001/main.do?rcpNo=20261001800430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WiseReport/FnGuide: accionistas principales (HD Hyundai y partes vinculadas 37,06 %, Servicio Nacional de Pensiones 8,00 %)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https://navercomp.wisereport.co.kr/v2/company/c1010001.aspx?cmp_cd=267260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 Release 4Q25: resultados de 2025 frente a la guía (ventas 4,08 billones, pedidos 4.274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https://www.hd-hyundaielectric.com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267260.KS, del KOSPI (^KS11) y de LS Electric (010120.KS) como referencia sectorial; cierres de cada ejercicio, betas, volatilidad y dividendos (sin desdoblamientos)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https://finance.yahoo.com/quote/267260.KS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anual 2026e-2028e (media de tres meses de las casas coreanas), objetivos e informes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https://navercomp.wisereport.co.kr/v2/company/c1050001.aspx?cmp_cd=267260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Brokerages cut price targets, dampening hopes as stock market stabilization fund talk resurfaces (recortes de objetivos a HD Hyundai Electric)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MoneyToday (edición inglesa)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https://www.mt.co.kr/en/stock/2026/10/19/2026101915492164073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Kospi plunges 5% as tech stocks tumble (caída del KOSPI desde el máximo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Korea JoongAng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https://www.koreajoongangdaily.com/business/kospi-plunges-5-as-tech-stocks-tumble/12918482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del Estado coreano a 10 años (KR10YT=RR): 4,154 % al cierre del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Naver Pay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https://m.stock.naver.com/marketindex/bond/KR10YT=RR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KRW=X (1.329,95), EURKRW (1.490,3), CHFKRW (1.613,22), CADKRW (944,35) y JPYKRW (8,384),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https://finance.yahoo.com/quote/KRW=X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Vernova to acquire remaining 50% stake of Prolec GE (5.275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T&amp;D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https://www.tdworld.com/utility-business/news/55325306/ge-vernova-to-acquire-remaining-50-stake-of-prolec-ge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acquires Fibrebond Corporation for 1.400 M USD (ventas de 378 M, EBITDA de 110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DatacenterDynamics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https://datacenterdynamics.com/en/news/eaton-acquires-fibrebond-corporation-for-14bn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to acquire DMC Power for 825 M USD (ventas de 130 M; EBITDA de 2026e de 60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https://www.nasdaq.com/articles/hubbell-acquire-dmc-power-825-mln-all-cash-deal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completes divestment of Power Grids to Hitachi (valor empresa de 11.000 M USD por el 100 %)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https://new.abb.com/news/detail/64657/abb-completes-divestment-of-power-grids-to-hitachi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DART: resultados de 2025 (cambio de más del 15 % en ventas y beneficio) y presentaciones de resultados (fechas de 2024-2026)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https://dart.fss.or.kr/dsaf001/main.do?rcpNo=20260126800411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DART: reuniones con inversores en Singapur y Hong Kong (7-8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https://dart.fss.or.kr/dsaf001/main.do?rcpNo=20260930801077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de la acción en Naver: cierre de 522.000 KRW (KRX/NXT), máximo de 52 semanas de 1.449.000 y mínimo de 473.000, capitalización de 18,82 billones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Naver Pay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https://m.stock.naver.com/domestic/stock/267260/total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Naver (종목토론실) de 267260: 1.200 mensajes del 19-ago al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Naver Pay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https://m.stock.naver.com/domestic/stock/267260/discussion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Heavy Shares Halve to 351,500 Won as Union Plans Walkout (huelga en el grupo HD Hyundai)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Seoul Economic Daily (edición inglesa)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https://en.sedaily.com/finance/2026/10/18/hd-hyundai-heavy-shares-halve-to-351500-won-as-union-plans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89,2 %</w:t>
      </w:r>
      <w:r>
        <w:t xml:space="preserve"> · Secciones con menos del 60 % de campos cubiertos: </w:t>
      </w:r>
      <w:r>
        <w:rPr>
          <w:b/>
          <w:bCs/>
        </w:rPr>
        <w:t xml:space="preserve">ninguna</w:t>
      </w:r>
      <w:r>
        <w:t xml:space="preserve"> · Generado el 19 oct 2026.</w:t>
      </w:r>
    </w:p>
    <w:p>
      <w:pPr>
        <w:pStyle w:val="Nota"/>
        <w:spacing w:after="100"/>
      </w:pPr>
      <w:r>
        <w:t xml:space="preserve">Cuentas consolidadas K-IFRS en millones de KRW, sacadas de los informes oficiales presentados en DART (사업보고서 FY2022-FY2025, 반기보고서 1S26 y 분기보고서) [1, 2, 3, 4, 5, 6], leídos sección a sección con el visor de dart.fss.or.kr (la descarga en PDF devuelve un archivo vacío). No hay XBRL utilizable en herramientas/cuentas.mjs para Corea. Los trimestres y los pedidos salen de las presentaciones de resultados de la empresa [7, 8]. El consenso es la media de tres meses de FnGuide a 16-oct-2026 [30]. El precio es el cierre del 19-oct-2026 en el KOSPI (Yahoo) [29]. Sin acceso a transcripciones de las conferencias con analistas: lo que preguntaron sale de la prensa [14].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HD Hyundai Electric Co., Ltd. (267260)</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525.000,00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(473.500,00 – 1.430.000,00)</c:v>
                </c:pt>
                <c:pt idx="1">
                  <c:v>Precio objetivo de los analistas (900.000,00 – 1.430.000,00)</c:v>
                </c:pt>
                <c:pt idx="2">
                  <c:v>Comparables: PER NTM (639.892,05 – 780.885,22)</c:v>
                </c:pt>
                <c:pt idx="3">
                  <c:v>Transacciones precedentes (EV/EBITDA) (461.426,50 – 484.594,83)</c:v>
                </c:pt>
                <c:pt idx="4">
                  <c:v>DCF (WACC y g ± 0,5) (299.139,41 – 369.517,43)</c:v>
                </c:pt>
                <c:pt idx="5">
                  <c:v>Escenarios (bajista – alcista) (186.751,54 – 496.389,00)</c:v>
                </c:pt>
                <c:pt idx="6">
                  <c:v>DCF con la prima implícita del mercado (4,2 %)</c:v>
                </c:pt>
                <c:pt idx="7">
                  <c:v>Precio actual (525.000,00)</c:v>
                </c:pt>
              </c:strCache>
            </c:strRef>
          </c:cat>
          <c:val>
            <c:numRef>
              <c:f>Hoja1!$B$2:$B$9</c:f>
              <c:numCache>
                <c:formatCode>#,##0</c:formatCode>
                <c:ptCount val="8"/>
                <c:pt idx="0">
                  <c:v>473500</c:v>
                </c:pt>
                <c:pt idx="1">
                  <c:v>900000</c:v>
                </c:pt>
                <c:pt idx="2">
                  <c:v>639892.05</c:v>
                </c:pt>
                <c:pt idx="3">
                  <c:v>461426.5</c:v>
                </c:pt>
                <c:pt idx="4">
                  <c:v>299139.41</c:v>
                </c:pt>
                <c:pt idx="5">
                  <c:v>186751.54</c:v>
                </c:pt>
                <c:pt idx="6">
                  <c:v>365472.76</c:v>
                </c:pt>
                <c:pt idx="7">
                  <c:v>522375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(473.500,00 – 1.430.000,00)</c:v>
                </c:pt>
                <c:pt idx="1">
                  <c:v>Precio objetivo de los analistas (900.000,00 – 1.430.000,00)</c:v>
                </c:pt>
                <c:pt idx="2">
                  <c:v>Comparables: PER NTM (639.892,05 – 780.885,22)</c:v>
                </c:pt>
                <c:pt idx="3">
                  <c:v>Transacciones precedentes (EV/EBITDA) (461.426,50 – 484.594,83)</c:v>
                </c:pt>
                <c:pt idx="4">
                  <c:v>DCF (WACC y g ± 0,5) (299.139,41 – 369.517,43)</c:v>
                </c:pt>
                <c:pt idx="5">
                  <c:v>Escenarios (bajista – alcista) (186.751,54 – 496.389,00)</c:v>
                </c:pt>
                <c:pt idx="6">
                  <c:v>DCF con la prima implícita del mercado (4,2 %)</c:v>
                </c:pt>
                <c:pt idx="7">
                  <c:v>Precio actual (525.000,00)</c:v>
                </c:pt>
              </c:strCache>
            </c:strRef>
          </c:cat>
          <c:val>
            <c:numRef>
              <c:f>Hoja1!$C$2:$C$9</c:f>
              <c:numCache>
                <c:formatCode>#,##0</c:formatCode>
                <c:ptCount val="8"/>
                <c:pt idx="0">
                  <c:v>956500</c:v>
                </c:pt>
                <c:pt idx="1">
                  <c:v>530000</c:v>
                </c:pt>
                <c:pt idx="2">
                  <c:v>140993.16999999993</c:v>
                </c:pt>
                <c:pt idx="3">
                  <c:v>23168.330000000016</c:v>
                </c:pt>
                <c:pt idx="4">
                  <c:v>70378.02000000002</c:v>
                </c:pt>
                <c:pt idx="5">
                  <c:v>309637.45999999996</c:v>
                </c:pt>
                <c:pt idx="6">
                  <c:v>62304.92999999999</c:v>
                </c:pt>
                <c:pt idx="7">
                  <c:v>5250</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(KRW, millones)</a:t>
            </a:r>
          </a:p>
        </c:rich>
      </c:tx>
      <c:overlay val="0"/>
    </c:title>
    <c:autoTitleDeleted val="0"/>
    <c:plotArea>
      <c:layout/>
      <c:barChart>
        <c:barDir val="col"/>
        <c:grouping val="stacked"/>
        <c:varyColors val="0"/>
        <c:ser>
          <c:idx val="0"/>
          <c:order val="0"/>
          <c:tx>
            <c:strRef>
              <c:f>Hoja1!$B$1</c:f>
              <c:strCache>
                <c:ptCount val="1"/>
                <c:pt idx="0">
                  <c:v>Equipos de potencia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975952</c:v>
                </c:pt>
                <c:pt idx="1">
                  <c:v>1096837</c:v>
                </c:pt>
                <c:pt idx="2">
                  <c:v>1571748</c:v>
                </c:pt>
                <c:pt idx="3">
                  <c:v>2035525</c:v>
                </c:pt>
                <c:pt idx="4">
                  <c:v>2835195</c:v>
                </c:pt>
              </c:numCache>
            </c:numRef>
          </c:val>
        </c:ser>
        <c:ser>
          <c:idx val="1"/>
          <c:order val="1"/>
          <c:tx>
            <c:strRef>
              <c:f>Hoja1!$C$1</c:f>
              <c:strCache>
                <c:ptCount val="1"/>
                <c:pt idx="0">
                  <c:v>Máquinas rotativas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379034</c:v>
                </c:pt>
                <c:pt idx="1">
                  <c:v>404798</c:v>
                </c:pt>
                <c:pt idx="2">
                  <c:v>486814</c:v>
                </c:pt>
                <c:pt idx="3">
                  <c:v>537227</c:v>
                </c:pt>
                <c:pt idx="4">
                  <c:v>588664</c:v>
                </c:pt>
              </c:numCache>
            </c:numRef>
          </c:val>
        </c:ser>
        <c:ser>
          <c:idx val="2"/>
          <c:order val="2"/>
          <c:tx>
            <c:strRef>
              <c:f>Hoja1!$D$1</c:f>
              <c:strCache>
                <c:ptCount val="1"/>
                <c:pt idx="0">
                  <c:v>Distribución y otros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451006</c:v>
                </c:pt>
                <c:pt idx="1">
                  <c:v>602864</c:v>
                </c:pt>
                <c:pt idx="2">
                  <c:v>644237</c:v>
                </c:pt>
                <c:pt idx="3">
                  <c:v>749597</c:v>
                </c:pt>
                <c:pt idx="4">
                  <c:v>655639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Equipos de potencia</c:v>
                </c:pt>
                <c:pt idx="1">
                  <c:v>Máquinas rotativas</c:v>
                </c:pt>
                <c:pt idx="2">
                  <c:v>Distribución y otros</c:v>
                </c:pt>
              </c:strCache>
            </c:strRef>
          </c:cat>
          <c:val>
            <c:numRef>
              <c:f>Hoja1!$B$2:$B$4</c:f>
              <c:numCache>
                <c:formatCode>General</c:formatCode>
                <c:ptCount val="3"/>
                <c:pt idx="0">
                  <c:v>69.5</c:v>
                </c:pt>
                <c:pt idx="1">
                  <c:v>14.4</c:v>
                </c:pt>
                <c:pt idx="2">
                  <c:v>16.1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Norteamérica</c:v>
                </c:pt>
                <c:pt idx="1">
                  <c:v>Corea</c:v>
                </c:pt>
                <c:pt idx="2">
                  <c:v>Oriente Medio</c:v>
                </c:pt>
                <c:pt idx="3">
                  <c:v>Europa</c:v>
                </c:pt>
                <c:pt idx="4">
                  <c:v>Resto (Asia, Oceanía, otros)</c:v>
                </c:pt>
              </c:strCache>
            </c:strRef>
          </c:cat>
          <c:val>
            <c:numRef>
              <c:f>Hoja1!$B$2:$B$6</c:f>
              <c:numCache>
                <c:formatCode>0"%"</c:formatCode>
                <c:ptCount val="5"/>
                <c:pt idx="0">
                  <c:v>39.6</c:v>
                </c:pt>
                <c:pt idx="1">
                  <c:v>22.9</c:v>
                </c:pt>
                <c:pt idx="2">
                  <c:v>20.9</c:v>
                </c:pt>
                <c:pt idx="3">
                  <c:v>9.9</c:v>
                </c:pt>
                <c:pt idx="4">
                  <c:v>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65200</c:v>
                </c:pt>
                <c:pt idx="1">
                  <c:v>69440</c:v>
                </c:pt>
                <c:pt idx="2">
                  <c:v>73950</c:v>
                </c:pt>
                <c:pt idx="3">
                  <c:v>78760</c:v>
                </c:pt>
                <c:pt idx="4">
                  <c:v>83880</c:v>
                </c:pt>
                <c:pt idx="5">
                  <c:v>89340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HD Hyundai Electric</c:v>
                </c:pt>
                <c:pt idx="1">
                  <c:v>Hitachi Energy (Hitachi)</c:v>
                </c:pt>
                <c:pt idx="2">
                  <c:v>Siemens Energy (Grid Technologies)</c:v>
                </c:pt>
                <c:pt idx="3">
                  <c:v>GE Vernova (Prolec GE)</c:v>
                </c:pt>
                <c:pt idx="4">
                  <c:v>Hyosung Heavy Industries</c:v>
                </c:pt>
                <c:pt idx="5">
                  <c:v>LS Electric</c:v>
                </c:pt>
                <c:pt idx="6">
                  <c:v>Iljin Electric</c:v>
                </c:pt>
                <c:pt idx="7">
                  <c:v>Hammond Power Solutions</c:v>
                </c:pt>
              </c:strCache>
            </c:strRef>
          </c:cat>
          <c:val>
            <c:numRef>
              <c:f>Hoja1!$B$2:$B$9</c:f>
              <c:numCache>
                <c:formatCode>0.0"%"</c:formatCode>
                <c:ptCount val="8"/>
                <c:pt idx="0">
                  <c:v>24.4</c:v>
                </c:pt>
                <c:pt idx="4">
                  <c:v>14.5</c:v>
                </c:pt>
                <c:pt idx="5">
                  <c:v>11.3</c:v>
                </c:pt>
                <c:pt idx="6">
                  <c:v>11.3</c:v>
                </c:pt>
                <c:pt idx="7">
                  <c:v>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(KRW,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1805992</c:v>
                </c:pt>
                <c:pt idx="1">
                  <c:v>2104499</c:v>
                </c:pt>
                <c:pt idx="2">
                  <c:v>2702799</c:v>
                </c:pt>
                <c:pt idx="3">
                  <c:v>3322349</c:v>
                </c:pt>
                <c:pt idx="4">
                  <c:v>4079498</c:v>
                </c:pt>
                <c:pt idx="5">
                  <c:v>4577197</c:v>
                </c:pt>
                <c:pt idx="6">
                  <c:v>5309548</c:v>
                </c:pt>
                <c:pt idx="7">
                  <c:v>5999790</c:v>
                </c:pt>
                <c:pt idx="8">
                  <c:v>6539771</c:v>
                </c:pt>
                <c:pt idx="9">
                  <c:v>6997555</c:v>
                </c:pt>
                <c:pt idx="10">
                  <c:v>7347432</c:v>
                </c:pt>
                <c:pt idx="11">
                  <c:v>7641330</c:v>
                </c:pt>
                <c:pt idx="12">
                  <c:v>7908776</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52552</c:v>
                </c:pt>
                <c:pt idx="1">
                  <c:v>179892</c:v>
                </c:pt>
                <c:pt idx="2">
                  <c:v>367561</c:v>
                </c:pt>
                <c:pt idx="3">
                  <c:v>734093</c:v>
                </c:pt>
                <c:pt idx="4">
                  <c:v>1068901</c:v>
                </c:pt>
                <c:pt idx="5">
                  <c:v>1254152</c:v>
                </c:pt>
                <c:pt idx="6">
                  <c:v>1513221</c:v>
                </c:pt>
                <c:pt idx="7">
                  <c:v>1709940</c:v>
                </c:pt>
                <c:pt idx="8">
                  <c:v>1765738</c:v>
                </c:pt>
                <c:pt idx="9">
                  <c:v>1749389</c:v>
                </c:pt>
                <c:pt idx="10">
                  <c:v>1689909</c:v>
                </c:pt>
                <c:pt idx="11">
                  <c:v>1642886</c:v>
                </c:pt>
                <c:pt idx="12">
                  <c:v>1581755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c:v>
                </c:pt>
                <c:pt idx="1">
                  <c:v>16</c:v>
                </c:pt>
                <c:pt idx="2">
                  <c:v>22.6</c:v>
                </c:pt>
                <c:pt idx="3">
                  <c:v>31.4</c:v>
                </c:pt>
                <c:pt idx="4">
                  <c:v>34.1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2.9</c:v>
                </c:pt>
                <c:pt idx="1">
                  <c:v>8.5</c:v>
                </c:pt>
                <c:pt idx="2">
                  <c:v>13.6</c:v>
                </c:pt>
                <c:pt idx="3">
                  <c:v>22.1</c:v>
                </c:pt>
                <c:pt idx="4">
                  <c:v>26.2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0.5</c:v>
                </c:pt>
                <c:pt idx="1">
                  <c:v>6.3</c:v>
                </c:pt>
                <c:pt idx="2">
                  <c:v>11.7</c:v>
                </c:pt>
                <c:pt idx="3">
                  <c:v>20.1</c:v>
                </c:pt>
                <c:pt idx="4">
                  <c:v>24.4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-1.9</c:v>
                </c:pt>
                <c:pt idx="1">
                  <c:v>7.7</c:v>
                </c:pt>
                <c:pt idx="2">
                  <c:v>9.6</c:v>
                </c:pt>
                <c:pt idx="3">
                  <c:v>15.1</c:v>
                </c:pt>
                <c:pt idx="4">
                  <c:v>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13.6</c:v>
                </c:pt>
                <c:pt idx="1">
                  <c:v>2.3</c:v>
                </c:pt>
                <c:pt idx="2">
                  <c:v>26.7</c:v>
                </c:pt>
                <c:pt idx="3">
                  <c:v>-1.2</c:v>
                </c:pt>
                <c:pt idx="4">
                  <c:v>26.2</c:v>
                </c:pt>
                <c:pt idx="5">
                  <c:v>42.6</c:v>
                </c:pt>
                <c:pt idx="6">
                  <c:v>2.1</c:v>
                </c:pt>
                <c:pt idx="7">
                  <c:v>26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13.6</c:v>
                </c:pt>
                <c:pt idx="1">
                  <c:v>2.3</c:v>
                </c:pt>
                <c:pt idx="2">
                  <c:v>26.7</c:v>
                </c:pt>
                <c:pt idx="3">
                  <c:v>-1.2</c:v>
                </c:pt>
                <c:pt idx="4">
                  <c:v>26.2</c:v>
                </c:pt>
                <c:pt idx="5">
                  <c:v>42.6</c:v>
                </c:pt>
                <c:pt idx="6">
                  <c:v>2.1</c:v>
                </c:pt>
                <c:pt idx="7">
                  <c:v>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92</c:v>
                </c:pt>
                <c:pt idx="1">
                  <c:v>88</c:v>
                </c:pt>
                <c:pt idx="2">
                  <c:v>89</c:v>
                </c:pt>
                <c:pt idx="3">
                  <c:v>91</c:v>
                </c:pt>
                <c:pt idx="4">
                  <c:v>69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130</c:v>
                </c:pt>
                <c:pt idx="2">
                  <c:v>148</c:v>
                </c:pt>
                <c:pt idx="3">
                  <c:v>173</c:v>
                </c:pt>
                <c:pt idx="4">
                  <c:v>172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111</c:v>
                </c:pt>
                <c:pt idx="1">
                  <c:v>76</c:v>
                </c:pt>
                <c:pt idx="2">
                  <c:v>71</c:v>
                </c:pt>
                <c:pt idx="3">
                  <c:v>80</c:v>
                </c:pt>
                <c:pt idx="4">
                  <c:v>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(KRW,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67977</c:v>
                </c:pt>
                <c:pt idx="1">
                  <c:v>-175154</c:v>
                </c:pt>
                <c:pt idx="2">
                  <c:v>-124129</c:v>
                </c:pt>
                <c:pt idx="3">
                  <c:v>882014</c:v>
                </c:pt>
                <c:pt idx="4">
                  <c:v>698963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-33687</c:v>
                </c:pt>
                <c:pt idx="1">
                  <c:v>162486</c:v>
                </c:pt>
                <c:pt idx="2">
                  <c:v>259153</c:v>
                </c:pt>
                <c:pt idx="3">
                  <c:v>501567</c:v>
                </c:pt>
                <c:pt idx="4">
                  <c:v>732605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0.9</c:v>
                </c:pt>
                <c:pt idx="1">
                  <c:v>12.8</c:v>
                </c:pt>
                <c:pt idx="2">
                  <c:v>18.6</c:v>
                </c:pt>
                <c:pt idx="3">
                  <c:v>35.9</c:v>
                </c:pt>
                <c:pt idx="4">
                  <c:v>59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c:v>
                </c:pt>
                <c:pt idx="1">
                  <c:v>10</c:v>
                </c:pt>
                <c:pt idx="2">
                  <c:v>10</c:v>
                </c:pt>
                <c:pt idx="3">
                  <c:v>10</c:v>
                </c:pt>
                <c:pt idx="4">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-5.2</c:v>
                </c:pt>
                <c:pt idx="1">
                  <c:v>22.1</c:v>
                </c:pt>
                <c:pt idx="2">
                  <c:v>27.7</c:v>
                </c:pt>
                <c:pt idx="3">
                  <c:v>39.3</c:v>
                </c:pt>
                <c:pt idx="4">
                  <c:v>41.5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3.4</c:v>
                </c:pt>
                <c:pt idx="1">
                  <c:v>2.25</c:v>
                </c:pt>
                <c:pt idx="2">
                  <c:v>1.48</c:v>
                </c:pt>
                <c:pt idx="3">
                  <c:v>-0.34</c:v>
                </c:pt>
                <c:pt idx="4">
                  <c:v>-0.66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(KRW,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2026-27</c:v>
                </c:pt>
                <c:pt idx="1">
                  <c:v>2027+</c:v>
                </c:pt>
              </c:strCache>
            </c:strRef>
          </c:cat>
          <c:val>
            <c:numRef>
              <c:f>Hoja1!$B$2:$B$3</c:f>
              <c:numCache>
                <c:formatCode>#,##0</c:formatCode>
                <c:ptCount val="2"/>
                <c:pt idx="0">
                  <c:v>104518</c:v>
                </c:pt>
                <c:pt idx="1">
                  <c:v>9949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(KRW,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14416</c:v>
                </c:pt>
                <c:pt idx="2">
                  <c:v>0</c:v>
                </c:pt>
                <c:pt idx="3">
                  <c:v>0</c:v>
                </c:pt>
                <c:pt idx="4">
                  <c:v>16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17996</c:v>
                </c:pt>
                <c:pt idx="3">
                  <c:v>75583</c:v>
                </c:pt>
                <c:pt idx="4">
                  <c:v>221347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HD Hyundai Co. (holding del grupo)</c:v>
                </c:pt>
                <c:pt idx="1">
                  <c:v>Fundaciones Asan (Asan Social Welfare y Asan Nanum) y directivos del grupo</c:v>
                </c:pt>
                <c:pt idx="2">
                  <c:v>Servicio Nacional de Pensiones (NPS)</c:v>
                </c:pt>
                <c:pt idx="3">
                  <c:v>Autocartera</c:v>
                </c:pt>
                <c:pt idx="4">
                  <c:v>Capital flotante</c:v>
                </c:pt>
              </c:strCache>
            </c:strRef>
          </c:cat>
          <c:val>
            <c:numRef>
              <c:f>Hoja1!$B$2:$B$6</c:f>
              <c:numCache>
                <c:formatCode>0.0"%"</c:formatCode>
                <c:ptCount val="5"/>
                <c:pt idx="0">
                  <c:v>35.39</c:v>
                </c:pt>
                <c:pt idx="1">
                  <c:v>1.67</c:v>
                </c:pt>
                <c:pt idx="2">
                  <c:v>8</c:v>
                </c:pt>
                <c:pt idx="3">
                  <c:v>0.15</c:v>
                </c:pt>
                <c:pt idx="4">
                  <c:v>54.8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-61.1</c:v>
                </c:pt>
                <c:pt idx="1">
                  <c:v>-39.3</c:v>
                </c:pt>
                <c:pt idx="2">
                  <c:v>42</c:v>
                </c:pt>
                <c:pt idx="3">
                  <c:v>21.3</c:v>
                </c:pt>
                <c:pt idx="4">
                  <c:v>113.6</c:v>
                </c:pt>
                <c:pt idx="5">
                  <c:v>93.4</c:v>
                </c:pt>
                <c:pt idx="6">
                  <c:v>364.7</c:v>
                </c:pt>
                <c:pt idx="7">
                  <c:v>102.6</c:v>
                </c:pt>
              </c:numCache>
            </c:numRef>
          </c:val>
        </c:ser>
        <c:ser>
          <c:idx val="1"/>
          <c:order val="1"/>
          <c:tx>
            <c:strRef>
              <c:f>Hoja1!$C$1</c:f>
              <c:strCache>
                <c:ptCount val="1"/>
                <c:pt idx="0">
                  <c:v>Índice</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-17.3</c:v>
                </c:pt>
                <c:pt idx="1">
                  <c:v>7.7</c:v>
                </c:pt>
                <c:pt idx="2">
                  <c:v>30.8</c:v>
                </c:pt>
                <c:pt idx="3">
                  <c:v>3.6</c:v>
                </c:pt>
                <c:pt idx="4">
                  <c:v>-24.9</c:v>
                </c:pt>
                <c:pt idx="5">
                  <c:v>18.7</c:v>
                </c:pt>
                <c:pt idx="6">
                  <c:v>-9.6</c:v>
                </c:pt>
                <c:pt idx="7">
                  <c:v>75.6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17</c:v>
                </c:pt>
                <c:pt idx="1">
                  <c:v>10.8</c:v>
                </c:pt>
                <c:pt idx="2">
                  <c:v>9.5</c:v>
                </c:pt>
                <c:pt idx="3">
                  <c:v>18.4</c:v>
                </c:pt>
                <c:pt idx="4">
                  <c:v>25.4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14.6</c:v>
                </c:pt>
                <c:pt idx="1">
                  <c:v>14.6</c:v>
                </c:pt>
                <c:pt idx="2">
                  <c:v>14.6</c:v>
                </c:pt>
                <c:pt idx="3">
                  <c:v>14.6</c:v>
                </c:pt>
                <c:pt idx="4">
                  <c:v>14.6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Pt>
            <c:idx val="11"/>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HD Hyundai Electric</c:v>
                </c:pt>
                <c:pt idx="1">
                  <c:v>Hyosung Heavy Industries</c:v>
                </c:pt>
                <c:pt idx="2">
                  <c:v>LS Electric</c:v>
                </c:pt>
                <c:pt idx="3">
                  <c:v>Iljin Electric</c:v>
                </c:pt>
                <c:pt idx="4">
                  <c:v>Siemens Energy</c:v>
                </c:pt>
                <c:pt idx="5">
                  <c:v>GE Vernova</c:v>
                </c:pt>
                <c:pt idx="6">
                  <c:v>Schneider Electric</c:v>
                </c:pt>
                <c:pt idx="7">
                  <c:v>ABB</c:v>
                </c:pt>
                <c:pt idx="8">
                  <c:v>Eaton</c:v>
                </c:pt>
                <c:pt idx="9">
                  <c:v>Hammond Power Solutions</c:v>
                </c:pt>
                <c:pt idx="10">
                  <c:v>Hitachi</c:v>
                </c:pt>
                <c:pt idx="11">
                  <c:v>Hubbell</c:v>
                </c:pt>
              </c:strCache>
            </c:strRef>
          </c:cat>
          <c:val>
            <c:numRef>
              <c:f>Hoja1!$B$2:$B$13</c:f>
              <c:numCache>
                <c:formatCode>0.0"x"</c:formatCode>
                <c:ptCount val="12"/>
                <c:pt idx="0">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Prolec GE (50 % restante)</c:v>
                </c:pt>
                <c:pt idx="1">
                  <c:v>Fibrebond (salas eléctricas modulares)</c:v>
                </c:pt>
                <c:pt idx="2">
                  <c:v>DMC Power (conectores de alta tensión)</c:v>
                </c:pt>
                <c:pt idx="3">
                  <c:v>ABB Power Grids (80,1 %, después 100 %)</c:v>
                </c:pt>
                <c:pt idx="4">
                  <c:v>Plaspo</c:v>
                </c:pt>
              </c:strCache>
            </c:strRef>
          </c:cat>
          <c:val>
            <c:numRef>
              <c:f>Hoja1!$B$2:$B$6</c:f>
              <c:numCache>
                <c:formatCode>0.0"x"</c:formatCode>
                <c:ptCount val="5"/>
                <c:pt idx="0">
                  <c:v>14.1</c:v>
                </c:pt>
                <c:pt idx="1">
                  <c:v>12.7</c:v>
                </c:pt>
                <c:pt idx="2">
                  <c:v>13.8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(KRW,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611109</c:v>
                </c:pt>
                <c:pt idx="1">
                  <c:v>737203</c:v>
                </c:pt>
                <c:pt idx="2">
                  <c:v>867248</c:v>
                </c:pt>
                <c:pt idx="3">
                  <c:v>951987</c:v>
                </c:pt>
                <c:pt idx="4">
                  <c:v>888395</c:v>
                </c:pt>
                <c:pt idx="5">
                  <c:v>940734</c:v>
                </c:pt>
                <c:pt idx="6">
                  <c:v>937973</c:v>
                </c:pt>
                <c:pt idx="7">
                  <c:v>883930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(KRW,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4515654</c:v>
                </c:pt>
                <c:pt idx="1">
                  <c:v>6516821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(KRW) · precio actual 525.000,00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186751.54</c:v>
                </c:pt>
                <c:pt idx="1">
                  <c:v>329425.96</c:v>
                </c:pt>
                <c:pt idx="2">
                  <c:v>496389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525.000,00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(473.500,00 – 1.430.000,00)</c:v>
                </c:pt>
                <c:pt idx="1">
                  <c:v>Precio objetivo de los analistas (900.000,00 – 1.430.000,00)</c:v>
                </c:pt>
                <c:pt idx="2">
                  <c:v>Comparables: PER NTM (639.892,05 – 780.885,22)</c:v>
                </c:pt>
                <c:pt idx="3">
                  <c:v>Transacciones precedentes (EV/EBITDA) (461.426,50 – 484.594,83)</c:v>
                </c:pt>
                <c:pt idx="4">
                  <c:v>DCF (WACC y g ± 0,5) (299.139,41 – 369.517,43)</c:v>
                </c:pt>
                <c:pt idx="5">
                  <c:v>Escenarios (bajista – alcista) (186.751,54 – 496.389,00)</c:v>
                </c:pt>
                <c:pt idx="6">
                  <c:v>DCF con la prima implícita del mercado (4,2 %)</c:v>
                </c:pt>
                <c:pt idx="7">
                  <c:v>Precio actual (525.000,00)</c:v>
                </c:pt>
              </c:strCache>
            </c:strRef>
          </c:cat>
          <c:val>
            <c:numRef>
              <c:f>Hoja1!$B$2:$B$9</c:f>
              <c:numCache>
                <c:formatCode>#,##0</c:formatCode>
                <c:ptCount val="8"/>
                <c:pt idx="0">
                  <c:v>473500</c:v>
                </c:pt>
                <c:pt idx="1">
                  <c:v>900000</c:v>
                </c:pt>
                <c:pt idx="2">
                  <c:v>639892.05</c:v>
                </c:pt>
                <c:pt idx="3">
                  <c:v>461426.5</c:v>
                </c:pt>
                <c:pt idx="4">
                  <c:v>299139.41</c:v>
                </c:pt>
                <c:pt idx="5">
                  <c:v>186751.54</c:v>
                </c:pt>
                <c:pt idx="6">
                  <c:v>365472.76</c:v>
                </c:pt>
                <c:pt idx="7">
                  <c:v>522375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(473.500,00 – 1.430.000,00)</c:v>
                </c:pt>
                <c:pt idx="1">
                  <c:v>Precio objetivo de los analistas (900.000,00 – 1.430.000,00)</c:v>
                </c:pt>
                <c:pt idx="2">
                  <c:v>Comparables: PER NTM (639.892,05 – 780.885,22)</c:v>
                </c:pt>
                <c:pt idx="3">
                  <c:v>Transacciones precedentes (EV/EBITDA) (461.426,50 – 484.594,83)</c:v>
                </c:pt>
                <c:pt idx="4">
                  <c:v>DCF (WACC y g ± 0,5) (299.139,41 – 369.517,43)</c:v>
                </c:pt>
                <c:pt idx="5">
                  <c:v>Escenarios (bajista – alcista) (186.751,54 – 496.389,00)</c:v>
                </c:pt>
                <c:pt idx="6">
                  <c:v>DCF con la prima implícita del mercado (4,2 %)</c:v>
                </c:pt>
                <c:pt idx="7">
                  <c:v>Precio actual (525.000,00)</c:v>
                </c:pt>
              </c:strCache>
            </c:strRef>
          </c:cat>
          <c:val>
            <c:numRef>
              <c:f>Hoja1!$C$2:$C$9</c:f>
              <c:numCache>
                <c:formatCode>#,##0</c:formatCode>
                <c:ptCount val="8"/>
                <c:pt idx="0">
                  <c:v>956500</c:v>
                </c:pt>
                <c:pt idx="1">
                  <c:v>530000</c:v>
                </c:pt>
                <c:pt idx="2">
                  <c:v>140993.16999999993</c:v>
                </c:pt>
                <c:pt idx="3">
                  <c:v>23168.330000000016</c:v>
                </c:pt>
                <c:pt idx="4">
                  <c:v>70378.02000000002</c:v>
                </c:pt>
                <c:pt idx="5">
                  <c:v>309637.45999999996</c:v>
                </c:pt>
                <c:pt idx="6">
                  <c:v>62304.92999999999</c:v>
                </c:pt>
                <c:pt idx="7">
                  <c:v>5250</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