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Powell Industries, Inc.</w:t>
      </w:r>
    </w:p>
    <w:p>
      <w:pPr>
        <w:spacing w:after="60"/>
        <w:rPr>
          <w:color w:val="52514E"/>
          <w:sz w:val="22"/>
          <w:szCs w:val="22"/>
        </w:rPr>
      </w:pPr>
      <w:r>
        <w:rPr>
          <w:color w:val="52514E"/>
          <w:sz w:val="22"/>
          <w:szCs w:val="22"/>
        </w:rPr>
        <w:t xml:space="preserve">POWL · Nasdaq Global Market (POWL, USD) · ISIN US7391281067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165,14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142,30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-13,6 % (base +1,7 %)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89,61 USD · mercado 96,31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6.044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Powell Industries,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POWL / US7391281067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Market (POWL,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como referencia; Russell 2000 / S&amp;P SmallCap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y componentes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Houston (Texas) · 1947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https://powellind.com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165,14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94,02 – 322,05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 M USD/día (624.000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142,30 USD</w:t>
      </w:r>
      <w:r>
        <w:t xml:space="preserve"> frente a 165,14 · Rentabilidad a 12 meses </w:t>
      </w:r>
      <w:r>
        <w:rPr>
          <w:b/>
          <w:bCs/>
        </w:rPr>
        <w:t xml:space="preserve">-13,6 % (base +1,7 %)</w:t>
      </w:r>
      <w:r>
        <w:t xml:space="preserve"> · Valor intrínseco 89,61 USD · con la prima implícita del mercado: 96,31 (-41,7 %) · Alcista / bajista -32,2 % / -70,4 %</w:t>
      </w:r>
    </w:p>
    <w:p>
      <w:pPr>
        <w:spacing w:after="100"/>
      </w:pPr>
      <w:r>
        <w:rPr>
          <w:b/>
        </w:rPr>
        <w:t xml:space="preserve">La recomendación y por qué.</w:t>
      </w:r>
      <w:r>
        <w:t xml:space="preserve"> Vender, con convicción media. Nuestro objetivo a 12 meses es de 142,30 USD: −13,6 % con dividendo frente al precio de 165,14 USD (cierre del 16-oct-2026) [22], y el caso base solo da +1,7 %. La regla de control v2 da lo mismo (−15,4 %). El DCF da 79,49 USD y la síntesis ponderada 89,61 USD, un 46 % por debajo del precio. La venta depende del bajista (6,7 veces el beneficio, lo que pagó el mercado en septiembre de 2023): con un bajista menos duro sería Mantener (−4 %). Lo firme es que no es una compra. La convicción es media y no alta, como sugieren los criterios, por esa dependencia del bajista; la subiría un margen bruto por debajo del 28 % o un book-to-bill menor que 1, y la bajaría un margen EBITDA del 22 % sostenido.</w:t>
      </w:r>
    </w:p>
    <w:p>
      <w:pPr>
        <w:spacing w:after="100"/>
      </w:pPr>
      <w:r>
        <w:rPr>
          <w:b/>
        </w:rPr>
        <w:t xml:space="preserve">El negocio.</w:t>
      </w:r>
      <w:r>
        <w:t xml:space="preserve"> Powell, de Houston, fabrica a medida cuadros eléctricos, aparamenta de media tensión y salas eléctricas prefabricadas para petróleo y gas (37 % de las ventas de FY2025), petroquímica (14 %), utilities (25 %) y centros de datos y otras industrias (16 %) [1]. Vende casi todo en EE. UU. y Canadá (94 %) a ingenierías, utilities y operadores de centros de datos.</w:t>
      </w:r>
    </w:p>
    <w:p>
      <w:pPr>
        <w:spacing w:after="100"/>
      </w:pPr>
      <w:r>
        <w:rPr>
          <w:b/>
        </w:rPr>
        <w:t xml:space="preserve">Finanzas.</w:t>
      </w:r>
      <w:r>
        <w:t xml:space="preserve"> Tras siete años de márgenes del 1-6 % (FY2016-FY2022), las ventas se duplicaron hasta 1.104 M en FY2025 y el margen EBITDA llegó al 20,4 %: ROIC del 116 % frente a un WACC del 11,84 % y 634 M de caja sin deuda [1, 3]. En el 3T FY26 los pedidos fueron récord (934 M, 3 veces las ventas) y la cartera llegó a 2.400 M (+69 %), pero las ventas solo crecieron un 9 % y el BPA quedó dos trimestres por debajo de lo esperado [3, 4].</w:t>
      </w:r>
    </w:p>
    <w:p>
      <w:pPr>
        <w:spacing w:after="100"/>
      </w:pPr>
      <w:r>
        <w:rPr>
          <w:b/>
        </w:rPr>
        <w:t xml:space="preserve">La caída del 49 %.</w:t>
      </w:r>
      <w:r>
        <w:t xml:space="preserve"> Es real: el split 3 × 1 del 2-abr-2026 está ajustado. Tras subir de 140 a 322 USD hasta mayo con el mayor pedido de su historia (más de 400 M para un centro de datos), cayó con los valores de energía para la IA en julio, septiembre y octubre (Vertiv y GE Vernova), con dos trimestres algo flojos y con ventas de la familia Powell y de los directivos (69 M sin ninguna compra) [16, 21, 31].</w:t>
      </w:r>
    </w:p>
    <w:p>
      <w:pPr>
        <w:spacing w:after="100"/>
      </w:pPr>
      <w:r>
        <w:rPr>
          <w:b/>
        </w:rPr>
        <w:t xml:space="preserve">Valoración.</w:t>
      </w:r>
      <w:r>
        <w:t xml:space="preserve"> A 165 USD el mercado descuenta un crecimiento del 22 % anual durante diez años o un margen de pico para siempre. Cotiza a 25,6 veces nuestro BPA de FY2027e (24 veces el del consenso) frente a una mediana histórica de 17 veces y a 21 veces de Eaton, Schneider o ABB, mucho más estables. Nuestro BPA de FY2028e (7,19 USD) está un 13 % por debajo del consenso porque no subimos el margen: la dirección lo guía plano mientras añade capacidad. Sostenibilidad del crecimiento: Sí (está en la cartera).</w:t>
      </w:r>
    </w:p>
    <w:p>
      <w:pPr>
        <w:spacing w:after="100"/>
      </w:pPr>
      <w:r>
        <w:rPr>
          <w:b/>
        </w:rPr>
        <w:t xml:space="preserve">Qué puede ir mal y qué vigilar.</w:t>
      </w:r>
      <w:r>
        <w:t xml:space="preserve"> Para la venta, que el ciclo de centros de datos y redes dure una década con márgenes del 22 % (el consenso): con su BPA el base daría +16 %. Los resultados de FY2026 (previstos el 17-nov, sin confirmar) traerán el margen y los pedidos del 4T. Veredicto de precio y noticias: </w:t>
      </w:r>
      <w:r>
        <w:rPr>
          <w:b/>
        </w:rPr>
        <w:t xml:space="preserve">no cambia</w:t>
      </w:r>
      <w:r>
        <w:t xml:space="preserve"> (la caída tiene causas conocidas; no hay hechos pendientes).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142,30 USD</w:t>
      </w:r>
      <w:r>
        <w:t xml:space="preserve"> (rentabilidad -13,6 % (base +1,7 %)) · Valor intrínseco: 89,61 USD (-45,7 % sobre 165,14) · con la prima implícita del mercado: 96,31 (-41,7 %)</w:t>
      </w:r>
    </w:p>
    <w:p>
      <w:pPr>
        <w:spacing w:after="100"/>
      </w:pPr>
      <w:r>
        <w:t xml:space="preserve">Powell es un buen negocio en el mejor momento de su ciclo: cartera récord, margen cuatro veces el medio de la década y ROIC de tres dígitos. El precio ya descuenta que eso dure diez años. Con una cartera que asegura ventas pero no márgenes, un historial muy cíclico y la competencia ampliando capacidad, el riesgo está en el múltiplo: a 12 meses el base no da nada y el bajista pierde mucho.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 × 5,28 = 35,38 · 23,3x × 7,19 = 167,53 · 23,3x × 8,53 = 198,75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 /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267,50 (nuestro base -37,4 %)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 / -70,4 %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11,8 % y 10,8 %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-45,5 % (-41,5 % con la prima del mercado) y el precio pide 14,8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89,61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89,61 y 158,51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158,51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158,51 USD: pasaríamos a Mantener; por debajo de 89,61 USD (valor real), a Comprar.</w:t>
      </w:r>
    </w:p>
    <w:p>
      <w:pPr>
        <w:pStyle w:val="ListParagraph"/>
        <w:numPr>
          <w:ilvl w:val="0"/>
          <w:numId w:val="2"/>
        </w:numPr>
        <w:spacing w:after="60"/>
      </w:pPr>
      <w:r>
        <w:t xml:space="preserve">Margen EBITDA del 22 % o más en dos trimestres de FY2027 con pedidos por encima de las ventas: subiríamos el margen del base y la recomendación a Mantener.</w:t>
      </w:r>
    </w:p>
    <w:p>
      <w:pPr>
        <w:pStyle w:val="ListParagraph"/>
        <w:numPr>
          <w:ilvl w:val="0"/>
          <w:numId w:val="2"/>
        </w:numPr>
        <w:spacing w:after="60"/>
      </w:pPr>
      <w:r>
        <w:t xml:space="preserve">Book-to-bill por debajo de 1 dos trimestres seguidos: bajaríamos el crecimiento de FY2028e hacia el bajista.</w:t>
      </w:r>
    </w:p>
    <w:p>
      <w:pPr>
        <w:pStyle w:val="ListParagraph"/>
        <w:numPr>
          <w:ilvl w:val="0"/>
          <w:numId w:val="2"/>
        </w:numPr>
        <w:spacing w:after="60"/>
      </w:pPr>
      <w:r>
        <w:t xml:space="preserve">Anuncio de una recompra grande con la caja: mejoraría el BPA y la señal.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Powell ya no es una cíclica de petróleo y gas sino un proveedor estructural de la IA y de las redes: crecimiento del 22 % anual durante diez años o el margen de pico (20 %) para siempre.</w:t>
      </w:r>
    </w:p>
    <w:p>
      <w:pPr>
        <w:keepNext/>
        <w:spacing w:after="100"/>
      </w:pPr>
      <w:r>
        <w:rPr>
          <w:b/>
          <w:bCs/>
        </w:rPr>
        <w:t xml:space="preserve">Lo que creemos nosotros.</w:t>
      </w:r>
    </w:p>
    <w:p>
      <w:pPr>
        <w:spacing w:after="100"/>
      </w:pPr>
      <w:r>
        <w:t xml:space="preserve">La cartera asegura dos años de crecimiento fuerte (+22 % y +14 %), pero el margen no sube más y después vuelve hacia la media de un ciclo mejor que el anterior (16,5 %).</w:t>
      </w:r>
    </w:p>
    <w:p>
      <w:pPr>
        <w:keepNext/>
        <w:spacing w:after="100"/>
      </w:pPr>
      <w:r>
        <w:rPr>
          <w:b/>
          <w:bCs/>
        </w:rPr>
        <w:t xml:space="preserve">Por qué podemos tener razón.</w:t>
      </w:r>
    </w:p>
    <w:p>
      <w:pPr>
        <w:spacing w:after="100"/>
      </w:pPr>
      <w:r>
        <w:t xml:space="preserve">El margen EBITDA fue del 1-6 % en FY2016-FY2022, la dirección guía margen bruto plano, los pedidos de centros de datos son menos personalizados y Eaton, Schneider y ABB amplían capacidad y compran salas eléctricas [3, 4, 9, 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2.400 M (+69 %), 1.300 M facturables en doce meses [3].</w:t>
      </w:r>
    </w:p>
    <w:p>
      <w:pPr>
        <w:pStyle w:val="ListParagraph"/>
        <w:numPr>
          <w:ilvl w:val="0"/>
          <w:numId w:val="2"/>
        </w:numPr>
        <w:spacing w:after="60"/>
      </w:pPr>
      <w:r>
        <w:rPr>
          <w:b/>
        </w:rPr>
        <w:t xml:space="preserve">Balance</w:t>
      </w:r>
      <w:r>
        <w:t xml:space="preserve">: 634 M de caja (10 % de la capitalización) y ninguna deuda [3].</w:t>
      </w:r>
    </w:p>
    <w:p>
      <w:pPr>
        <w:pStyle w:val="ListParagraph"/>
        <w:numPr>
          <w:ilvl w:val="0"/>
          <w:numId w:val="2"/>
        </w:numPr>
        <w:spacing w:after="60"/>
      </w:pPr>
      <w:r>
        <w:rPr>
          <w:b/>
        </w:rPr>
        <w:t xml:space="preserve">Rentabilidad</w:t>
      </w:r>
      <w:r>
        <w:t xml:space="preserve">: margen EBITDA del 20,4 % y ROIC del 116 % gracias a los anticipos [1].</w:t>
      </w:r>
    </w:p>
    <w:p>
      <w:pPr>
        <w:pStyle w:val="ListParagraph"/>
        <w:numPr>
          <w:ilvl w:val="0"/>
          <w:numId w:val="2"/>
        </w:numPr>
        <w:spacing w:after="60"/>
      </w:pPr>
      <w:r>
        <w:rPr>
          <w:b/>
        </w:rPr>
        <w:t xml:space="preserve">Posición</w:t>
      </w:r>
      <w:r>
        <w:t xml:space="preserve">: independiente de referencia en salas eléctricas a medida en Norteamérica, con ≈ 26 % del mercado de media tensión [1, 13].</w:t>
      </w:r>
    </w:p>
    <w:p>
      <w:pPr>
        <w:pStyle w:val="Heading2"/>
      </w:pPr>
      <w:r>
        <w:t xml:space="preserve">En contra</w:t>
      </w:r>
    </w:p>
    <w:p>
      <w:pPr>
        <w:pStyle w:val="ListParagraph"/>
        <w:numPr>
          <w:ilvl w:val="0"/>
          <w:numId w:val="2"/>
        </w:numPr>
        <w:spacing w:after="60"/>
      </w:pPr>
      <w:r>
        <w:rPr>
          <w:b/>
        </w:rPr>
        <w:t xml:space="preserve">Precio</w:t>
      </w:r>
      <w:r>
        <w:t xml:space="preserve">: el DCF da 79 USD y los comparables 146-149 USD; el precio pide un 22 % de crecimiento anual diez años.</w:t>
      </w:r>
    </w:p>
    <w:p>
      <w:pPr>
        <w:pStyle w:val="ListParagraph"/>
        <w:numPr>
          <w:ilvl w:val="0"/>
          <w:numId w:val="2"/>
        </w:numPr>
        <w:spacing w:after="60"/>
      </w:pPr>
      <w:r>
        <w:rPr>
          <w:b/>
        </w:rPr>
        <w:t xml:space="preserve">Cíclica en máximos</w:t>
      </w:r>
      <w:r>
        <w:t xml:space="preserve">: margen del 1-6 % hace solo cuatro años [9].</w:t>
      </w:r>
    </w:p>
    <w:p>
      <w:pPr>
        <w:pStyle w:val="ListParagraph"/>
        <w:numPr>
          <w:ilvl w:val="0"/>
          <w:numId w:val="2"/>
        </w:numPr>
        <w:spacing w:after="60"/>
      </w:pPr>
      <w:r>
        <w:rPr>
          <w:b/>
        </w:rPr>
        <w:t xml:space="preserve">Margen plano y dos trimestres por debajo de lo esperado</w:t>
      </w:r>
      <w:r>
        <w:t xml:space="preserve"> pese a la cartera [4, 31].</w:t>
      </w:r>
    </w:p>
    <w:p>
      <w:pPr>
        <w:pStyle w:val="ListParagraph"/>
        <w:numPr>
          <w:ilvl w:val="0"/>
          <w:numId w:val="2"/>
        </w:numPr>
        <w:spacing w:after="60"/>
      </w:pPr>
      <w:r>
        <w:rPr>
          <w:b/>
        </w:rPr>
        <w:t xml:space="preserve">Ventas de dentro</w:t>
      </w:r>
      <w:r>
        <w:t xml:space="preserve">: 69 M vendidos en 2026 por la familia Powell y los directivos, sin compras [21].</w:t>
      </w:r>
    </w:p>
    <w:p>
      <w:pPr>
        <w:pStyle w:val="Heading2"/>
      </w:pPr>
      <w:r>
        <w:t xml:space="preserve">Qué tiene que pasar para que la tesis funcione</w:t>
      </w:r>
    </w:p>
    <w:p>
      <w:pPr>
        <w:spacing w:after="100"/>
      </w:pPr>
      <w:r>
        <w:t xml:space="preserve">El margen bruto y el book-to-bill de cada trimestre. Si el margen sube por encima del 31 % con la capacidad nueva y los pedidos siguen por encima de las ventas, el consenso tendría razón y la venta sobraría. Si el margen baja del 28 % o los pedidos caen por debajo de las ventas dos trimestres, empieza el bajista. Primer examen: los resultados de FY2026, previstos el 17-nov-2026.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 (3T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28 % o &gt;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nuestro BPA del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 ventas (book-to-bill)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(3T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del pico de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centros de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800 M en 9M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ciclo y de la cotización.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familia Powell y de directivos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M en 2026, sin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ventas grandes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acciones e información de dentro.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17,0x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31,6x / 24,0x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William E. Powell fundó la empresa en Houston en 1947 para fabricar equipos eléctricos para la industria petrolera y petroquímica de la costa del golfo; la familia Powell sigue siendo la primera accionista (Thomas W. Powell, ≈ 18 %) [1]. Creció con los ciclos de la energía: compró negocios en Reino Unido y Canadá (Acheson, Alberta) para las arenas bituminosas, sufrió la caída del petróleo de 2014-2016 con pérdidas en FY2017-FY2018 y un margen casi nulo hasta FY2022 [2]. Desde 2016 la dirige Brett A. Cope, que diversificó hacia utilities, comercial y centros de datos. El ciclo de GNL de 2022-2024 y el de centros de datos de 2025-2026 llevaron las ventas a más de 1.100 M y el margen EBITDA al 20 %; en abril de 2026 hizo un split 3 × 1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E. Powell funda la empresa en Houston.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ciclo petrolero; después, caída de pedidos y ventas.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Brett A. Cope, consejero delegado; la empresa entra en pérdidas (FY2017-FY2018).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Cope pasa a presidir también el consejo.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pedido petroquímico y auge del GNL: el beneficio pasa de 13,7 M a 54,5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1.104 M y beneficio de 180,7 M; compra de Remsdaq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Split 3 × 1 (abril), mega pedido de centro de datos de más de 400 M y cartera récord de 2.400 M (junio).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Powell Industries diseña, fabrica y mantiene equipos a medida para distribuir, controlar y proteger la energía eléctrica entre 480 y 38.000 voltios: salas de control eléctrico prefabricadas (PCR, E-houses), módulos, aparamenta de media tensión convencional y resistente al arco, interruptores de vacío, centros de control de motores y conductos de barras [1]. Cada pedido se diseña para un proyecto: un PCR para una planta de GNL, la subestación de una utility o la sala eléctrica de un centro de datos. Vende directamente al propietario o a la ingeniería (EPC) que construye la planta, casi siempre por concurso [1]. Tiene fábricas propias en Houston (incluido el patio de Jacintoport, con muelle para enviar salas de cientos de toneladas por barco), Ohio, Canadá (Acheson, Alberta) y Reino Unido; el 80 % de las ventas es en EE. UU. y el 14 % en Canadá [1]. Servicio técnico, repuestos y modernización de equipos antiguos completan la oferta.</w:t>
      </w:r>
    </w:p>
    <w:p>
      <w:pPr>
        <w:pStyle w:val="Heading2"/>
      </w:pPr>
      <w:r>
        <w:t xml:space="preserve">Cómo gana dinero</w:t>
      </w:r>
    </w:p>
    <w:p>
      <w:pPr>
        <w:spacing w:after="100"/>
      </w:pPr>
      <w:r>
        <w:t xml:space="preserve">Gana con proyectos de ingeniería a precio cerrado que se reconocen por grado de avance: el margen depende de lo bien que presupuesta y ejecuta, del precio que logra en el concurso y del coste del cobre, acero y aluminio (45 % de las ventas en FY2025) [1]. El negocio tiene mucho apalancamiento operativo: con ventas de 400-500 M (FY2017-FY2021) el margen EBITDA fue del 0-6 %; con 1.100 M, del 20 % [9 de A; 1]. Los gastos generales apenas crecen (95 M en FY2025, 8,6 % de las ventas). Lo recurrente es poco (servicio y repuestos); el resto depende de que entren pedidos, por lo que la cartera (2.400 M, más de dos años de ventas) es el mejor indicador adelantado [3]. Cobra anticipos y factura por hitos al principio, lo que financia el circulante cuando entran pedidos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 y gas (sin petroquímica)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eléctricos (utilities)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y otros industriales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Petroquímica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Tracción ferroviaria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 y gas (sin petroquímica)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eléctricos (utilities)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y otros industriales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Petroquímica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Tracción ferroviaria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por proyecto es alta: un pedido grande puede pesar mucho en un trimestre o en una fábrica, y la empresa avisa de que la pérdida de un cliente grande o la caída de un sector la afectaría [1]. No publica el peso del primer cliente (ninguno supera el 10 % de las ventas consolidadas en FY2025, según la ausencia de nota en el 10-K). En FY2026 el riesgo cambió de forma: unos 800 M de los 1.900 M de pedidos de nueve meses son de centros de datos, con tres mega pedidos, uno de más de 400 M [3]. El poder de precios se ve en el margen: el margen bruto pasó del 15,9 % al 29,4 % entre FY2022 y FY2025 con materiales que bajaron del 49 % al 45 % de las ventas, en un «entorno de precios estable y firme»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M USD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en nueve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1.300 M se facturarán en doce meses; centros de datos y comercial, el 40 %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(bookings)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M (9M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 en el 3T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934 M en el 3T, con tres mega pedidos (&gt; 50 M): centro de datos &gt; 400 M, petroquímica ≈ 75 M, GNL ≈ 60 M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centros de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800 M (9M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mega pedidos en el año; menos ingeniería a medida que el resto de la cartera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15,9 % en FY2022; precios estables y apalancamiento operativo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veces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veces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de pedidos en el 3T FY25 frente a 934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 fijos + 315 temporales (sep-25)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Canadá y Reino Unido; sin sindicatos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aparamenta de media tensión y salas eléctricas a medida para clientes industriales, utilities y centros de datos en Norteamérica. No hay una estadística oficial de ese perímetro; se usan dos estudios privados como referencia. Global Market Insights estima la aparamenta de media tensión mundial en 17.800 M USD en 2025 y la de Norteamérica en 3.920 M, con crecimiento del 8,3 % anual hasta 2035 [13]. Mordor Intelligence estima las salas eléctricas prefabricadas (E-house) en 1.700 M en 2025, con un 5,9 % anual [14]. Ninguno coincide con lo que vende Powell (salas completas con aparamenta, control y servicio), así que la cuota se da como aproximación.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17.800 M USD en 2025 (aparamenta de media tensión mundial; Norteamérica 3.920 M) [13]; E-houses ≈ 1.700 M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paramenta de media tensión,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800 M de pedidos de centros de datos en nueve meses de FY2026, frente a 178 M de ventas de todo el mercado comercial en FY2025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GNL y petroquímica en la costa del golfo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Petróleo y gas, el 37 % de las ventas de FY2025; la petroquímica cayó un 39 % en nueve meses de FY2026 al acabar un gran pedido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eléctrica y generación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utilities +50 % en FY2025 (279 M) y 313 M de pedidos en nueve meses de FY2026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acero y aluminio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el 45 % de las ventas; los contratos a precio cerrado limitan el traslado de subidas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Componentes con un solo proveedor y plazos largos; los aranceles encarecen la importación y favorecen la fabricación local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grandes (ABB, Eaton, Schneider, Siemens) y regionales pequeños; hoy la falta de capacidad modera los precios a la baja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EPC, petroleras, utilities e hiperescaladores compran por concurso proyectos únicos y exigen avales y penalizaciones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Algunos componentes vienen de un solo proveedor; cobre y acero son materias primas con precio de mercado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referencias, certificaciones ANSI/IEC, ingeniería y patios con muelle para salas de cientos de toneladas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distribuir la energía; sí cambia el formato (más estándar en centros de datos) [3].</w:t>
            </w:r>
          </w:p>
        </w:tc>
      </w:tr>
    </w:tbl>
    <w:p>
      <w:pPr>
        <w:spacing w:after="160" w:before="0"/>
      </w:pPr>
    </w:p>
    <w:p>
      <w:pPr>
        <w:pStyle w:val="Heading2"/>
      </w:pPr>
      <w:r>
        <w:t xml:space="preserve">Ciclo</w:t>
      </w:r>
    </w:p>
    <w:p>
      <w:pPr>
        <w:spacing w:after="100"/>
      </w:pPr>
      <w:r>
        <w:t xml:space="preserve">Pedidos récord (934 M en el 3T FY26) y cartera de 2.400 M indican un ciclo en expansión, impulsado ahora por centros de datos tras el de GNL de 2022-2024 [4 de A; 5]. El sector es muy cíclico: Powell perdió dinero en FY2017-FY2018 tras la caída del petróleo de 2014-2016, apenas ganó en FY2020-FY2021 (pandemia) y multiplicó el beneficio por trece entre FY2022 y FY2025 [9 de A]. La bolsa ya descuenta un posible fin del ciclo de inversión en IA: los valores de energía para centros de datos cayeron un 45-64 % desde mayo (Vertiv, Primoris) [16].</w:t>
      </w:r>
    </w:p>
    <w:p>
      <w:pPr>
        <w:pStyle w:val="Heading2"/>
      </w:pPr>
      <w:r>
        <w:t xml:space="preserve">Regulación</w:t>
      </w:r>
    </w:p>
    <w:p>
      <w:pPr>
        <w:spacing w:after="100"/>
      </w:pPr>
      <w:r>
        <w:t xml:space="preserve">No hay regulación que fije precios o márgenes. Afectan las normas técnicas (ANSI e IEC, seguridad frente al arco), el control de exportaciones y sanciones, y la política comercial: los aranceles de 2025-2026 sobre acero, aluminio y componentes encarecen la producción, aunque protegen a los fabricantes locales [1]. La ley fiscal OBBBA (julio de 2025) prorroga incentivos de 2017 y recorta otros de la ley de reducción de la inflación, con efecto aún en estudio por la empresa [1]. Para los centros de datos pesan los permisos de conexión a la red y de generación propia, que retrasan o adelantan proyectos [3].</w:t>
      </w:r>
    </w:p>
    <w:p>
      <w:pPr>
        <w:pStyle w:val="Heading2"/>
      </w:pPr>
      <w:r>
        <w:t xml:space="preserve">Tendencias y disrupción</w:t>
      </w:r>
    </w:p>
    <w:p>
      <w:pPr>
        <w:spacing w:after="100"/>
      </w:pPr>
      <w:r>
        <w:t xml:space="preserve">Tres tendencias favorecen a Powell: la electrificación de la industria y la red, los centros de datos que se construyen con generación propia «detrás del contador» (el pedido de más de 400 M es de ese tipo) y la relocalización industrial en EE. UU. [4 de A; 5]. Dos la amenazan: la estandarización de los equipos de centros de datos, que da ventaja a fabricantes de gran serie como Eaton, Schneider o Vertiv y reduce el valor de la ingeniería a medida, y la competencia de nuevos fabricantes de salas modulares (Eaton compró Fibrebond en 2025) [3]. La empresa reconoce en el 10-Q que los proyectos de centros de datos llevan menos ingeniería a medida y pueden cambiar la mezcla de márgenes [3].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independiente de referencia en salas eléctricas (PCR) y aparamenta a medida para petróleo, gas y petroquímica en Norteamérica; frente a la aparamenta de media tensión de Norteamérica (3.920 M en 2025, GMI) sus ventas en EE. UU. y Canadá (1.037 M) equivalen a un 26,5 %, cota alta porque Powell vende también salas, control y servicio (estimación propia) [1,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completa de distribución eléctrica; compró Fibrebond (salas modulares para centros de datos) en 2025 [13,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media tensión (16 %); fuerte en centros de datos [13,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y E-houses; 13 % con Hitachi Energy en media tensión [13,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inteligente; 15 % de la media tensión mundial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y refrigeración para centros de datos; salas prefabricadas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Hubbell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Componentes para utilities y redes; menos proyectos a medida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proyecto se vende por separado; no hay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repuestos de la base instalada y relación con EPC repetidos; pero cada proyecto nuevo sale a concurso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de ejecución y seguridad en GNL y petroquímica; experiencia reconocida en interruptores de vacío; pocas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19,7 % en los últimos doce meses, similar a Eaton (17,5 %) o ABB (18,8 %); en FY2017-FY2021 fue del −5 % al 4 % [4; 9 de 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Patios con muelle en Houston (Jacintoport) para salas de cientos de toneladas y décadas de referencias en la costa del golfo: pocos pueden competir en esos proyectos [1].</w:t>
            </w:r>
          </w:p>
        </w:tc>
      </w:tr>
    </w:tbl>
    <w:p>
      <w:pPr>
        <w:spacing w:after="160" w:before="0"/>
      </w:pPr>
    </w:p>
    <w:p>
      <w:pPr>
        <w:pStyle w:val="Heading2"/>
      </w:pPr>
      <w:r>
        <w:t xml:space="preserve">Amenazas</w:t>
      </w:r>
    </w:p>
    <w:p>
      <w:pPr>
        <w:spacing w:after="100"/>
      </w:pPr>
      <w:r>
        <w:t xml:space="preserve">La amenaza principal es cíclica, no competitiva: si se frenan a la vez la inversión en centros de datos y el GNL, los márgenes del 20 % pueden volver a los del 3-6 % de FY2019-FY2022, como ya pasó tras 2014 [9 de A]. En centros de datos compite con fabricantes de gran serie (Eaton con Fibrebond, Schneider, Vertiv) que pueden ofrecer equipos más estándar y más baratos; probabilidad media [3, 15]. La tercera es de ejecución: añadir capacidad (naves alquiladas, fábrica nueva) en pleno ciclo con riesgo de sobrecostes y penalizaciones en pedidos grandes a precio cerrado [3].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FY2016-FY2025: ingresos </w:t>
      </w:r>
      <w:r>
        <w:rPr>
          <w:b/>
          <w:bCs/>
        </w:rPr>
        <w:t xml:space="preserve">7,7 %</w:t>
      </w:r>
      <w:r>
        <w:t xml:space="preserve">, EBITDA </w:t>
      </w:r>
      <w:r>
        <w:rPr>
          <w:b/>
          <w:bCs/>
        </w:rPr>
        <w:t xml:space="preserve">25,5 %</w:t>
      </w:r>
      <w:r>
        <w:t xml:space="preserve">, BPA </w:t>
      </w:r>
      <w:r>
        <w:rPr>
          <w:b/>
          <w:bCs/>
        </w:rPr>
        <w:t xml:space="preserve">30,4 %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Powell pasó de 533 M USD de ventas en FY2022 a 1.104 M en FY2025 (+27 % anual) y a 1.157,5 M en los doce meses a junio de 2026, casi todo orgánico: la única compra, Remsdaq (agosto de 2025, 18,4 M USD), es menor [1, 3]. El salto de margen es lo que explica el valor: el margen bruto subió del 15,9 % en FY2022 al 29,4 % en FY2025 y al 30,6 % en el 3T FY26, y el EBITDA, del 3,1 % al 20,4 % [1, 4]. La empresa lo atribuye a precios estables y firmes, apalancamiento operativo y buena ejecución de proyectos; los materiales bajaron del 49 % de las ventas en FY2023 al 45 % en FY2025 [1]. La serie larga recuerda que es un negocio cíclico de proyectos: en FY2017-FY2018 perdió dinero con ventas de 396-449 M y en FY2021 ganó 0,6 M [9]. En FY2026 el crecimiento se frenó (+6,6 % en nueve meses) porque la petroquímica cayó un 39 % al terminar un gran pedido de FY2023, mientras centros de datos y utilities crecían un 28 % y un 21 % [3].</w:t>
      </w:r>
    </w:p>
    <w:p>
      <w:pPr>
        <w:pStyle w:val="Heading2"/>
      </w:pPr>
      <w:r>
        <w:t xml:space="preserve">Ajustes y partidas no recurrentes</w:t>
      </w:r>
    </w:p>
    <w:p>
      <w:pPr>
        <w:spacing w:after="100"/>
      </w:pPr>
      <w:r>
        <w:t xml:space="preserve">Cifras publicadas (US GAAP), sin ajustes: Powell no presenta resultados ajustados. El EBITDA es el resultado de explotación más la amortización del estado de flujos (7,3 M en FY2025). El BPA, el DPA y las acciones de los años anteriores se dividen y multiplican por 3 por el split del 2-abr-2026 [10]. FY2022 lleva una devolución fiscal neta (impuesto de −3,9 M por la liberación de provisiones de activos fiscales) que infla el beneficio de ese año; el tipo normal es del 22-24 % [1, 9]. El 1T FY26 tuvo un tipo del 12 % por la deducción de las acciones de empleados que vencen en octubre, algo que se repite cada primer trimestre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dos últimas presentaciones (4-may y 3-ago-2026) cambiaron el discurso de «ejecutar la cartera» a «añadir capacidad». En mayo, con ventas de 296,6 M (+6 %) y BPA de 1,25 USD (−1 %) por más gasto comercial e I+D, la dirección anunció después del trimestre el mayor pedido de su historia, más de 400 M USD para un centro de datos con generación propia «detrás del contador» [5]. En agosto los pedidos fueron récord (934 M, 3,0 veces las ventas) y la cartera llegó a 2.400 M (+69 %), de los que unos 1.300 M se facturarán en los próximos doce meses [3, 4]. El director financiero dijo que el margen bruto se mantendrá en el nivel de los últimos doce meses (≈ 29-30 %) mientras se añade capacidad: ampliación del patio de Jacintoport a fin de FY2026, naves alquiladas en Houston y Ohio y estudio de fábricas nuevas [4]. Los dos trimestres quedaron por debajo del BPA esperado (1,25 frente a 1,34 y 1,42 frente a 1,47, según la prensa financiera) y la dirección no cuantificó el margen de los pedidos de centros de datos, que el 10-Q describe como menos personalizados (menos ingeniería a medida) [3]. Tampoco dio cifra de inversión de las fábricas nuevas ni guía de ventas para FY2027.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con contratos (clientes + existencias + activos por contrato − proveedores − pasivos por contrato) fue de 73,5 M a sep-25 (6,7 % de las ventas) y bajó a 20,8 M a jun-26 (1,8 % de las ventas de doce meses) porque los anticipos crecieron más que la obra [1, 3]. Es el patrón de un contratista que factura por hitos al principio: la caja sube cuando entran pedidos y baja cuando se ejecutan. Con 2.400 M de cartera, parte de los 633,6 M de caja se consumirá al fabricar; el informe no trata esa caja como libre y lo recoge en el circulante proyectado (2 % en FY2026e, 6 % desde FY2029e).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591</w:t>
      </w:r>
      <w:r>
        <w:t xml:space="preserve">, conversión </w:t>
      </w:r>
      <w:r>
        <w:rPr>
          <w:b/>
          <w:bCs/>
        </w:rPr>
        <w:t xml:space="preserve">139 %</w:t>
      </w:r>
      <w:r>
        <w:t xml:space="preserve"> del beneficio neto; adquisiciones 12, dividendos 122, recompras 23.</w:t>
      </w:r>
    </w:p>
    <w:p>
      <w:pPr>
        <w:spacing w:after="100"/>
      </w:pPr>
      <w:r>
        <w:t xml:space="preserve">La caja sigue a los pedidos más que al beneficio: flujo operativo de 182,6 M en FY2023 (3,3 veces el beneficio, por anticipos), 108,7 M en FY2024 (0,73 veces, al consumirse) y 167,9 M en FY2025 (0,93 veces) [1]. En los nueve meses a jun-26, 195,0 M, ayudado por 188,8 M de anticipos netos [3]. El capex ha sido mínimo (13,1 M en FY2025, 1,2 % de las ventas, menos que la amortización hasta FY2022) y la empresa casi no ha invertido en capacidad en una década [9]. Eso cambia: Jacintoport (12,4 M), naves alquiladas y una posible fábrica nueva [1, 4]; el informe sube el capex al 4 % de las ventas en FY2027e-FY2028e (estimación propia, ≈ 58-66 M al año). El dividendo (12,9 M) y las acciones retenidas para impuestos de empleados (12,2 M) son los únicos usos recurrentes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2004 [1]. La contabilidad es de grado de avance (porcentaje de obra) en contratos a precio cerrado: el margen depende de estimaciones de coste, órdenes de cambio, reclamaciones y penalizaciones, y la propia empresa avisa de que su resolución puede mejorar o empeorar el margen del trimestre en que se cierran [1, 3]. No hay capitalización de I+D (11,0 M a gastos en FY2025) ni ajustes al beneficio; los pagos en acciones son pequeños (4,6 M, 2,6 % del beneficio) [9]. El salto del margen de FY2023-FY2025 coincide con mejores precios y menos materiales sobre ventas (49 % a 45 %), no con cambios de criterio [1]. Los indicadores del motor deben leerse con el ciclo: el Beneish puede marcar por el crecimiento de clientes y la caída de margen bruto de años previos, y el Altman sale muy alto por la caja y la ausencia de deuda. La subida de clientes de 217 M a 362 M en nueve meses (+67 %, con ventas +7 %) merece seguimiento: corresponde a facturación de hitos de pedidos grandes, con su contrapartida en anticipos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+67 % en nueve meses (217 M a 362 M) con ventas +7 %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Facturas de hitos iniciales de pedidos grandes (los pasivos por contrato suben 168 M a la vez); vigilar el cobro en el 4T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proyecto sensible a estimaciones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Órdenes de cambio, reclamaciones y penalizaciones pueden mover el margen; la propia empresa lo advierte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de FY2022 con impuesto negativo (−3,9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Liberación de provisión de activos fiscales; no recurrente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 M en FY2025 (el 2 % del capital invertido medio); ha subido más de un 5 % en 1 de 9 años: compra única grande. ROIC publicado 116,3 %; sin fondo de comercio, 119,2 %.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11,8 %.</w:t>
      </w:r>
    </w:p>
    <w:p>
      <w:pPr>
        <w:spacing w:after="100"/>
      </w:pPr>
      <w:r>
        <w:t xml:space="preserve">Powell crea valor desde FY2023: el ROIC fue del 40 % en FY2023, 143 % en FY2024 y 116 % en FY2025, frente a un WACC del 11,84 % [1, 9]. Antes no lo creaba: entre FY2016 y FY2022 estuvo entre el −6 % y el 10 %. El salto viene del margen (EBIT del 0,2 % en FY2021 al 19,7 % en FY2025), no de la rotación: el capital invertido apenas cambió (145 M en FY2025 frente a 240 M en FY2016) porque los anticipos de los clientes (pasivos por contrato) financian el circulante. Ese ROIC de tres dígitos depende del ciclo: con el margen de FY2023 (10,2 % de EBITDA) fue del 40 %, y con el de FY2016-FY2022, menor que el WACC. Los grandes comparables tienen ROIC del 12-20 % pero mucho más estables (Eaton 14,6 %, ABB 19,3 % [24]). El ROIC incremental no es representativo con un capital tan pequeño.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de 633,6 M USD a 30-jun-2026 (475,5 M de efectivo e inversiones a corto a 30-sep-2025) y sin deuda financiera; línea de crédito de 150 M con Bank of America y Texas Capital Bank, de la que se usan 77,5 M para cartas de crédito (72,5 M libres a sep-25)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pero con compromisos de proyecto: cartas de crédito y garantías bancarias por 103,9 M y fianzas de cumplimiento (surety bonds) por 492,4 M a 30-jun-2026, que crecen con la cartera (81,4 M y 417,3 M a sep-25) [1, 3]. No ha habido ejecuciones relevantes. La línea de crédito exige deuda neta/EBITDA &lt; 3 y cobertura de intereses &gt; 3, holgadas con caja neta [1]. Compensación diferida de directivos de 16,9 M y garantías de producto de 6,6 M [3]. Los pasivos por contrato (anticipos y facturación por delante de la obra) suben de 297,9 M a 466,4 M en nueve meses por los cobros iniciales de los pedidos grandes: no son deuda, se compensan con la entrega, pero la caja de junio incluye esos anticipos [3]. Arrendamientos operativos de 2,5 M (US GAAP, ya en el EBITDA; no se suman a la deuda).</w:t>
      </w:r>
    </w:p>
    <w:p>
      <w:pPr>
        <w:pStyle w:val="Heading1"/>
      </w:pPr>
      <w:r>
        <w:t xml:space="preserve">12. Asignación de capital</w:t>
      </w:r>
    </w:p>
    <w:p>
      <w:pPr>
        <w:pStyle w:val="Confianza"/>
        <w:spacing w:after="100"/>
      </w:pPr>
      <w:r>
        <w:t xml:space="preserve">Confianza: Alta</w:t>
      </w:r>
    </w:p>
    <w:p>
      <w:pPr>
        <w:spacing w:after="100"/>
      </w:pPr>
      <w:r>
        <w:t xml:space="preserve">Dividendo trimestral de 0,09 USD por acción tras el split (0,2675 antes del split; 0,36 USD al año, menos del 7 % del beneficio), sin programa de recompra activo; solo retiene acciones de empleados para pagar sus impuestos (12,2 M en FY2025 y 14,7 M en nueve meses de FY2026) [1, 3, 11]. Las prioridades declaradas son el circulante de los proyectos, la I+D, el capex de capacidad y las compras selectivas, y luego la remuneración al accionista [3]. La caja (633,6 M, un 10 % de la capitalización) se ha acumulado sin destino: el dividendo es el mismo en dólares que hace diez años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Remsdaq Limited (Reino Unido; unidades remotas SCADA para subestaciones)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(13,6 M GBP); fondo de comercio de 5,1 M y tecnología de 3,5 M; demasiado reciente para juzgar [1].</w:t>
            </w:r>
          </w:p>
        </w:tc>
      </w:tr>
    </w:tbl>
    <w:p>
      <w:pPr>
        <w:spacing w:after="160" w:before="0"/>
      </w:pPr>
    </w:p>
    <w:p>
      <w:pPr>
        <w:spacing w:after="100"/>
      </w:pPr>
      <w:r>
        <w:t xml:space="preserve">La dirección ha sido prudente con el capital, quizá demasiado: casi sin inversión en capacidad durante una década (capex inferior a la amortización hasta FY2022), sin compras grandes y con la caja acumulándose [1, 9]. Esa prudencia evitó destruir valor en la mala época (FY2016-FY2021) y explica que el ROIC suba al ampliarse el margen sin capital nuevo. La prueba viene ahora: con 2.400 M de cartera, Powell tiene que decidir cuánta capacidad añadir (Jacintoport, naves alquiladas, fábrica nueva) sin sobredimensionarse para un ciclo de centros de datos que puede no durar [4]. El dividendo plano y la ausencia de recompras con la acción a 24 veces beneficios son coherentes; con la caja creciendo, una recompra o un dividendo extraordinario serían las alternativas si no se invierte.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Brett A. Cope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2011 como vicepresidente de ventas, director de operaciones en 2015, consejero delegado desde octubre de 2016 y presidente del consejo desde 2019 [17]. Tomó la empresa en pérdidas y la llevó a 1.104 M de ventas y 180,7 M de beneficio en FY2025, con la diversificación hacia utilities y centros de datos [1,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W. Metcalf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2018 (58 años); firma las cuentas y lleva la relación con inversores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Terry B. McKertcher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fábricas y ejecución de proyectos (Form 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Marshall Mauney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I+D (11,0 M USD en FY2025, el doble que en FY2023) (Form 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Davide Tuninetti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director de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Incorporado en 2025 (50 años) [17].</w:t>
            </w:r>
          </w:p>
        </w:tc>
      </w:tr>
    </w:tbl>
    <w:p>
      <w:pPr>
        <w:spacing w:after="160" w:before="0"/>
      </w:pPr>
    </w:p>
    <w:p>
      <w:pPr>
        <w:spacing w:after="100"/>
      </w:pPr>
      <w:r>
        <w:t xml:space="preserve">Equipo estable: Cope lleva diez años de consejero delegado y Metcalf ocho de director financiero [17]. La credibilidad es buena en ejecución (márgenes al alza cinco años seguidos) y peor en la comunicación de cifras: la empresa no da guía numérica y los dos últimos trimestres quedaron por debajo de lo esperado. El riesgo de sucesión es real y explícito: Cope cumple 60 años, edad a la que podría jubilarse con todas sus acciones consolidadas, y el consejo le dio en julio de 2026 36.000 RSU que solo se consolidan si sigue hasta 2027-2029 [19]. No hay plan de sucesión publicado ni un número dos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Brett A. Cope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G. Stacey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(Presiding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W. McGill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feb-2026)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E.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Katheryn B. Curtis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Alaina K.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Mohit Singh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69,14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W. Powell (familia fundadora; directo y TWP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19,1 % en dic-2025; ha vendido ≈ 264.000 acciones de hoy (51 M USD) en feb, mar y jun-2026 (estimación propia del porcentaje) [17,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30-sep-2025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Trust Advisors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30-sep-2025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30-sep-2025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en 12 meses [17,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2.418.054 acciones (6,2 % de las emitidas) [3 de 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W. Powell (accionista &gt; 10 %), ventas del 11 al 25-feb (26.793 acciones antes del split)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W. Powell (49.778 acciones antes del split a 502,23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W. Powell (a 294,49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Brett A. Cope, siete ventas de mar a sep-2026 (seis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W. Metcalf (plan 10b5-1), mar y jun-2026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Terry B. McKertcher (vicepresidente de operaciones), dic-2025 y 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E. Williams (consejero,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M. Mauney Jr. (vicepresidente de I+D), dic-2025, may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Birchall (director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Mohit Singh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Cope cobró 3,60 M USD en FY2025: 0,66 M de fijo, 1,65 M de variable anual (el 250 % del fijo) y 1,13 M en acciones [17]. El ratio con el empleado mediano (50.876 USD) es de 70,8 veces [17]. El variable a largo plazo se reparte entre acciones por tiempo y por objetivos de EBITDA acumulado y seguridad; desde FY2026 se añade el crecimiento de ventas a tres años y el objetivo sube a 2,2 M USD (60 % por objetivos) [20]. Ninguna métrica mide el rendimiento del capital ni el retorno al accionista, y el crecimiento de ventas puede premiar crecer a cualquier precio. Hay política de recuperación (clawback) y se prohíben las coberturas [17]. En julio de 2026 se le concedieron 36.000 RSU extra para retenerlo [19]. El say-on-pay de 2026 obtuvo un 98,4 % a favor [18].</w:t>
      </w:r>
    </w:p>
    <w:p>
      <w:pPr>
        <w:pStyle w:val="Heading2"/>
      </w:pPr>
      <w:r>
        <w:t xml:space="preserve">Operaciones vinculadas, estructura de control y defensas</w:t>
      </w:r>
    </w:p>
    <w:p>
      <w:pPr>
        <w:spacing w:after="100"/>
      </w:pPr>
      <w:r>
        <w:t xml:space="preserve">No hay accionista de control: la familia Powell tiene en torno al 18 %, no está en el consejo y está vendiendo [17, 21]. Una acción, un voto. Las defensas son las clásicas de Delaware en una empresa pequeña: consejo escalonado en tres clases (cada consejero se elige cada tres años), foro exclusivo en los estatutos y presidente que es a la vez consejero delegado, compensado por un consejero coordinador independiente (Stacey) y siete de ocho consejeros independientes [17]. No hay operaciones vinculadas relevantes declaradas; el proxy describe la revisión de cualquier operación de más de 120.000 USD con consejeros o familiares [17].</w:t>
      </w:r>
    </w:p>
    <w:p>
      <w:pPr>
        <w:pStyle w:val="Heading2"/>
      </w:pPr>
      <w:r>
        <w:t xml:space="preserve">Señales de alerta</w:t>
      </w:r>
    </w:p>
    <w:p>
      <w:pPr>
        <w:pStyle w:val="ListParagraph"/>
        <w:numPr>
          <w:ilvl w:val="0"/>
          <w:numId w:val="2"/>
        </w:numPr>
        <w:spacing w:after="60"/>
      </w:pPr>
      <w:r>
        <w:t xml:space="preserve">Ventas de la familia fundadora: Thomas W. Powell vendió unos 51 M USD en 2026 (feb, mar y jun) sin plan 10b5-1 declarado [21].</w:t>
      </w:r>
    </w:p>
    <w:p>
      <w:pPr>
        <w:pStyle w:val="ListParagraph"/>
        <w:numPr>
          <w:ilvl w:val="0"/>
          <w:numId w:val="2"/>
        </w:numPr>
        <w:spacing w:after="60"/>
      </w:pPr>
      <w:r>
        <w:t xml:space="preserve">Todas las operaciones de directivos y consejeros en 12 meses son ventas (69,3 M USD en total, sin una sola compra) [21].</w:t>
      </w:r>
    </w:p>
    <w:p>
      <w:pPr>
        <w:pStyle w:val="ListParagraph"/>
        <w:numPr>
          <w:ilvl w:val="0"/>
          <w:numId w:val="2"/>
        </w:numPr>
        <w:spacing w:after="60"/>
      </w:pPr>
      <w:r>
        <w:t xml:space="preserve">Dependencia del consejero delegado (60 años) sin sucesor designado; concesión especial de retención en julio de 2026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Powell no da guía numérica. En la presentación del 3T FY26 (3-ago-2026) la dirección esperaba «otro año muy fuerte» al cerrar FY2026, margen bruto en línea con los últimos doce meses (≈ 29-30 %) mientras añade capacidad, la ampliación de Jacintoport terminada a fin de FY2026 y el estudio de fábricas nuevas además de las naves alquiladas en Houston y Ohio [4]. De la cartera de 2.400 M, unos 1.300 M se facturarán en los doce meses siguientes a junio de 2026 [3]. Los resultados de FY2026 no están publicados: el año pasado salieron el 18 de noviembre y se esperan hacia el 17-nov-2026 [30,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cuatro analistas [23]; DPA: dividendo declarado (0,09 × 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Solo cuatro analistas siguen la empresa, con recomendación media «sobreponderar» y objetivo de 267,50 USD, un 62 % sobre el precio [23, 24]. Las estimaciones de FY2027 (ventas de 1.483 M, +24,5 %) y FY2028 (1.720 M) suponen que la cartera se convierte en ventas a buen ritmo y que el margen EBITDA sube del 20,5 % al 22,5 % [23]. Los dos últimos trimestres quedaron por debajo del BPA esperado (2T −0,09 USD y 3T −0,05 USD) [31]; no hay un histórico gratuito de revisiones a tres y doce meses, así que no se puede medir el recorte de estimaciones tras esos fallos. MarketScreener muestra un DPA de FY2026 de 1,07 USD sin ajustar por el split; aquí se usa el declarado (0,36).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Powell es una de las acciones que más han subido de la bolsa de EE. UU.: +88,5 % anual en tres años y +83,8 % en cinco, frente al +22,9 % y +12,6 % del S&amp;P 500 [22]. En 2026 hizo un máximo de 322 USD (ajustado) el 6 de mayo, tras el mega pedido de centros de datos, y ha caído un 48,7 % hasta 165,14 USD [22]. La caída no es efecto del split (2-abr, 3 × 1: los precios están ajustados) sino una corrección real, la mayor parte compartida con los valores de energía para centros de datos: Vertiv cayó un 45 % desde su máximo y Primoris un 64 % [16, 22]. Lo propio de Powell: dos trimestres por debajo de lo esperado, las ventas de la familia fundadora (51 M USD) y una valoración que en mayo llegó a 60 veces el beneficio [21, 31]. La beta de 2 años (2,01) duplica la de 5 (1,22): la acción cotiza hoy como un valor de IA.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 -27,7 % / -31,5 % / +50,2 %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-48,7 % / +75,6 %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140 a 322 USD: pedidos récord del 1T y 2T FY26 (439 M y 490 M) y el mega pedido de más de 400 M para un centro de datos anunciado el 4-may (+9,2 % el 5-may y +8,7 % el 6-may) [4,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 los valores de IA en julio (Burry, el modelo chino Kimi 3, quiebra del fondo Situational Awareness): Powell −8,3 % y −7,3 % el 28 y 29-jul, con Vertiv −17,3 % el 29-jul [16]. Venta de Thomas W. Powell de 10 M USD el 25-jun (−9,5 % el 26-jun)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FY26 (3-ago): BPA 1,42 USD, 0,05 por debajo de lo esperado; llegó a caer un 14 % en la sesión del 4-ago y cerró −3,8 %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«Miedo a un frenazo de la IA» en energía para centros de datos (−6,5 % el 14-sep, con GE Vernova −8,6 % y Eaton y Vertiv −7,6 %) y −7,3 % el 14-oct junto a Vertiv (−6,1 %) y GE Vernova (−6,2 %) [22, 31]. Sin noticia propia de Powell ese día salvo un artículo bajista en Seeking Alpha.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3 × 1 efectivo el 2-abr-2026 (cotiza ajustado desde el 6-abr): no cambia el valor; explica que los precios anteriores aparezcan divididos por tres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W. Powell (≈ 18 %, familia fundadora, fuera del consejo) vendió 51 M USD en feb, mar y jun-2026 sin plan 10b5-1 declarado: ≈ 4 % de su paquete. Riesgo de más ventas (overhang), pero no es quien dirige la empresa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vendió 7,2 M USD en siete operaciones (seis con plan 10b5-1), ≈ 6 % de sus acciones; el resto de directivos y consejeros también vendió (69,3 M en total, sin compras)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del 3T FY26 de 1,42 USD frente a 1,47 esperado y ventas de 312 M frente a 316,9 M; pedidos récord de 934 M [4,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 de Seeking Alpha que rebaja la recomendación («A Record Backlog Isn't Enough To Make It A Buy»); los cuatro analistas mantienen «sobreponderar» con objetivo de 267,50 USD [23,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(4T) previstos hacia el 17-nov-2026, sin confirmar: el 4T suele ser el trimestre más fuerte y traerá la cartera a septiembre [30,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48,7 % desde el máximo de mayo es real (el split de abril está ajustado) y tiene tres causas: el desplome de los valores de energía para centros de datos (julio y septiembre), dos trimestres algo por debajo de lo esperado y las ventas de la familia Powell y de los directivos. Ninguna rompe la tesis del informe, que no depende de recuperar el múltiplo de mayo. No hay ampliaciones, ofertas, litigios ni decisiones regulatorias pendientes; las ventas de la familia son un riesgo de oferta de acciones, no un hecho anunciado. Los resultados del 4T (hacia el 17-nov) no aplazan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(septiembre, precios ajustados por el split), Powell cotizó a 17-21 veces el beneficio en FY2020-FY2025, salvo años de beneficio casi nulo, y a 3,5-14,4 veces el EBITDA [9, 22]. Hoy cotiza a 31,6 veces el beneficio y 22,9 veces el EBITDA de los últimos 12 meses: un 72 % y un 85 % por encima de su media, con un beneficio que es ya el más alto de su historia. En base adelantada (precio ÷ BPA real del año siguiente) la mediana de FY2021-FY2025 es de 17,1x y el actual, 25,6x sobre nuestro BPA de FY2027e. El múltiplo de mayo de 2026 (≈ 50x) fue el de una acción de IA, no el de una cíclica industrial.</w:t>
      </w:r>
    </w:p>
    <w:p>
      <w:pPr>
        <w:pStyle w:val="Heading1"/>
      </w:pPr>
      <w:r>
        <w:t xml:space="preserve">18. Comparables cotizados</w:t>
      </w:r>
    </w:p>
    <w:p>
      <w:pPr>
        <w:pStyle w:val="Confianza"/>
        <w:spacing w:after="100"/>
      </w:pPr>
      <w:r>
        <w:t xml:space="preserve">Confianza: Media</w:t>
      </w:r>
    </w:p>
    <w:p>
      <w:pPr>
        <w:spacing w:after="100"/>
      </w:pPr>
      <w:r>
        <w:t xml:space="preserve">Fabricantes cotizados de equipos eléctricos de distribución con exposición a centros de datos, utilities e industria: Eaton, Schneider Electric y ABB (rivales directos en aparamenta y salas eléctricas [1]), Vertiv y nVent (centros de datos y envolventes), Hubbell y Preformed Line Products (utilities), AZZ (galvanizado y metal para electricidad) e IES Holdings (instalador eléctrico y fabricante de salas modulares). Siemens se deja fuera porque es un conglomerado (sanidad, ferrocarril, software). Datos de Yahoo del 16-19-oct-2026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IES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AZZ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Preformed Line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20,4x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 / 21,2x / 23,7x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4,2x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Powell cotiza a 24,0 veces el BPA de los próximos 12 meses del consenso y a 22,9 veces el EBITDA de los últimos 12, frente a medianas de 21,2x y 20,4x de los comparables [24]. Tiene más crecimiento que la mediana (21,7 % en ventas de doce meses frente a 12-14 %) y un ROIC que no tiene nadie del grupo (116 % por los anticipos), pero también es la más pequeña (6.000 M frente a 23.000-163.000 M de los grandes), la menos diversificada (un solo negocio de proyectos a medida) y la de historia más cíclica: su margen EBITDA fue del 1-6 % entre FY2016 y FY2022 [9]. La prima sobre Eaton, Schneider o ABB, con márgenes iguales y diez veces más estables, no se justifica; usaríamos el PER de la mediana (21x) sobre un BPA normalizado, no sobre el de un pico de ciclo. Los comparables dan 146-149 USD por acción, un 10-12 % por debajo del precio.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 veces el EBITDA ajustado previsto de 2026; 5,6 veces las ventas de 2026 (1.700 M)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1.400 M sobre 110 M de EBITDA ajustado estimado de 2025 (12,7 veces, cálculo propio) y 378 M de ventas: el comparable más cercano a Powell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de Avail Infrastructure Solutions (salas eléctricas y conductos de barras)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12,5 veces el EBITDA de doce meses previsto; ventas de ≈ 375 M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Remsdaq (unidades remotas SCADA,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 M GBP con la caja; múltiplos no publicados [3].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(12,6x – 17,6x)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98,63 – 130,89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recientes del sector, todas de Eaton y nVent, se pagaron a 12,5-22,5 veces el EBITDA: Avail EPG (salas eléctricas y barras, nVent) a ≈ 12,5x, Fibrebond (salas modulares para centros de datos, Eaton, 2025) a 12,7x y Boyd Thermal (refrigeración líquida, Eaton, 2025) a 22,5x [27, 28, 29]. Fibrebond y Avail son lo más parecido a Powell, y a su múltiplo Powell valdría 99 USD por acción. Boyd es tecnología de refrigeración, de otro perfil. Lo útil: los grandes compran capacidad de salas eléctricas en vez de construirla, lo que da un suelo de valor estratégico, pero a múltiplos muy por debajo de los 23x de Powell.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+7,8 % (859,5 M en nueve meses y ≈ 330 M en el 4T [3]). FY2027e +22 % y FY2028e +14 %: la cartera de 2.400 M (+69 %) cubre 1.300 M en los doce meses desde jun-26 y los pedidos de nueve meses de FY2026 (≈ 1.860 M) duplican las ventas [3, 4]; el consenso pide +24,5 % y +16 % [23]. Después baja al 8 %, 5 %, 4 % y 3 %: en FY2016-FY2022 las ventas cayeron un 1 % al año tras el último ciclo de petróleo [9], y el mercado de media tensión crece un 8,3 % [13]. Medio de diez años: 7,3 %.</w:t>
      </w:r>
    </w:p>
    <w:p>
      <w:pPr>
        <w:keepNext/>
        <w:spacing w:after="100"/>
      </w:pPr>
      <w:r>
        <w:rPr>
          <w:b/>
          <w:bCs/>
        </w:rPr>
        <w:t xml:space="preserve">Márgenes.</w:t>
      </w:r>
    </w:p>
    <w:p>
      <w:pPr>
        <w:spacing w:after="100"/>
      </w:pPr>
      <w:r>
        <w:t xml:space="preserve">Margen EBITDA del 20,3 % en FY2026e (20,4 % en doce meses [3]) y 20,5 % en FY2027e-FY2028e: la dirección guía un margen bruto plano mientras añade capacidad [4]. Después baja al 16,5 % en FY2033e. Es una cíclica de proyectos: su margen EBITDA fue del 1-6 % en FY2016-FY2022 y del 10,2 % en FY2023 [9]. Dejamos el final muy por encima de esa historia porque la mezcla mejoró (utilities y centros de datos, el 41 % de las ventas frente al 34 % de FY2022) [1, 2] y por la disciplina de precios de la cartera actual, pero por debajo del pico de hoy.</w:t>
      </w:r>
    </w:p>
    <w:p>
      <w:pPr>
        <w:keepNext/>
        <w:spacing w:after="100"/>
      </w:pPr>
      <w:r>
        <w:rPr>
          <w:b/>
          <w:bCs/>
        </w:rPr>
        <w:t xml:space="preserve">Inversión y circulante.</w:t>
      </w:r>
    </w:p>
    <w:p>
      <w:pPr>
        <w:spacing w:after="100"/>
      </w:pPr>
      <w:r>
        <w:t xml:space="preserve">Capex del 4 % de las ventas en FY2027e-FY2028e (≈ 60-65 M al año) por la ampliación de Jacintoport, las naves de Houston y Ohio y una posible fábrica nueva [4]; históricamente fue del 0,5-1,2 % [9]. Luego vuelve al 1,3 %, por encima de la amortización (1,2 %). Circulante del 2 % en FY2026e (1,8 % a jun-26) que sube al 6 % en FY2029e, la media de FY2023-FY2025, al consumirse los anticipos de clientes [3].</w:t>
      </w:r>
    </w:p>
    <w:p>
      <w:pPr>
        <w:keepNext/>
        <w:spacing w:after="100"/>
      </w:pPr>
      <w:r>
        <w:rPr>
          <w:b/>
          <w:bCs/>
        </w:rPr>
        <w:t xml:space="preserve">Coste del capital.</w:t>
      </w:r>
    </w:p>
    <w:p>
      <w:pPr>
        <w:spacing w:after="100"/>
      </w:pPr>
      <w:r>
        <w:t xml:space="preserve">Tasa libre: Treasury a 10 años del 16-oct-2026, 5,09 % [25]. Beta 1,25, entre la mensual de cinco años (1,22) y la semanal (1,26); la de dos años es 2,01 por el comportamiento de valor de IA, pero la de cinco recoge mejor el negocio [22]. Prima de mercado del 5,0 % (Damodaran: 4,2 % implícita [26]) y 0,5 puntos más por tamaño y por la concentración en proyectos. Sin deuda: WACC = coste de los fondos propios = 11,84 %.</w:t>
      </w:r>
    </w:p>
    <w:p>
      <w:pPr>
        <w:keepNext/>
        <w:spacing w:after="100"/>
      </w:pPr>
      <w:r>
        <w:rPr>
          <w:b/>
          <w:bCs/>
        </w:rPr>
        <w:t xml:space="preserve">Valor terminal.</w:t>
      </w:r>
    </w:p>
    <w:p>
      <w:pPr>
        <w:spacing w:after="100"/>
      </w:pPr>
      <w:r>
        <w:t xml:space="preserve">Crecimiento a perpetuidad del 3 %: el de la economía nominal de EE. UU. y por debajo del 8,3 % previsto para la aparamenta de media tensión [13]. Equivale a 8,1 veces el EBITDA de salida, por debajo de las transacciones del sector (12,5-22,5x [27, 28, 29]); con un múltiplo de salida de 12x el valor subiría, pero suponerlo sería pagar hoy el múltiplo de un ciclo alto dentro de diez años. El valor terminal pesa el 48 %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(reinvierte el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frente al 7,3 %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 (hoy: 26,5 %)</w:t>
            </w:r>
          </w:p>
        </w:tc>
      </w:tr>
    </w:tbl>
    <w:p>
      <w:pPr>
        <w:spacing w:after="160" w:before="0"/>
      </w:pPr>
    </w:p>
    <w:p>
      <w:pPr>
        <w:spacing w:after="100"/>
      </w:pPr>
      <w:r>
        <w:t xml:space="preserve">La proyección apenas necesita inversión neta de la amortización (reinversión acumulada de 207 M, el 9 % del NOPAT, con un capex bruto medio del 2,0 % de las ventas). En un negocio de activos ligeros, el crecimiento medio del 7,3 % tiene que salir de subir precios y de ganar volumen sin capital nuevo, y la prueba es el poder de precios y la cuota (32,2 % del mercado en FY2030e, frente al 26,5 %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proyectos de utilities y centros de datos; precios con la inflación del cobre y el acero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Facturación de la cartera récord (1.300 M en doce meses) con capacidad nueva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Últimos pedidos de centros de datos de 2026 y ampliación de utilities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pico de pedidos; vuelta al crecimiento del mercado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por debajo del mercado (8,3 %) por la salida de pedidos de pico [13].</w:t>
            </w:r>
          </w:p>
        </w:tc>
      </w:tr>
    </w:tbl>
    <w:p>
      <w:pPr>
        <w:spacing w:after="160" w:before="0"/>
      </w:pPr>
    </w:p>
    <w:p>
      <w:pPr>
        <w:spacing w:after="100"/>
      </w:pPr>
      <w:r>
        <w:t xml:space="preserve">Sí. El crecimiento de FY2027e-FY2028e ya está en la cartera (2.400 M, más de dos años de ventas [3]), así que depende de ejecutar, no de ganar pedidos. A partir de FY2029e crecemos por debajo del mercado (5 % y luego 3-4 % frente al 8,3 % [13]) y la cuota implícita pasa del 26,5 % al 32,2 % en FY2030e, dentro del límite de 1,5 veces [1]. El capital nuevo (capex del 4 % dos años) no necesita rendir más que el histórico: el ROIC es de tres dígitos por los anticipos. La prueba de sostenibilidad que importa aquí no es el crecimiento sino el margen: por eso el base lo baja del 20,5 % al 16,5 %.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11,8 %)</w:t>
            </w:r>
          </w:p>
        </w:tc>
      </w:tr>
    </w:tbl>
    <w:p>
      <w:pPr>
        <w:spacing w:after="160" w:before="0"/>
      </w:pPr>
    </w:p>
    <w:p>
      <w:pPr>
        <w:spacing w:after="100"/>
      </w:pPr>
      <w:r>
        <w:t xml:space="preserve">El precio de 165 USD equivale a crecer un 22 % al año diez años o a mantener el margen de pico para siempre. Nuestro base, que ya supone duplicar las ventas en ocho años y un margen final casi seis veces el medio de FY2016-FY2022, da 79 USD. El bajista da 49 y el alcista 112: ningún escenario razonable llega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frenan sus pedidos en 2027, Eaton, Schneider y ABB llenan su capacidad nueva y bajan precios, y el petróleo y gas vuelve a su ciclo: el crecimiento queda 6 puntos por debajo del base cada año y el margen 4 puntos (16,5 % a 12,5 %). Valor de 48,96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factura en FY2027e-FY2028e con un margen EBITDA del 20,5 %, el crecimiento vuelve después al 3-5 % y el margen baja al 16,5 %, casi seis veces la media de FY2016-FY2022 (2,9 %). Valor de 79,49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inversión en redes y centros de datos dura una década: 5 puntos más de crecimiento cada año y 2 de margen (22,5 % en el pico, 18,5 % al final). Valor de 112,03 USD, un 32 %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6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79,99 USD (-51,6 %).</w:t>
      </w:r>
    </w:p>
    <w:p>
      <w:pPr>
        <w:spacing w:after="100"/>
      </w:pPr>
      <w:r>
        <w:t xml:space="preserve">Probabilidades 25/50/25. Incluso el alcista, con un crecimiento medio del 12 % y un margen final del 18,5 %, queda un 32 % por debajo del precio: el mercado paga un ciclo más largo y más rentable que nuestro alcista. La asimetría es negativa (−0,46).</w:t>
      </w:r>
    </w:p>
    <w:p>
      <w:pPr>
        <w:pStyle w:val="Heading1"/>
      </w:pPr>
      <w:r>
        <w:t xml:space="preserve">22. Suma de partes</w:t>
      </w:r>
    </w:p>
    <w:p>
      <w:pPr>
        <w:pStyle w:val="Confianza"/>
        <w:spacing w:after="100"/>
      </w:pPr>
      <w:r>
        <w:t xml:space="preserve">Confianza: Media</w:t>
      </w:r>
    </w:p>
    <w:p>
      <w:pPr>
        <w:spacing w:after="100"/>
      </w:pPr>
      <w:r>
        <w:t xml:space="preserve">No aplica: Powell tiene un solo negocio (equipos eléctricos a medida), con los mercados como clientes y no como divisiones con información separada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6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89,61 USD (-45,7 % sobre 165,14).</w:t>
      </w:r>
    </w:p>
    <w:p>
      <w:pPr>
        <w:spacing w:after="100"/>
      </w:pPr>
      <w:r>
        <w:t xml:space="preserve">El DCF (WACC del 11,84 %, crecimiento terminal del 3 %) da 79,49 USD por acción, un 52 % por debajo del precio, y la síntesis ponderada (DCF 60 %, comparables 15 %, escenarios 25 %) 89,61 USD (−46 %). El DCF inverso muestra lo que descuenta el precio: un crecimiento de las ventas del 22 % anual durante diez años, frente al 7,3 % medio de nuestro base, o un margen EBITDA que no vuelve nunca a la media del ciclo. Con la prima implícita del mercado (4,2 %) el DCF sube a 87 USD, todavía un 47 % por debajo. Los comparables dan 146-149 USD y las transacciones, 99 USD. Ninguna referencia justifica 165 USD salvo que el margen de pico se mantenga diez años y el crecimiento siga por encima del 10 %.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(25.6x) ÷ 1.1 (tope: la mediana de 5 años, 17.1x,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r>
    </w:tbl>
    <w:p>
      <w:pPr>
        <w:spacing w:after="160" w:before="0"/>
      </w:pPr>
    </w:p>
    <w:p>
      <w:pPr>
        <w:spacing w:after="100"/>
      </w:pPr>
      <w:r>
        <w:rPr>
          <w:b/>
          <w:bCs/>
        </w:rPr>
        <w:t xml:space="preserve">Objetivo a 12 meses (ponderado):</w:t>
      </w:r>
      <w:r>
        <w:t xml:space="preserve"> 142,30 USD · rentabilidad -13,6 % (base +1,7 %) · señal Vender.</w:t>
      </w:r>
    </w:p>
    <w:p>
      <w:pPr>
        <w:spacing w:after="100"/>
      </w:pPr>
      <w:r>
        <w:t xml:space="preserve">Para comparar, con la regla v2 (historia al cierre, mismo precio): 18,1x / 18,4x / 23,1x, -15,4 % Vender; con el tope anterior del base (×1,3, 14-oct mediodía): -20,4 %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(7,19 USD) está un 12,8 % por debajo del consenso (8,25 USD de cuatro analistas [23]) y el de FY2027e (6,45) un 5,4 %. La diferencia es sobre todo de margen: el consenso sube el margen EBITDA del 20,4 % de FY2025 al 22,5 % en FY2028e; nosotros lo dejamos en el 20,5 % porque la dirección guía un margen bruto plano (≈ 29-30 %) mientras añade capacidad, los pedidos de centros de datos son menos personalizados y los dos últimos trimestres quedaron por debajo de lo esperado [3, 4, 31]. En ventas estamos un 3,7 % por debajo (1.656 frente a 1.720 M). El objetivo medio de los analistas (267,50 USD) supone 32 veces nuestro BPA de FY2028e, un múltiplo que Powell solo tuvo en la euforia de mayo de 2026.</w:t>
      </w:r>
    </w:p>
    <w:p>
      <w:pPr>
        <w:keepNext/>
        <w:spacing w:after="100"/>
      </w:pPr>
      <w:r>
        <w:rPr>
          <w:b/>
          <w:bCs/>
        </w:rPr>
        <w:t xml:space="preserve">Del valor intrínseco al objetivo a 12 meses.</w:t>
      </w:r>
    </w:p>
    <w:p>
      <w:pPr>
        <w:spacing w:after="100"/>
      </w:pPr>
      <w:r>
        <w:t xml:space="preserve">El objetivo a 12 meses de 142,30 USD (−13,6 % con dividendo) sale de nuestro BPA de FY2028e y de la regla común v3: base de 23,3x (el PER actual de 25,6x a mitad de camino hacia la mediana adelantada de 17,1x, con el tope ÷ 1,1), bajista de 6,7x (el mínimo de cinco años, el de sep-2023) y alcista igual al base. El base solo da +1,7 %: la cartera ya está en el precio. La v2 de control (historia al cierre) da −15,4 % y también Vender. La señal de venta depende del bajista: con un bajista de base × 0,80 la ponderada sería del −4 % (Mantener). Con el BPA del consenso (8,25), el base daría +16 %: la tesis alcista es que el margen suba al 22,5 %.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2026-11-17 (sin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ejercicio FY2026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 septiembre, pedidos del 4T y primeras palabras sobre FY2027; un margen bruto por debajo del 29 % confirmaría nuestro margen frente al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y 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capacidad nueva de Jacintoport; mide el margen de los pedidos de centros de datos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a 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una fábrica nueva (anunciada como en estudio)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50-100 M; si llega con pedidos firmados, es señal de que el ciclo dura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inversión de los grandes de la nube (Microsoft, Alphabet, Amazon, Meta)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movería a Powell como en julio y septiembre de 2026 (−7 % en un día [16,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ventas de Thomas W. Powell (≈ 18 % del capital)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ha vendido 51 M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2027-05 y 2027-08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y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frente a ventas: un book-to-bill por debajo de 1 durante dos trimestres indicaría el final del pico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 frena la inversión en centros de datos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(bajista del DCF, 48,96 USD) y −78 % a 12 meses con el PER mínimo de 6,7x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2.400 M asegura dos años de ventas; los pedidos de centros de datos se cobran por adelantado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las ventas (book-to-bill &lt; 1)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grandes (Eaton, Schneider, ABB, Siemens) amplían capacidad y bajan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−12 % del BPA de FY2028e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Powell es independiente y hace a medida; los grandes compran capacidad (Fibrebond, Avail) en vez de bajar precios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28 %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Vuelve el ciclo de petróleo, gas y petroquímica (51 % de las ventas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 en FY2016-FY2021 las ventas cayeron un 17 % y el margen EBITDA al 1-6 % [9]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a utilities y centros de datos (41 % de las ventas frente al 34 % de FY2022)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petróleo y gas a la baja y cancelación de proyectos de GNL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ampliación: sobrecostes en contratos de precio fijo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del BPA de un año (estimación propia); en FY2017-FY2018, con poca demanda, tuvo pérdidas [9]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grandes proyectos y cartera con mejores precios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pérdidas en contratos en los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familia Powell (≈ 18 %) y de los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sobre el precio, no sobre el valor; 69 M vendidos en 2026 sin ninguna compra [21]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alta (≈ 120 M USD al día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4 con ventas fuera de planes 10b5-1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valor de IA: la acción se mueve con Vertiv y GE Vernova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Beta de dos años de 2,01; caída máxima del 56 % [22]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a corto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sector de energía para centros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acero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puntos de margen bruto si no se trasladan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en contratos largos y fabricación en EE. UU.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trimestre frente a la cotización del cobre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 clientes y cancelaciones de pedidos de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El pedido de más de 400 M de mayo es el 17 % de la cartera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 y penalizaciones por cancelación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de cartera en los 10-Q</w:t>
            </w:r>
          </w:p>
        </w:tc>
      </w:tr>
    </w:tbl>
    <w:p>
      <w:pPr>
        <w:spacing w:after="160" w:before="0"/>
      </w:pPr>
    </w:p>
    <w:p>
      <w:pPr>
        <w:pStyle w:val="Heading2"/>
      </w:pPr>
      <w:r>
        <w:t xml:space="preserve">Pre-mortem</w:t>
      </w:r>
    </w:p>
    <w:p>
      <w:pPr>
        <w:spacing w:after="100"/>
      </w:pPr>
      <w:r>
        <w:t xml:space="preserve">Es octubre de 2029 y la acción ha perdido un 40 %. La cartera se facturó, pero en 2027 los grandes de la nube recortaron su capex tras dos años de poca rentabilidad de la IA, y los pedidos de centros de datos cayeron a la mitad. A la vez, Eaton, Schneider y ABB terminaron sus ampliaciones de capacidad en EE. UU. y, con fábricas llenas a medias, bajaron precios en aparamenta de media tensión. Powell había invertido 150 M en Jacintoport, las naves de Houston y una fábrica nueva justo en el pico. El margen EBITDA bajó del 20 % al 13 % en dos años y el BPA de FY2029 fue de 4 USD. El mercado dejó de verla como un valor de IA y volvió a pagarle 15 veces, como a la cíclica de petróleo y gas que era en 2023: 60 USD. Lo habría anticipado el book-to-bill: por debajo de 1 durante dos trimestres en 2027, con la cartera cayendo y el margen bruto bajando del 28 %, mientras la familia Powell seguía vendiendo.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Hoy es una oportunidad (≈ 40 % de la cartera viene de centros de datos [3]); si se frena el capex de IA, −40 % sobre el valor (bajista del DCF) a 3-5 años</w:t>
      </w:r>
    </w:p>
    <w:p>
      <w:pPr>
        <w:spacing w:after="100"/>
      </w:pPr>
      <w:r>
        <w:t xml:space="preserve">La IA no sustituye lo que fabrica Powell (cuadros y salas eléctricas a medida), pero su demanda depende cada vez más de ella: los pedidos de centros de datos fueron ≈ 800 M en nueve meses de FY2026, frente a 178 M de ventas de todo el mercado comercial en FY2025, y el pedido mayor de su historia (más de 400 M, mayo de 2026) es para un centro de datos con generación propia [3, 5]. Por eso cotiza con Vertiv y GE Vernova: cayó un 7 % el 14-sep y el 14-oct por miedo a un frenazo de la IA [31]. En costes la IA toca poco (ingeniería de diseño). La señal: los planes de capex de los grandes de la nube y los pedidos de centros de datos de cada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seguridad laboral en fábricas y patios donde se montan salas de cientos de toneladas (la empresa la incluye en el variable de los directivos) [1]. Segundo, la exposición a petróleo, gas y petroquímica (51 % de las ventas de FY2025), que algunos inversores excluyen, compensada por las ventas a la red eléctrica y la electrificación [1]. Tercero, el cumplimiento en exportaciones y sanciones en proyectos internacionales [1].</w:t>
      </w:r>
    </w:p>
    <w:p>
      <w:pPr>
        <w:pStyle w:val="Heading2"/>
      </w:pPr>
      <w:r>
        <w:t xml:space="preserve">Controversias</w:t>
      </w:r>
    </w:p>
    <w:p>
      <w:pPr>
        <w:spacing w:after="100"/>
      </w:pPr>
      <w:r>
        <w:t xml:space="preserve">No se han encontrado sanciones, litigios relevantes ni incidentes graves en los últimos tres años en el 10-K de FY2025 ni en los 10-Q de FY2026: la empresa declara procedimientos ordinarios sin efecto material esperado [1,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los pedidos de centros de datos frente a los de petróleo y gas, y por qué la dirección espera el margen plano con una cartera récord?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y el del consenso (−12,8 % en FY2028e).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2.400 M se factura después de FY2027 y cuánto de ella es de un solo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cuánto crecimiento está asegurado y el riesgo de cancelación [3,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costará la fábrica nueva, con qué pedidos firmados la justifica y cómo evitará repetir el exceso de capacidad de FY2016-FY2021?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4 % del base y el riesgo de invertir en el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qué son los 634 M de caja si el dividendo no ha cambiado en diez años y no hay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10 % de la capitalización y parte son anticipos de clientes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Thomas W. Powell un plan para seguir vendiendo su 18 %?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vendido 51 M en 2026 sin plan 10b5-1 declarado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han cambiado los plazos de entrega y los precios de la competencia desde que Eaton compró Fibrebond?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capacidad nueva de los grandes es la amenaza al margen.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mayo alternan «cara pero la cartera lo justifica» y «momento sobrevalorado»; tras el 3T se suceden «la caída la hace atractiva» y «trampa alcista», y el 14-oct un autor rebaja a no comprar porque «una cartera récord no basta»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($POWL)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Particulares que compran la caída («el bebé tirado con el agua del baño», «demasiado barata», «comprando en las bajadas») y comentan grandes compras de opciones de compra a febrero de 2027; 12 mensajes marcados alcistas y 1 bajista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cartera récord (2.400 M) asegura dos años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ventas (1.300 M en doce meses), pero la cartera no dice nada del margen de los pedidos de centros de datos ni del ciclo después de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 un valor de IA y caerá si se frena la inversión en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en ventas (centros de datos ≈ 16 % de las ventas de FY2025) pero cierto en pedidos (≈ 40 % de la cartera) y en cómo cotiza (beta de 2 años de 2,01).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en mayo, razonable ahora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24 veces el BPA de FY2027 de los analistas sigue por encima de su historia y de la mediana de comparables (21,2 veces); el informe la ve cara frente al ciclo.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Fallos frente al consenso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trimestres seguidos por debajo del BPA esperado (−0,09 y −0,05 USD), por gastos y I+D, no por margen bruto.</w:t>
            </w:r>
          </w:p>
        </w:tc>
      </w:tr>
    </w:tbl>
    <w:p>
      <w:pPr>
        <w:spacing w:after="160" w:before="0"/>
      </w:pPr>
    </w:p>
    <w:p>
      <w:pPr>
        <w:spacing w:after="100"/>
      </w:pPr>
      <w:r>
        <w:t xml:space="preserve">El sentimiento ya no es eufórico como en mayo: los autores de Seeking Alpha se dividen y varios han bajado la recomendación, mientras los particulares de Stocktwits compran la caída con opciones a largo plazo [31, 33]. No es capitulación: nadie discute la cartera, y el debate es solo cuánto pagar por ella y cuánto depende de la IA. Ese es también el debate del informe.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33 (17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32,2 % en FY2030e frente al 26,5 %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6,7 % real: genera una variación de circulante de -50 M en el primer año. Converge de forma gradual. Explicación: El último real del motor es el de sep-2025 (6,7 % de las ventas), pero a jun-2026 el circulante con contratos había bajado a 20,8 M (≈ 1,8 % de las ventas de doce meses) por los anticipos de los pedidos récord de centros de datos (pasivos por contrato de 466 M) [3]. Para FY2026e (sep-26) suponemos el 2 %, cerca del último dato publicado, y lo subimos de forma gradual hasta el 6 % en FY2029e, a medida que la cartera se factura y los anticipos se consumen. La variación de FY2026e no entra en el valor (el año acaba antes del corte); la vuelta al 6 % sí resta caja en FY2027e-FY2029e.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-45,5 % (-41,5 % con la prima del mercado) y el precio pide 14,8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8,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4T FY24 a 3T FY25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FY2025: solo dan el trimestre comparable en importes de FY2026; 2) 10-Q de FY2025 no descargados; 3) XBRL trimestral: sin el año anterior a FY2024 a mano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4T FY24 a 1T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sin consenso; 2) Seeking Alpha: titulares solo de 2T y 3T FY26; 3) MarketScreener: sin histórico de sorpresas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nota de deuda: sin deuda; 2) 10-Q 3T26: sin deuda;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externas; 2) web de la empresa: sin informe de sostenibilidad con calificaciones; 3) búsqueda de MSCI y Sustainalytics: sin dato público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GMI: solo 2025, 2026 y 2035; 2) Mordor: 2025, 2026 y 2031 de otro perímetro; 3) NEMA y estadística oficial: sin serie del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FY2023-FY2026: sin guía numérica; 2) 10-K y 10-Q: perspectivas cualitativas; 3) presentaciones: solo «margen bruto en línea con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2026 (98,4 %); 2) 8-K de 2025 y 2024 no descargados; 3) proxy 2026: sin cifra de años previos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posiciones cortas quincenales: no descargado (bloqueo); 2) Nasdaq short interest: requiere JavaScript; 3) Stock Analysis: sin acceso en esta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por tipo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objetivo medio; 2) Yahoo: objetivo medio de cuatro analistas; 3) MarketBeat: dato de julio (236,67), anterior y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estimado; 2) MarketScreener: solo para Powell; 3) cálculo propio: sin EBITDA de consenso homogéneo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de 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403; 2) comentarios de Seeking Alpha: tras registro; 3) Motley Fool y MarketBeat: sin hilos con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30-sep-2025): estados financieros, notas de ingresos por mercado y geografía, contratos, impuestos, crédito, avales y compra de Remsdaq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https://www.sec.gov/Archives/edgar/data/80420/000008042025000152/powl-20250930.htm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2024: ingresos por mercado 2022-2024 y efectivo e inversiones a corto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https://www.sec.gov/Archives/edgar/data/80420/000008042024000086/powl-20240930.htm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FY2026 (30-jun-2026): balance, flujos de nueve meses, cartera por mercado, avales y riesgos de centros de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https://www.sec.gov/Archives/edgar/data/80420/000008042026000107/powl-20260630.htm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Announces Third Quarter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https://www.sec.gov/Archives/edgar/data/80420/000008042026000103/ex991-powlq3xfy2026earning.htm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Announces Second Quarter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https://www.sec.gov/Archives/edgar/data/80420/000008042026000063/ex991-powlq2xfy2026earning.htm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Announces First Quarter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https://www.sec.gov/Archives/edgar/data/80420/000008042026000013/ex991-powlq1xfy2026earning.htm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Announces Fourth Quarter and Full Year Fiscal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https://www.sec.gov/Archives/edgar/data/80420/000008042025000145/ex991-powlq4xfy2025earning.htm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FY2026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https://www.sec.gov/Archives/edgar/data/80420/000008042026000070/powl-20260331.htm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las cuentas anuales FY2016-FY2025 (companyfacts: cuenta, balance, flujos, inversiones a corto, pagos en acciones, 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https://data.sec.gov/api/xbrl/companyfacts/CIK0000080420.json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Certificate of Amendment (8-K del 31-mar-2026): split 3 × 1 y ampliación del capital autorizado a 90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https://www.sec.gov/Archives/edgar/data/80420/000008042026000054/ex31-certificateofamendmen.htm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Declares Quarterly Cash Dividend (0,09 USD por acción, 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https://www.sec.gov/Archives/edgar/data/80420/000008042026000103/ex992-powlq3xfy2026dividen.htm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 FY2026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https://www.sec.gov/Archives/edgar/data/80420/000008042026000015/powl-20251231.htm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Medium Voltage Switchgear Market Size &amp; Share 2026-2035: 17.800 M USD en 2025, 19.660 M en 2026, 40.250 M en 2035 (8,3 % anual); Norteamérica 3.920 M en 2025; cinco primeros, 55 %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https://www.gminsights.com/industry-analysis/medium-voltage-switchgear-market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E-House Market Size and Share: 1.700 M USD en 2025, 1.800 M en 2026, 2.400 M en 2031 (5,86 % anual); concentración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https://www.mordorintelligence.com/industry-reports/e-house-market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EBIT de los últimos doce meses de Eaton, Schneider Electric, ABB, Vertiv, Hubbell y nVent (ficha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Vertiv Holdings Plunged in July (Burry, Kimi 3 y Situational Awareness hunden los valores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https://www.fool.com/investing/2026/08/11/why-vertiv-holdings-plunged-in-july/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 consejo, comisiones, accionistas, remuneración de FY2025 y ratio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https://www.sec.gov/Archives/edgar/data/80420/000114036126000342/ny20060559x1_def14a.htm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18-feb-2026: resultados de la junta (votos de consejeros y say-on-pay) y nueva presidencia de la comisión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https://www.sec.gov/Archives/edgar/data/80420/000008042026000028/powl-20260218.htm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6-jul-2026: concesión especial de 36.000 RSU a Brett A. Cope para retenerlo más allá de los 60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https://www.sec.gov/Archives/edgar/data/80420/000008042026000095/powl-20260701.htm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6-ene-2026: nuevo variable a largo plazo de Cope (2,2 M USD) y Metcalf (0,6 M), con crecimiento de ventas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https://www.sec.gov/Archives/edgar/data/80420/000008042026000009/powl-20260102.htm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consejeros y accionistas de POWL presentados entre el 19-oct-2025 y el 19-oct-2026 (53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https://www.sec.gov/cgi-bin/browse-edgar?action=getcompany&amp;CIK=0000080420&amp;type=4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POWL, SPY y XLI (bolsa.mjs y movimiento.mjs): precio, máximos, rentabilidades, betas y cierres de ejercicio, ajustados por el split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https://finance.yahoo.com/quote/POWL/history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(POWL): estimaciones FY2026-FY2028 (ventas, EBITDA, EBIT, beneficio, BPA), cuatro analistas, objetivo medio 267,50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https://www.marketscreener.com/quote/stock/POWELL-INDUSTRIES-INC-10520/finances/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comparables (capitalización, deuda neta, ventas y EBITDA de doce meses, estimaciones de BPA y ventas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al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acquires Avail Infrastructure Solutions' Electrical Products Group (975 M USD; ≈ 12,5 veces el EBITDA; ventas de ≈ 375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tED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https://tedmag.com/nvent-acquires-avail-infrastructure-solutions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Deal To Buy Fibrebond For $1.4 Billion (110 M de EBITDA ajustado estimado de 2025; ventas de ≈ 378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https://pulse2.com/eaton-signs-deal-to-buy-fibrebond-for-1-4-billion/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To Buy Boyd Thermal For $9.5 Billion (22,5 veces el EBITDA ajustado previsto de 2026; ventas de 1.700 M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https://pulse2.com/eaton-to-buy-boyd-thermal-for-9-5-billion-expanding-data-center-liquid-cooling-and-aerospace-capabilities/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POWL earnings date (próximos resultados previstos el 17-nov-2026, sin confirmar por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https://unusualwhales.com/stock/POWL/earnings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noticias de POWL (Seeking Alpha): «GAAP EPS of $1.42 misses by $0.05», «plunges 13% following Q3 miss», «AI slowdown fears hammer data-center power and construction stocks» (14-sep), «GAAP EPS of $1.25 misses by $0.09» (4-may)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https://seekingalpha.com/api/sa/combined/POWL.xml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Powell Industries announces date and conference call for fiscal 2025 fourth quarter results (resultados el 18-nov-2025)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Galveston County Daily News (nota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https://www.galvnews.com/powell-industries-announces-date-and-conference-call-for-fiscal-2025-fourth-quarter-and-full/article_3e77098f-3276-5462-be1b-a47494f480a9.html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$POWL (30 últimos, 10-ago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https://api.stocktwits.com/api/2/streams/symbol/POWL.json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directivos, consenso</w:t>
      </w:r>
      <w:r>
        <w:t xml:space="preserve"> · Generado el 19 oct 2026.</w:t>
      </w:r>
    </w:p>
    <w:p>
      <w:pPr>
        <w:pStyle w:val="Nota"/>
        <w:spacing w:after="100"/>
      </w:pPr>
      <w:r>
        <w:t xml:space="preserve">Cuentas en millones de USD, en US GAAP, del XBRL de la SEC (companyfacts, FY2016-FY2025) contrastado con los 10-K de FY2024 y FY2025 y los tres 10-Q de FY2026 [1, 2, 3, 9]. El ejercicio cierra el 30 de septiembre: FY2026 terminó el 30-sep-2026 pero sus resultados no se publican hasta mediados de noviembre (previstos el 17-nov, sin confirmar [30]); el último dato real es el 3T FY26 (30-jun-2026) y el LTM es jul-25 a jun-26. FY2026e va fijo en la proyección (nueve meses publicados) y el motor no descuenta sus flujos porque el año acaba antes de la fecha de corte; tampoco suma la caja generada en jul-sep-2026 (≈ 50-60 M estimados), que no está en el puente: el valor queda ≈ 1,5 USD por acción prudente. Split 3 × 1 efectivo el 2-abr-2026 [10]: BPA, dividendos y precios anteriores van divididos entre tres y las acciones multiplicadas por tres, como la serie de Yahoo [22]. Precio: cierre del 16-oct-2026 (165,14 USD), el último disponible el día de corte [22]. Las inversiones a corto plazo se suman a la caja. Los arrendamientos son operativos (US GAAP) y no van al puente. El ROIC es muy alto porque los anticipos de clientes (pasivos por contrato, 466 M a jun-26) financian casi todo el circulante: el capital invertido es pequeño y el ROIC se mueve mucho con los cobros [3].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Powell Industries, Inc. (POWL)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165,14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(94,02 – 322,05)</c:v>
                </c:pt>
                <c:pt idx="1">
                  <c:v>Comparables: PER NTM (141,29 – 163,35)</c:v>
                </c:pt>
                <c:pt idx="2">
                  <c:v>Transacciones precedentes (EV/EBITDA) (98,63 – 130,89)</c:v>
                </c:pt>
                <c:pt idx="3">
                  <c:v>DCF (WACC y g ± 0,5) (74,70 – 85,43)</c:v>
                </c:pt>
                <c:pt idx="4">
                  <c:v>Escenarios (bajista – alcista) (48,96 – 112,03)</c:v>
                </c:pt>
                <c:pt idx="5">
                  <c:v>DCF con la prima implícita del mercado (4,2 %)</c:v>
                </c:pt>
                <c:pt idx="6">
                  <c:v>Precio actual (165,14)</c:v>
                </c:pt>
              </c:strCache>
            </c:strRef>
          </c:cat>
          <c:val>
            <c:numRef>
              <c:f>Hoja1!$B$2:$B$8</c:f>
              <c:numCache>
                <c:formatCode>#,##0</c:formatCode>
                <c:ptCount val="7"/>
                <c:pt idx="0">
                  <c:v>94.02</c:v>
                </c:pt>
                <c:pt idx="1">
                  <c:v>141.29</c:v>
                </c:pt>
                <c:pt idx="2">
                  <c:v>98.63</c:v>
                </c:pt>
                <c:pt idx="3">
                  <c:v>74.7</c:v>
                </c:pt>
                <c:pt idx="4">
                  <c:v>48.96</c:v>
                </c:pt>
                <c:pt idx="5">
                  <c:v>83.17</c:v>
                </c:pt>
                <c:pt idx="6">
                  <c:v>164.31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(94,02 – 322,05)</c:v>
                </c:pt>
                <c:pt idx="1">
                  <c:v>Comparables: PER NTM (141,29 – 163,35)</c:v>
                </c:pt>
                <c:pt idx="2">
                  <c:v>Transacciones precedentes (EV/EBITDA) (98,63 – 130,89)</c:v>
                </c:pt>
                <c:pt idx="3">
                  <c:v>DCF (WACC y g ± 0,5) (74,70 – 85,43)</c:v>
                </c:pt>
                <c:pt idx="4">
                  <c:v>Escenarios (bajista – alcista) (48,96 – 112,03)</c:v>
                </c:pt>
                <c:pt idx="5">
                  <c:v>DCF con la prima implícita del mercado (4,2 %)</c:v>
                </c:pt>
                <c:pt idx="6">
                  <c:v>Precio actual (165,14)</c:v>
                </c:pt>
              </c:strCache>
            </c:strRef>
          </c:cat>
          <c:val>
            <c:numRef>
              <c:f>Hoja1!$C$2:$C$8</c:f>
              <c:numCache>
                <c:formatCode>#,##0</c:formatCode>
                <c:ptCount val="7"/>
                <c:pt idx="0">
                  <c:v>228.03000000000003</c:v>
                </c:pt>
                <c:pt idx="1">
                  <c:v>22.060000000000002</c:v>
                </c:pt>
                <c:pt idx="2">
                  <c:v>32.25999999999999</c:v>
                </c:pt>
                <c:pt idx="3">
                  <c:v>10.730000000000004</c:v>
                </c:pt>
                <c:pt idx="4">
                  <c:v>63.07</c:v>
                </c:pt>
                <c:pt idx="5">
                  <c:v>8.879999999999995</c:v>
                </c:pt>
                <c:pt idx="6">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Petróleo y gas (sin petroquímica)</c:v>
                </c:pt>
              </c:strCache>
            </c:strRef>
          </c:tx>
          <c:spPr>
            <a:solidFill>
              <a:srgbClr val="2A78D6"/>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Hoja1!$B$2:$B$5</c:f>
              <c:numCache>
                <c:formatCode>#,##0</c:formatCode>
                <c:ptCount val="4"/>
                <c:pt idx="0">
                  <c:v>215.2</c:v>
                </c:pt>
                <c:pt idx="1">
                  <c:v>273.1</c:v>
                </c:pt>
                <c:pt idx="2">
                  <c:v>417.2</c:v>
                </c:pt>
                <c:pt idx="3">
                  <c:v>406.6</c:v>
                </c:pt>
              </c:numCache>
            </c:numRef>
          </c:val>
        </c:ser>
        <c:ser>
          <c:idx val="1"/>
          <c:order val="1"/>
          <c:tx>
            <c:strRef>
              <c:f>Hoja1!$C$1</c:f>
              <c:strCache>
                <c:ptCount val="1"/>
                <c:pt idx="0">
                  <c:v>Servicios eléctricos (utilities)</c:v>
                </c:pt>
              </c:strCache>
            </c:strRef>
          </c:tx>
          <c:spPr>
            <a:solidFill>
              <a:srgbClr val="EB6834"/>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Hoja1!$C$2:$C$5</c:f>
              <c:numCache>
                <c:formatCode>#,##0</c:formatCode>
                <c:ptCount val="4"/>
                <c:pt idx="0">
                  <c:v>122.4</c:v>
                </c:pt>
                <c:pt idx="1">
                  <c:v>158.4</c:v>
                </c:pt>
                <c:pt idx="2">
                  <c:v>186.5</c:v>
                </c:pt>
                <c:pt idx="3">
                  <c:v>279</c:v>
                </c:pt>
              </c:numCache>
            </c:numRef>
          </c:val>
        </c:ser>
        <c:ser>
          <c:idx val="2"/>
          <c:order val="2"/>
          <c:tx>
            <c:strRef>
              <c:f>Hoja1!$D$1</c:f>
              <c:strCache>
                <c:ptCount val="1"/>
                <c:pt idx="0">
                  <c:v>Comercial y otros industriales</c:v>
                </c:pt>
              </c:strCache>
            </c:strRef>
          </c:tx>
          <c:spPr>
            <a:solidFill>
              <a:srgbClr val="1BAF7A"/>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Hoja1!$D$2:$D$5</c:f>
              <c:numCache>
                <c:formatCode>#,##0</c:formatCode>
                <c:ptCount val="4"/>
                <c:pt idx="0">
                  <c:v>56.4</c:v>
                </c:pt>
                <c:pt idx="1">
                  <c:v>104</c:v>
                </c:pt>
                <c:pt idx="2">
                  <c:v>149.9</c:v>
                </c:pt>
                <c:pt idx="3">
                  <c:v>178.2</c:v>
                </c:pt>
              </c:numCache>
            </c:numRef>
          </c:val>
        </c:ser>
        <c:ser>
          <c:idx val="3"/>
          <c:order val="3"/>
          <c:tx>
            <c:strRef>
              <c:f>Hoja1!$E$1</c:f>
              <c:strCache>
                <c:ptCount val="1"/>
                <c:pt idx="0">
                  <c:v>Petroquímica</c:v>
                </c:pt>
              </c:strCache>
            </c:strRef>
          </c:tx>
          <c:spPr>
            <a:solidFill>
              <a:srgbClr val="EDA100"/>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Hoja1!$E$2:$E$5</c:f>
              <c:numCache>
                <c:formatCode>#,##0</c:formatCode>
                <c:ptCount val="4"/>
                <c:pt idx="0">
                  <c:v>66.5</c:v>
                </c:pt>
                <c:pt idx="1">
                  <c:v>94.2</c:v>
                </c:pt>
                <c:pt idx="2">
                  <c:v>185.6</c:v>
                </c:pt>
                <c:pt idx="3">
                  <c:v>151.2</c:v>
                </c:pt>
              </c:numCache>
            </c:numRef>
          </c:val>
        </c:ser>
        <c:ser>
          <c:idx val="4"/>
          <c:order val="4"/>
          <c:tx>
            <c:strRef>
              <c:f>Hoja1!$F$1</c:f>
              <c:strCache>
                <c:ptCount val="1"/>
                <c:pt idx="0">
                  <c:v>Tracción ferroviaria</c:v>
                </c:pt>
              </c:strCache>
            </c:strRef>
          </c:tx>
          <c:spPr>
            <a:solidFill>
              <a:srgbClr val="E87BA4"/>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Hoja1!$F$2:$F$5</c:f>
              <c:numCache>
                <c:formatCode>#,##0</c:formatCode>
                <c:ptCount val="4"/>
                <c:pt idx="0">
                  <c:v>44.9</c:v>
                </c:pt>
                <c:pt idx="1">
                  <c:v>28.1</c:v>
                </c:pt>
                <c:pt idx="2">
                  <c:v>22</c:v>
                </c:pt>
                <c:pt idx="3">
                  <c:v>41.3</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Hoja1!$G$2:$G$5</c:f>
              <c:numCache>
                <c:formatCode>#,##0</c:formatCode>
                <c:ptCount val="4"/>
                <c:pt idx="0">
                  <c:v>27.1</c:v>
                </c:pt>
                <c:pt idx="1">
                  <c:v>41.5</c:v>
                </c:pt>
                <c:pt idx="2">
                  <c:v>51.1</c:v>
                </c:pt>
                <c:pt idx="3">
                  <c:v>48.1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Petróleo y gas (sin petroquímica)</c:v>
                </c:pt>
                <c:pt idx="1">
                  <c:v>Servicios eléctricos (utilities)</c:v>
                </c:pt>
                <c:pt idx="2">
                  <c:v>Comercial y otros industriales</c:v>
                </c:pt>
                <c:pt idx="3">
                  <c:v>Petroquímica</c:v>
                </c:pt>
                <c:pt idx="4">
                  <c:v>Tracción ferroviaria</c:v>
                </c:pt>
                <c:pt idx="5">
                  <c:v>Otros</c:v>
                </c:pt>
              </c:strCache>
            </c:strRef>
          </c:cat>
          <c:val>
            <c:numRef>
              <c:f>Hoja1!$B$2:$B$7</c:f>
              <c:numCache>
                <c:formatCode>General</c:formatCode>
                <c:ptCount val="6"/>
                <c:pt idx="0">
                  <c:v>36.8</c:v>
                </c:pt>
                <c:pt idx="1">
                  <c:v>25.3</c:v>
                </c:pt>
                <c:pt idx="2">
                  <c:v>16.1</c:v>
                </c:pt>
                <c:pt idx="3">
                  <c:v>13.7</c:v>
                </c:pt>
                <c:pt idx="4">
                  <c:v>3.7</c:v>
                </c:pt>
                <c:pt idx="5">
                  <c:v>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Oriente Medio y África</c:v>
                </c:pt>
                <c:pt idx="3">
                  <c:v>Europa</c:v>
                </c:pt>
                <c:pt idx="4">
                  <c:v>Asia-Pacífico</c:v>
                </c:pt>
                <c:pt idx="5">
                  <c:v>México, Centroamérica y Sudamérica</c:v>
                </c:pt>
              </c:strCache>
            </c:strRef>
          </c:cat>
          <c:val>
            <c:numRef>
              <c:f>Hoja1!$B$2:$B$7</c:f>
              <c:numCache>
                <c:formatCode>0"%"</c:formatCode>
                <c:ptCount val="6"/>
                <c:pt idx="0">
                  <c:v>79.7</c:v>
                </c:pt>
                <c:pt idx="1">
                  <c:v>14.2</c:v>
                </c:pt>
                <c:pt idx="2">
                  <c:v>2.5</c:v>
                </c:pt>
                <c:pt idx="3">
                  <c:v>2.3</c:v>
                </c:pt>
                <c:pt idx="4">
                  <c:v>0.8</c:v>
                </c:pt>
                <c:pt idx="5">
                  <c:v>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(aparamenta de media tensión,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2035e</c:v>
                </c:pt>
              </c:strCache>
            </c:strRef>
          </c:cat>
          <c:val>
            <c:numRef>
              <c:f>Hoja1!$B$2:$B$4</c:f>
              <c:numCache>
                <c:formatCode>#,##0</c:formatCode>
                <c:ptCount val="3"/>
                <c:pt idx="0">
                  <c:v>17800</c:v>
                </c:pt>
                <c:pt idx="1">
                  <c:v>19660</c:v>
                </c:pt>
                <c:pt idx="2">
                  <c:v>40250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Powell</c:v>
                </c:pt>
                <c:pt idx="1">
                  <c:v>Eaton</c:v>
                </c:pt>
                <c:pt idx="2">
                  <c:v>Schneider Electric</c:v>
                </c:pt>
                <c:pt idx="3">
                  <c:v>ABB</c:v>
                </c:pt>
                <c:pt idx="4">
                  <c:v>Siemens</c:v>
                </c:pt>
                <c:pt idx="5">
                  <c:v>Vertiv</c:v>
                </c:pt>
                <c:pt idx="6">
                  <c:v>Hubbell</c:v>
                </c:pt>
              </c:strCache>
            </c:strRef>
          </c:cat>
          <c:val>
            <c:numRef>
              <c:f>Hoja1!$B$2:$B$8</c:f>
              <c:numCache>
                <c:formatCode>0.0"%"</c:formatCode>
                <c:ptCount val="7"/>
                <c:pt idx="0">
                  <c:v>19.7</c:v>
                </c:pt>
                <c:pt idx="1">
                  <c:v>17.5</c:v>
                </c:pt>
                <c:pt idx="2">
                  <c:v>16.9</c:v>
                </c:pt>
                <c:pt idx="3">
                  <c:v>18.8</c:v>
                </c:pt>
                <c:pt idx="5">
                  <c:v>18.9</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565.2</c:v>
                </c:pt>
                <c:pt idx="1">
                  <c:v>395.9</c:v>
                </c:pt>
                <c:pt idx="2">
                  <c:v>448.7</c:v>
                </c:pt>
                <c:pt idx="3">
                  <c:v>517.2</c:v>
                </c:pt>
                <c:pt idx="4">
                  <c:v>518.5</c:v>
                </c:pt>
                <c:pt idx="5">
                  <c:v>470.6</c:v>
                </c:pt>
                <c:pt idx="6">
                  <c:v>532.6</c:v>
                </c:pt>
                <c:pt idx="7">
                  <c:v>699.3</c:v>
                </c:pt>
                <c:pt idx="8">
                  <c:v>1012.4</c:v>
                </c:pt>
                <c:pt idx="9">
                  <c:v>1104.3</c:v>
                </c:pt>
                <c:pt idx="10">
                  <c:v>1190</c:v>
                </c:pt>
                <c:pt idx="11">
                  <c:v>1452</c:v>
                </c:pt>
                <c:pt idx="12">
                  <c:v>1656</c:v>
                </c:pt>
                <c:pt idx="13">
                  <c:v>1788</c:v>
                </c:pt>
                <c:pt idx="14">
                  <c:v>1878</c:v>
                </c:pt>
                <c:pt idx="15">
                  <c:v>1953</c:v>
                </c:pt>
                <c:pt idx="16">
                  <c:v>2021</c:v>
                </c:pt>
                <c:pt idx="17">
                  <c:v>2082</c:v>
                </c:pt>
                <c:pt idx="18">
                  <c:v>2144</c:v>
                </c:pt>
                <c:pt idx="19">
                  <c:v>2208</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29.1</c:v>
                </c:pt>
                <c:pt idx="1">
                  <c:v>-6.5</c:v>
                </c:pt>
                <c:pt idx="2">
                  <c:v>3.8</c:v>
                </c:pt>
                <c:pt idx="3">
                  <c:v>23.5</c:v>
                </c:pt>
                <c:pt idx="4">
                  <c:v>29.6</c:v>
                </c:pt>
                <c:pt idx="5">
                  <c:v>11.3</c:v>
                </c:pt>
                <c:pt idx="6">
                  <c:v>16.6</c:v>
                </c:pt>
                <c:pt idx="7">
                  <c:v>71.1</c:v>
                </c:pt>
                <c:pt idx="8">
                  <c:v>185.7</c:v>
                </c:pt>
                <c:pt idx="9">
                  <c:v>225.2</c:v>
                </c:pt>
                <c:pt idx="10">
                  <c:v>242</c:v>
                </c:pt>
                <c:pt idx="11">
                  <c:v>298</c:v>
                </c:pt>
                <c:pt idx="12">
                  <c:v>339</c:v>
                </c:pt>
                <c:pt idx="13">
                  <c:v>349</c:v>
                </c:pt>
                <c:pt idx="14">
                  <c:v>347</c:v>
                </c:pt>
                <c:pt idx="15">
                  <c:v>342</c:v>
                </c:pt>
                <c:pt idx="16">
                  <c:v>344</c:v>
                </c:pt>
                <c:pt idx="17">
                  <c:v>343</c:v>
                </c:pt>
                <c:pt idx="18">
                  <c:v>354</c:v>
                </c:pt>
                <c:pt idx="19">
                  <c:v>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18.8</c:v>
                </c:pt>
                <c:pt idx="1">
                  <c:v>12.8</c:v>
                </c:pt>
                <c:pt idx="2">
                  <c:v>14.6</c:v>
                </c:pt>
                <c:pt idx="3">
                  <c:v>16.8</c:v>
                </c:pt>
                <c:pt idx="4">
                  <c:v>18.2</c:v>
                </c:pt>
                <c:pt idx="5">
                  <c:v>16</c:v>
                </c:pt>
                <c:pt idx="6">
                  <c:v>16</c:v>
                </c:pt>
                <c:pt idx="7">
                  <c:v>21.1</c:v>
                </c:pt>
                <c:pt idx="8">
                  <c:v>27</c:v>
                </c:pt>
                <c:pt idx="9">
                  <c:v>29.4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5.1</c:v>
                </c:pt>
                <c:pt idx="1">
                  <c:v>-1.6</c:v>
                </c:pt>
                <c:pt idx="2">
                  <c:v>0.8</c:v>
                </c:pt>
                <c:pt idx="3">
                  <c:v>4.5</c:v>
                </c:pt>
                <c:pt idx="4">
                  <c:v>5.7</c:v>
                </c:pt>
                <c:pt idx="5">
                  <c:v>2.4</c:v>
                </c:pt>
                <c:pt idx="6">
                  <c:v>3.1</c:v>
                </c:pt>
                <c:pt idx="7">
                  <c:v>10.2</c:v>
                </c:pt>
                <c:pt idx="8">
                  <c:v>18.3</c:v>
                </c:pt>
                <c:pt idx="9">
                  <c:v>20.4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c:v>
                </c:pt>
                <c:pt idx="1">
                  <c:v>-4.9</c:v>
                </c:pt>
                <c:pt idx="2">
                  <c:v>-2</c:v>
                </c:pt>
                <c:pt idx="3">
                  <c:v>2.2</c:v>
                </c:pt>
                <c:pt idx="4">
                  <c:v>3.7</c:v>
                </c:pt>
                <c:pt idx="5">
                  <c:v>0.2</c:v>
                </c:pt>
                <c:pt idx="6">
                  <c:v>1.4</c:v>
                </c:pt>
                <c:pt idx="7">
                  <c:v>8.9</c:v>
                </c:pt>
                <c:pt idx="8">
                  <c:v>17.7</c:v>
                </c:pt>
                <c:pt idx="9">
                  <c:v>19.7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2.7</c:v>
                </c:pt>
                <c:pt idx="1">
                  <c:v>-2.4</c:v>
                </c:pt>
                <c:pt idx="2">
                  <c:v>-1.6</c:v>
                </c:pt>
                <c:pt idx="3">
                  <c:v>1.9</c:v>
                </c:pt>
                <c:pt idx="4">
                  <c:v>3.2</c:v>
                </c:pt>
                <c:pt idx="5">
                  <c:v>0.1</c:v>
                </c:pt>
                <c:pt idx="6">
                  <c:v>2.6</c:v>
                </c:pt>
                <c:pt idx="7">
                  <c:v>7.8</c:v>
                </c:pt>
                <c:pt idx="8">
                  <c:v>14.8</c:v>
                </c:pt>
                <c:pt idx="9">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 FY24</c:v>
                </c:pt>
                <c:pt idx="1">
                  <c:v>1T FY25</c:v>
                </c:pt>
                <c:pt idx="2">
                  <c:v>2T FY25</c:v>
                </c:pt>
                <c:pt idx="3">
                  <c:v>3T FY25</c:v>
                </c:pt>
                <c:pt idx="4">
                  <c:v>4T FY25</c:v>
                </c:pt>
                <c:pt idx="5">
                  <c:v>1T FY26</c:v>
                </c:pt>
                <c:pt idx="6">
                  <c:v>2T FY26</c:v>
                </c:pt>
                <c:pt idx="7">
                  <c:v>3T FY26</c:v>
                </c:pt>
              </c:strCache>
            </c:strRef>
          </c:cat>
          <c:val>
            <c:numRef>
              <c:f>Hoja1!$B$2:$B$9</c:f>
              <c:numCache>
                <c:formatCode>0.0"%"</c:formatCode>
                <c:ptCount val="8"/>
                <c:pt idx="4">
                  <c:v>8.3</c:v>
                </c:pt>
                <c:pt idx="5">
                  <c:v>4</c:v>
                </c:pt>
                <c:pt idx="6">
                  <c:v>6.5</c:v>
                </c:pt>
                <c:pt idx="7">
                  <c:v>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65</c:v>
                </c:pt>
                <c:pt idx="1">
                  <c:v>50</c:v>
                </c:pt>
                <c:pt idx="2">
                  <c:v>75</c:v>
                </c:pt>
                <c:pt idx="3">
                  <c:v>79</c:v>
                </c:pt>
                <c:pt idx="4">
                  <c:v>49</c:v>
                </c:pt>
                <c:pt idx="5">
                  <c:v>61</c:v>
                </c:pt>
                <c:pt idx="6">
                  <c:v>73</c:v>
                </c:pt>
                <c:pt idx="7">
                  <c:v>108</c:v>
                </c:pt>
                <c:pt idx="8">
                  <c:v>77</c:v>
                </c:pt>
                <c:pt idx="9">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21</c:v>
                </c:pt>
                <c:pt idx="1">
                  <c:v>19</c:v>
                </c:pt>
                <c:pt idx="2">
                  <c:v>20</c:v>
                </c:pt>
                <c:pt idx="3">
                  <c:v>25</c:v>
                </c:pt>
                <c:pt idx="4">
                  <c:v>25</c:v>
                </c:pt>
                <c:pt idx="5">
                  <c:v>28</c:v>
                </c:pt>
                <c:pt idx="6">
                  <c:v>41</c:v>
                </c:pt>
                <c:pt idx="7">
                  <c:v>42</c:v>
                </c:pt>
                <c:pt idx="8">
                  <c:v>42</c:v>
                </c:pt>
                <c:pt idx="9">
                  <c:v>40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c:v>
                </c:pt>
                <c:pt idx="1">
                  <c:v>35</c:v>
                </c:pt>
                <c:pt idx="2">
                  <c:v>39</c:v>
                </c:pt>
                <c:pt idx="3">
                  <c:v>43</c:v>
                </c:pt>
                <c:pt idx="4">
                  <c:v>30</c:v>
                </c:pt>
                <c:pt idx="5">
                  <c:v>42</c:v>
                </c:pt>
                <c:pt idx="6">
                  <c:v>52</c:v>
                </c:pt>
                <c:pt idx="7">
                  <c:v>38</c:v>
                </c:pt>
                <c:pt idx="8">
                  <c:v>36</c:v>
                </c:pt>
                <c:pt idx="9">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71.9</c:v>
                </c:pt>
                <c:pt idx="1">
                  <c:v>33.199999999999996</c:v>
                </c:pt>
                <c:pt idx="2">
                  <c:v>-32.9</c:v>
                </c:pt>
                <c:pt idx="3">
                  <c:v>64.5</c:v>
                </c:pt>
                <c:pt idx="4">
                  <c:v>67.2</c:v>
                </c:pt>
                <c:pt idx="5">
                  <c:v>-33.4</c:v>
                </c:pt>
                <c:pt idx="6">
                  <c:v>-6.1</c:v>
                </c:pt>
                <c:pt idx="7">
                  <c:v>174.79999999999998</c:v>
                </c:pt>
                <c:pt idx="8">
                  <c:v>96.5</c:v>
                </c:pt>
                <c:pt idx="9">
                  <c:v>154.8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15.5</c:v>
                </c:pt>
                <c:pt idx="1">
                  <c:v>-9.5</c:v>
                </c:pt>
                <c:pt idx="2">
                  <c:v>-7.2</c:v>
                </c:pt>
                <c:pt idx="3">
                  <c:v>9.9</c:v>
                </c:pt>
                <c:pt idx="4">
                  <c:v>16.7</c:v>
                </c:pt>
                <c:pt idx="5">
                  <c:v>0.6</c:v>
                </c:pt>
                <c:pt idx="6">
                  <c:v>13.7</c:v>
                </c:pt>
                <c:pt idx="7">
                  <c:v>54.5</c:v>
                </c:pt>
                <c:pt idx="8">
                  <c:v>149.8</c:v>
                </c:pt>
                <c:pt idx="9">
                  <c:v>180.7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5.7</c:v>
                </c:pt>
                <c:pt idx="1">
                  <c:v>-5.8</c:v>
                </c:pt>
                <c:pt idx="2">
                  <c:v>-2.7</c:v>
                </c:pt>
                <c:pt idx="3">
                  <c:v>4.3</c:v>
                </c:pt>
                <c:pt idx="4">
                  <c:v>10.3</c:v>
                </c:pt>
                <c:pt idx="5">
                  <c:v>0.4</c:v>
                </c:pt>
                <c:pt idx="6">
                  <c:v>4.1</c:v>
                </c:pt>
                <c:pt idx="7">
                  <c:v>40.1</c:v>
                </c:pt>
                <c:pt idx="8">
                  <c:v>143.3</c:v>
                </c:pt>
                <c:pt idx="9">
                  <c:v>116.3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11.8</c:v>
                </c:pt>
                <c:pt idx="1">
                  <c:v>11.8</c:v>
                </c:pt>
                <c:pt idx="2">
                  <c:v>11.8</c:v>
                </c:pt>
                <c:pt idx="3">
                  <c:v>11.8</c:v>
                </c:pt>
                <c:pt idx="4">
                  <c:v>11.8</c:v>
                </c:pt>
                <c:pt idx="5">
                  <c:v>11.8</c:v>
                </c:pt>
                <c:pt idx="6">
                  <c:v>11.8</c:v>
                </c:pt>
                <c:pt idx="7">
                  <c:v>11.8</c:v>
                </c:pt>
                <c:pt idx="8">
                  <c:v>11.8</c:v>
                </c:pt>
                <c:pt idx="9">
                  <c:v>11.8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4.6</c:v>
                </c:pt>
                <c:pt idx="1">
                  <c:v>-2.9</c:v>
                </c:pt>
                <c:pt idx="2">
                  <c:v>-2.3</c:v>
                </c:pt>
                <c:pt idx="3">
                  <c:v>3.3</c:v>
                </c:pt>
                <c:pt idx="4">
                  <c:v>5.5</c:v>
                </c:pt>
                <c:pt idx="5">
                  <c:v>0.2</c:v>
                </c:pt>
                <c:pt idx="6">
                  <c:v>4.6</c:v>
                </c:pt>
                <c:pt idx="7">
                  <c:v>17</c:v>
                </c:pt>
                <c:pt idx="8">
                  <c:v>36.2</c:v>
                </c:pt>
                <c:pt idx="9">
                  <c:v>32.2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-3.27</c:v>
                </c:pt>
                <c:pt idx="1">
                  <c:v>10.22</c:v>
                </c:pt>
                <c:pt idx="2">
                  <c:v>-12.68</c:v>
                </c:pt>
                <c:pt idx="3">
                  <c:v>-5.25</c:v>
                </c:pt>
                <c:pt idx="4">
                  <c:v>-6.02</c:v>
                </c:pt>
                <c:pt idx="5">
                  <c:v>-11.82</c:v>
                </c:pt>
                <c:pt idx="6">
                  <c:v>-7.02</c:v>
                </c:pt>
                <c:pt idx="7">
                  <c:v>-3.92</c:v>
                </c:pt>
                <c:pt idx="8">
                  <c:v>-1.93</c:v>
                </c:pt>
                <c:pt idx="9">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11.8</c:v>
                </c:pt>
                <c:pt idx="1">
                  <c:v>11.9</c:v>
                </c:pt>
                <c:pt idx="2">
                  <c:v>11.9</c:v>
                </c:pt>
                <c:pt idx="3">
                  <c:v>12</c:v>
                </c:pt>
                <c:pt idx="4">
                  <c:v>12.1</c:v>
                </c:pt>
                <c:pt idx="5">
                  <c:v>12.1</c:v>
                </c:pt>
                <c:pt idx="6">
                  <c:v>12.2</c:v>
                </c:pt>
                <c:pt idx="7">
                  <c:v>12.4</c:v>
                </c:pt>
                <c:pt idx="8">
                  <c:v>12.7</c:v>
                </c:pt>
                <c:pt idx="9">
                  <c:v>12.9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3.7</c:v>
                </c:pt>
                <c:pt idx="1">
                  <c:v>0</c:v>
                </c:pt>
                <c:pt idx="2">
                  <c:v>0</c:v>
                </c:pt>
                <c:pt idx="3">
                  <c:v>0</c:v>
                </c:pt>
                <c:pt idx="4">
                  <c:v>0</c:v>
                </c:pt>
                <c:pt idx="5">
                  <c:v>0</c:v>
                </c:pt>
                <c:pt idx="6">
                  <c:v>0</c:v>
                </c:pt>
                <c:pt idx="7">
                  <c:v>0.65</c:v>
                </c:pt>
                <c:pt idx="8">
                  <c:v>6.6</c:v>
                </c:pt>
                <c:pt idx="9">
                  <c:v>12.25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Thomas W. Powell (familia fundadora; directo y TWP Holdings)</c:v>
                </c:pt>
                <c:pt idx="1">
                  <c:v>BlackRock</c:v>
                </c:pt>
                <c:pt idx="2">
                  <c:v>First Trust Advisors</c:v>
                </c:pt>
                <c:pt idx="3">
                  <c:v>Vanguard Group</c:v>
                </c:pt>
                <c:pt idx="4">
                  <c:v>Consejeros y directivos (11 personas)</c:v>
                </c:pt>
                <c:pt idx="5">
                  <c:v>Autocartera</c:v>
                </c:pt>
              </c:strCache>
            </c:strRef>
          </c:cat>
          <c:val>
            <c:numRef>
              <c:f>Hoja1!$B$2:$B$7</c:f>
              <c:numCache>
                <c:formatCode>0.0"%"</c:formatCode>
                <c:ptCount val="6"/>
                <c:pt idx="0">
                  <c:v>18.3</c:v>
                </c:pt>
                <c:pt idx="1">
                  <c:v>11.4</c:v>
                </c:pt>
                <c:pt idx="2">
                  <c:v>5.9</c:v>
                </c:pt>
                <c:pt idx="3">
                  <c:v>5.8</c:v>
                </c:pt>
                <c:pt idx="4">
                  <c:v>2.2</c:v>
                </c:pt>
                <c:pt idx="5">
                  <c:v>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54.5</c:v>
                </c:pt>
                <c:pt idx="1">
                  <c:v>-24</c:v>
                </c:pt>
                <c:pt idx="2">
                  <c:v>-9.9</c:v>
                </c:pt>
                <c:pt idx="3">
                  <c:v>101.6</c:v>
                </c:pt>
                <c:pt idx="4">
                  <c:v>-37.6</c:v>
                </c:pt>
                <c:pt idx="5">
                  <c:v>3.6</c:v>
                </c:pt>
                <c:pt idx="6">
                  <c:v>24.3</c:v>
                </c:pt>
                <c:pt idx="7">
                  <c:v>155.6</c:v>
                </c:pt>
                <c:pt idx="8">
                  <c:v>152.2</c:v>
                </c:pt>
                <c:pt idx="9">
                  <c:v>44.5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12.4</c:v>
                </c:pt>
                <c:pt idx="2">
                  <c:v>97.1</c:v>
                </c:pt>
                <c:pt idx="3">
                  <c:v>14.1</c:v>
                </c:pt>
                <c:pt idx="4">
                  <c:v>3.5</c:v>
                </c:pt>
                <c:pt idx="5">
                  <c:v>13.8</c:v>
                </c:pt>
                <c:pt idx="6">
                  <c:v>8.1</c:v>
                </c:pt>
                <c:pt idx="7">
                  <c:v>10.2</c:v>
                </c:pt>
                <c:pt idx="8">
                  <c:v>12.7</c:v>
                </c:pt>
                <c:pt idx="9">
                  <c:v>14.4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12.4</c:v>
                </c:pt>
                <c:pt idx="1">
                  <c:v>12.4</c:v>
                </c:pt>
                <c:pt idx="2">
                  <c:v>12.4</c:v>
                </c:pt>
                <c:pt idx="3">
                  <c:v>12.4</c:v>
                </c:pt>
                <c:pt idx="4">
                  <c:v>12.4</c:v>
                </c:pt>
                <c:pt idx="5">
                  <c:v>12.4</c:v>
                </c:pt>
                <c:pt idx="6">
                  <c:v>12.4</c:v>
                </c:pt>
                <c:pt idx="7">
                  <c:v>12.4</c:v>
                </c:pt>
                <c:pt idx="8">
                  <c:v>12.4</c:v>
                </c:pt>
                <c:pt idx="9">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Powell</c:v>
                </c:pt>
                <c:pt idx="1">
                  <c:v>Eaton</c:v>
                </c:pt>
                <c:pt idx="2">
                  <c:v>Vertiv</c:v>
                </c:pt>
                <c:pt idx="3">
                  <c:v>Hubbell</c:v>
                </c:pt>
                <c:pt idx="4">
                  <c:v>nVent Electric</c:v>
                </c:pt>
                <c:pt idx="5">
                  <c:v>Schneider Electric</c:v>
                </c:pt>
                <c:pt idx="6">
                  <c:v>ABB</c:v>
                </c:pt>
                <c:pt idx="7">
                  <c:v>IES Holdings</c:v>
                </c:pt>
                <c:pt idx="8">
                  <c:v>AZZ</c:v>
                </c:pt>
                <c:pt idx="9">
                  <c:v>Preformed Line Products</c:v>
                </c:pt>
              </c:strCache>
            </c:strRef>
          </c:cat>
          <c:val>
            <c:numRef>
              <c:f>Hoja1!$B$2:$B$11</c:f>
              <c:numCache>
                <c:formatCode>0.0"x"</c:formatCode>
                <c:ptCount val="10"/>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Boyd Thermal (refrigeración líquida para centros de datos)</c:v>
                </c:pt>
                <c:pt idx="1">
                  <c:v>Fibrebond (salas eléctricas modulares para centros de datos)</c:v>
                </c:pt>
                <c:pt idx="2">
                  <c:v>Electrical Products Group de Avail Infrastructure Solutions (salas eléctricas y conductos de barras)</c:v>
                </c:pt>
                <c:pt idx="3">
                  <c:v>Remsdaq (unidades remotas SCADA, Reino Unido)</c:v>
                </c:pt>
              </c:strCache>
            </c:strRef>
          </c:cat>
          <c:val>
            <c:numRef>
              <c:f>Hoja1!$B$2:$B$5</c:f>
              <c:numCache>
                <c:formatCode>0.0"x"</c:formatCode>
                <c:ptCount val="4"/>
                <c:pt idx="0">
                  <c:v>22.5</c:v>
                </c:pt>
                <c:pt idx="1">
                  <c:v>12.7</c:v>
                </c:pt>
                <c:pt idx="2">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222</c:v>
                </c:pt>
                <c:pt idx="1">
                  <c:v>147</c:v>
                </c:pt>
                <c:pt idx="2">
                  <c:v>167</c:v>
                </c:pt>
                <c:pt idx="3">
                  <c:v>204</c:v>
                </c:pt>
                <c:pt idx="4">
                  <c:v>239</c:v>
                </c:pt>
                <c:pt idx="5">
                  <c:v>238</c:v>
                </c:pt>
                <c:pt idx="6">
                  <c:v>240</c:v>
                </c:pt>
                <c:pt idx="7">
                  <c:v>240</c:v>
                </c:pt>
                <c:pt idx="8">
                  <c:v>247</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1188</c:v>
                </c:pt>
                <c:pt idx="1">
                  <c:v>1088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165,14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48.96</c:v>
                </c:pt>
                <c:pt idx="1">
                  <c:v>79.49</c:v>
                </c:pt>
                <c:pt idx="2">
                  <c:v>112.03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165,14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(94,02 – 322,05)</c:v>
                </c:pt>
                <c:pt idx="1">
                  <c:v>Comparables: PER NTM (141,29 – 163,35)</c:v>
                </c:pt>
                <c:pt idx="2">
                  <c:v>Transacciones precedentes (EV/EBITDA) (98,63 – 130,89)</c:v>
                </c:pt>
                <c:pt idx="3">
                  <c:v>DCF (WACC y g ± 0,5) (74,70 – 85,43)</c:v>
                </c:pt>
                <c:pt idx="4">
                  <c:v>Escenarios (bajista – alcista) (48,96 – 112,03)</c:v>
                </c:pt>
                <c:pt idx="5">
                  <c:v>DCF con la prima implícita del mercado (4,2 %)</c:v>
                </c:pt>
                <c:pt idx="6">
                  <c:v>Precio actual (165,14)</c:v>
                </c:pt>
              </c:strCache>
            </c:strRef>
          </c:cat>
          <c:val>
            <c:numRef>
              <c:f>Hoja1!$B$2:$B$8</c:f>
              <c:numCache>
                <c:formatCode>#,##0</c:formatCode>
                <c:ptCount val="7"/>
                <c:pt idx="0">
                  <c:v>94.02</c:v>
                </c:pt>
                <c:pt idx="1">
                  <c:v>141.29</c:v>
                </c:pt>
                <c:pt idx="2">
                  <c:v>98.63</c:v>
                </c:pt>
                <c:pt idx="3">
                  <c:v>74.7</c:v>
                </c:pt>
                <c:pt idx="4">
                  <c:v>48.96</c:v>
                </c:pt>
                <c:pt idx="5">
                  <c:v>83.17</c:v>
                </c:pt>
                <c:pt idx="6">
                  <c:v>164.31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(94,02 – 322,05)</c:v>
                </c:pt>
                <c:pt idx="1">
                  <c:v>Comparables: PER NTM (141,29 – 163,35)</c:v>
                </c:pt>
                <c:pt idx="2">
                  <c:v>Transacciones precedentes (EV/EBITDA) (98,63 – 130,89)</c:v>
                </c:pt>
                <c:pt idx="3">
                  <c:v>DCF (WACC y g ± 0,5) (74,70 – 85,43)</c:v>
                </c:pt>
                <c:pt idx="4">
                  <c:v>Escenarios (bajista – alcista) (48,96 – 112,03)</c:v>
                </c:pt>
                <c:pt idx="5">
                  <c:v>DCF con la prima implícita del mercado (4,2 %)</c:v>
                </c:pt>
                <c:pt idx="6">
                  <c:v>Precio actual (165,14)</c:v>
                </c:pt>
              </c:strCache>
            </c:strRef>
          </c:cat>
          <c:val>
            <c:numRef>
              <c:f>Hoja1!$C$2:$C$8</c:f>
              <c:numCache>
                <c:formatCode>#,##0</c:formatCode>
                <c:ptCount val="7"/>
                <c:pt idx="0">
                  <c:v>228.03000000000003</c:v>
                </c:pt>
                <c:pt idx="1">
                  <c:v>22.060000000000002</c:v>
                </c:pt>
                <c:pt idx="2">
                  <c:v>32.25999999999999</c:v>
                </c:pt>
                <c:pt idx="3">
                  <c:v>10.730000000000004</c:v>
                </c:pt>
                <c:pt idx="4">
                  <c:v>63.07</c:v>
                </c:pt>
                <c:pt idx="5">
                  <c:v>8.879999999999995</c:v>
                </c:pt>
                <c:pt idx="6">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