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Sieyuan Electric Co., Ltd. (思源电气股份有限公司)</w:t>
      </w:r>
    </w:p>
    <w:p>
      <w:pPr>
        <w:spacing w:after="60"/>
        <w:rPr>
          <w:color w:val="52514E"/>
          <w:sz w:val="22"/>
          <w:szCs w:val="22"/>
        </w:rPr>
      </w:pPr>
      <w:r>
        <w:rPr>
          <w:color w:val="52514E"/>
          <w:sz w:val="22"/>
          <w:szCs w:val="22"/>
        </w:rPr>
        <w:t xml:space="preserve">002028 · Bolsa de Shenzhen (acciones A; comprable desde fuera vía Shenzhen-Hong Kong Stock Connect) · ISIN CNE000001KQ8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125,10 CNY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128,43 CNY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+3,2 % (base +6,1 %)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101,38 CNY · mercado 117,51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98.404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Sieyuan Electric Co., Ltd. (思源电气股份有限公司)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002028 / CNE000001KQ8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Shenzhen (acciones A; comprable desde fuera vía Shenzhen-Hong Kong Stock Connect)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CSI 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Shanghái · 1993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www.sieyuan.com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125,10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112,02 – 239,12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98.404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91.839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1683 M CNY/día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128,43 CNY</w:t>
      </w:r>
      <w:r>
        <w:t xml:space="preserve"> frente a 125,10 · Rentabilidad a 12 meses </w:t>
      </w:r>
      <w:r>
        <w:rPr>
          <w:b/>
          <w:bCs/>
        </w:rPr>
        <w:t xml:space="preserve">+3,2 % (base +6,1 %)</w:t>
      </w:r>
      <w:r>
        <w:t xml:space="preserve"> · Valor intrínseco 101,38 CNY · con la prima implícita del mercado: 117,51 (-6,1 %) · Alcista / bajista -3,5 % / -47,3 %</w:t>
      </w:r>
    </w:p>
    <w:p>
      <w:pPr>
        <w:spacing w:after="100"/>
      </w:pPr>
      <w:r>
        <w:rPr>
          <w:b/>
        </w:rPr>
        <w:t xml:space="preserve">La recomendación y por qué.</w:t>
      </w:r>
      <w:r>
        <w:t xml:space="preserve"> Mantener, con convicción media. El objetivo a 12 meses es de 128,43 CNY (ponderado) y 132,02 CNY en el caso base, frente a un precio de 125,10 CNY: la rentabilidad a 12 meses, con el dividendo, es del 3,2 % ponderada y del 6,1 % en el base, lejos del 15 % que pide comprar y del −10 % que haría vender. El valor intrínseco (101,38 CNY) queda un 19,0 % por debajo del precio. Los analistas (objetivo medio de 209,54 CNY) esperan un 29 % más de beneficio en 2028e que nosotros. La convicción es media porque las dos reglas coinciden y la rentabilidad está lejos de los umbrales; bajaría si la UE sigue a EE. UU. y subiría si el precio cae por debajo de 101 CNY.</w:t>
      </w:r>
    </w:p>
    <w:p>
      <w:pPr>
        <w:spacing w:after="100"/>
      </w:pPr>
      <w:r>
        <w:rPr>
          <w:b/>
        </w:rPr>
        <w:t xml:space="preserve">El negocio.</w:t>
      </w:r>
      <w:r>
        <w:t xml:space="preserve"> Sieyuan es un fabricante privado de equipos de alta tensión (aparamenta GIS, transformadores, protección, compensación) que vende por licitación a las redes chinas y a eléctricas de más de 100 países [1]. Gana dinero de verdad: ROIC del 44,2 % en 2025 frente a un WACC del 8,09 %, margen EBITDA del 18,3 % frente a una mediana del 14,2 % de los comparables, y crecimiento de las ventas del 25,4 % anual en 2021-2025 sin compras relevantes [1]. La sostenibilidad del crecimiento es «Sí»: proyectar un 13,5 % anual exige que el capital nuevo rinda un 38,6 %, por debajo del actual, aunque la cuota mundial pasaría del 0,8 % al 1,3 %, el punto más exigente.</w:t>
      </w:r>
    </w:p>
    <w:p>
      <w:pPr>
        <w:spacing w:after="100"/>
      </w:pPr>
      <w:r>
        <w:rPr>
          <w:b/>
        </w:rPr>
        <w:t xml:space="preserve">Sector y ciclo.</w:t>
      </w:r>
      <w:r>
        <w:t xml:space="preserve"> La inversión de la red china se frena (+5,1 % en 2025 y ≈ +1 % la de State Grid en 7M26) y la exportación, que llevaba el crecimiento, choca con la orden 14420 de EE. UU. (26-ago-2026), cuyas reglas llegan antes del 24-dic [17, 18, 23].</w:t>
      </w:r>
    </w:p>
    <w:p>
      <w:pPr>
        <w:spacing w:after="100"/>
      </w:pPr>
      <w:r>
        <w:rPr>
          <w:b/>
        </w:rPr>
        <w:t xml:space="preserve">Finanzas.</w:t>
      </w:r>
      <w:r>
        <w:t xml:space="preserve"> Caja neta ajustada de 6.787 M tras el dividendo de julio. El flujo operativo convierte solo el 71 % del beneficio en 2025 porque las cuentas a cobrar de la exportación y el EPC crecen más que las ventas [1, 6]. El beneficio del 1S26 creció un 13,2 % con ventas +27 %: pérdidas de cambio y la salida del 20 % de Sieyuan Toshiba [9, 10].</w:t>
      </w:r>
    </w:p>
    <w:p>
      <w:pPr>
        <w:spacing w:after="100"/>
      </w:pPr>
      <w:r>
        <w:rPr>
          <w:b/>
        </w:rPr>
        <w:t xml:space="preserve">Valoración.</w:t>
      </w:r>
      <w:r>
        <w:t xml:space="preserve"> El DCF da 96,30 CNY (WACC del 8,09 %, terminal del 1 %, 74 % del valor en el terminal). El precio descuenta un crecimiento del 22,1 % anual en 2027-2031e frente a nuestro 11,4 %, y una rentabilidad implícita del 6,4 %, por debajo del WACC. Con la prima implícita del mercado (4,2 %) el valor sería de 117,51 CNY, todavía por debajo del precio. El PER de los próximos doce meses con el consenso (18,8) está en la mediana de los comparables (18,6), pero con nuestro BPA de 2027e es de 21,7, por encima de su mediana adelantada (19,3). Discrepamos del consenso en ventas, no en márgenes.</w:t>
      </w:r>
    </w:p>
    <w:p>
      <w:pPr>
        <w:spacing w:after="100"/>
      </w:pPr>
      <w:r>
        <w:rPr>
          <w:b/>
        </w:rPr>
        <w:t xml:space="preserve">Riesgos y catalizadores.</w:t>
      </w:r>
      <w:r>
        <w:t xml:space="preserve"> El riesgo dominante es la exclusión en EE. UU. y su contagio a Europa: el bajista (65,96 CNY en el DCF, −47,3 %) lo recoge con un margen 2,5 puntos más bajo. Le siguen los precios de las licitaciones de State Grid y el fin de la escasez de transformadores. Catalizadores: el 3T26 el 24-oct y las reglas del DOE en diciembre. Los foros chinos están en capitulación y culpan al inversor de Stock Connect; no añaden un riesgo nuevo [45].</w:t>
      </w:r>
    </w:p>
    <w:p>
      <w:pPr>
        <w:spacing w:after="100"/>
      </w:pPr>
      <w:r>
        <w:rPr>
          <w:b/>
        </w:rPr>
        <w:t xml:space="preserve">Qué cambiaría la decisión.</w:t>
      </w:r>
      <w:r>
        <w:t xml:space="preserve"> Compraríamos por debajo de 101,38 CNY y venderíamos por encima de 143,48 CNY. Subiríamos el caso base si el objetivo de pedidos de 2027 supera los 45.000 M con la exportación creciendo más del 30 %, y lo bajaríamos si el margen bruto trimestral cae por debajo del 28 % o si la UE propone excluir los equipos de red chinos.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128,43 CNY</w:t>
      </w:r>
      <w:r>
        <w:t xml:space="preserve"> (rentabilidad +3,2 % (base +6,1 %)) · Valor intrínseco: 101,38 CNY (-19,0 % sobre 125,10) · con la prima implícita del mercado: 117,51 (-6,1 %)</w:t>
      </w:r>
    </w:p>
    <w:p>
      <w:pPr>
        <w:spacing w:after="100"/>
      </w:pPr>
      <w:r>
        <w:t xml:space="preserve">Sieyuan es el tercer fabricante privado de equipos de transmisión y distribución de China (3,5 % del mercado en 2024) y uno de los pocos que exporta alta tensión con marca propia a más de 100 países [1, 20]. Ha multiplicado las ventas por 2,5 y el beneficio por 2,6 en cuatro años sin deuda y sin compras, con un ROIC que sube del 20,8 % de 2022 al 44,2 % de 2025 y una caja neta de unos 6.800 M [1, 6].</w:t>
      </w:r>
    </w:p>
    <w:p>
      <w:pPr>
        <w:spacing w:after="100"/>
      </w:pPr>
      <w:r>
        <w:t xml:space="preserve">El precio (125,10 CNY) ha caído un 46 % desde el máximo de marzo, pero todavía descuenta un crecimiento del 22,1 % anual en 2027-2031e, cerca de lo que esperan los analistas, y cotiza a 21,7 veces nuestro BPA de 2027e. La caída corrige un exceso: a 239 CNY el mercado pagaba unas 40 veces el BPA de 2026e que esperaban entonces los analistas (5,89 CNY de Soochow en abril) [35].</w:t>
      </w:r>
    </w:p>
    <w:p>
      <w:pPr>
        <w:spacing w:after="100"/>
      </w:pPr>
      <w:r>
        <w:t xml:space="preserve">Para invertir hay que creer que la exportación compensará a la vez el cierre de EE. UU. y una red china que crece poco, y que el margen de 2025 no es un pico. Nosotros creemos que la empresa seguirá creciendo, pero a la mitad del ritmo que descuenta el precio; con eso, la acción está algo cara y la rentabilidad a 12 meses (3,2 %) no compensa el riesgo regulatorio.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128,43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 × 4,93 = 80,85 · 20,5x × 6,44 = 132,02 · 22,1x × 7,64 = 168,84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 / 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209,54 (nuestro base -37,0 %)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101,38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 / -47,3 %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8,1 %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117,51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(2027e-2031e)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(13,5 % anual proyectado; financiable al ROIC actual: 10,3 %)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101,38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101,38 y 143,48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143,48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101,38 CNY: pasaría a Comprar (valor intrínseco por encima del precio y rentabilidad a 12 meses ≥ 15 %).</w:t>
      </w:r>
    </w:p>
    <w:p>
      <w:pPr>
        <w:pStyle w:val="ListParagraph"/>
        <w:numPr>
          <w:ilvl w:val="0"/>
          <w:numId w:val="2"/>
        </w:numPr>
        <w:spacing w:after="60"/>
      </w:pPr>
      <w:r>
        <w:t xml:space="preserve">Precio por encima de 143,48 CNY: pasaría a Vender.</w:t>
      </w:r>
    </w:p>
    <w:p>
      <w:pPr>
        <w:pStyle w:val="ListParagraph"/>
        <w:numPr>
          <w:ilvl w:val="0"/>
          <w:numId w:val="2"/>
        </w:numPr>
        <w:spacing w:after="60"/>
      </w:pPr>
      <w:r>
        <w:t xml:space="preserve">Objetivo de pedidos de 2027 por encima de 45.000 M con exportación +30 %: subiríamos el caso base.</w:t>
      </w:r>
    </w:p>
    <w:p>
      <w:pPr>
        <w:pStyle w:val="ListParagraph"/>
        <w:numPr>
          <w:ilvl w:val="0"/>
          <w:numId w:val="2"/>
        </w:numPr>
        <w:spacing w:after="60"/>
      </w:pPr>
      <w:r>
        <w:t xml:space="preserve">Margen bruto del grupo por debajo del 28 % en un trimestre: bajaríamos el margen de toda la proyección.</w:t>
      </w:r>
    </w:p>
    <w:p>
      <w:pPr>
        <w:pStyle w:val="ListParagraph"/>
        <w:numPr>
          <w:ilvl w:val="0"/>
          <w:numId w:val="2"/>
        </w:numPr>
        <w:spacing w:after="60"/>
      </w:pPr>
      <w:r>
        <w:t xml:space="preserve">Propuesta de la UE para excluir equipos de red chinos: el bajista pasaría a ser el caso central.</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Sieyuan mantendrá un crecimiento cercano al 22 % anual hasta 2031e: el DCF inverso pide un 22,1 % frente a nuestro 11,4 %. Los analistas van más allá (+29 % anual de ventas hasta 2028e y objetivo medio de 209,54 CNY), aunque llevan seis meses recortando y UBS ya rebajó a neutral con 142 CNY.</w:t>
      </w:r>
    </w:p>
    <w:p>
      <w:pPr>
        <w:keepNext/>
        <w:spacing w:after="100"/>
      </w:pPr>
      <w:r>
        <w:rPr>
          <w:b/>
          <w:bCs/>
        </w:rPr>
        <w:t xml:space="preserve">Lo que creemos nosotros.</w:t>
      </w:r>
    </w:p>
    <w:p>
      <w:pPr>
        <w:spacing w:after="100"/>
      </w:pPr>
      <w:r>
        <w:t xml:space="preserve">La empresa es buena y seguirá ganando cuota, pero el crecimiento se frena a la mitad: la red china crece al 1-5 %, EE. UU. se cierra a los equipos chinos y el margen de 2025, con escasez de transformadores, no sube más. Base de 132,02 CNY a 12 meses y valor intrínseco de 101,38 CNY.</w:t>
      </w:r>
    </w:p>
    <w:p>
      <w:pPr>
        <w:keepNext/>
        <w:spacing w:after="100"/>
      </w:pPr>
      <w:r>
        <w:rPr>
          <w:b/>
          <w:bCs/>
        </w:rPr>
        <w:t xml:space="preserve">Por qué podemos tener razón.</w:t>
      </w:r>
    </w:p>
    <w:p>
      <w:pPr>
        <w:spacing w:after="100"/>
      </w:pPr>
      <w:r>
        <w:t xml:space="preserve">Los objetivos de la propia empresa para 2026 (ventas +25 %) ya están por debajo del consenso de 2027-2028, y la caída del 2T26 (+8 % de beneficio) muestra que el crecimiento no es lineal. Lo que más nos separa del mercado es la exportación: la damos por buena en Europa y emergentes, pero no en EE. UU.</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125,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44,2 %</w:t>
      </w:r>
      <w:r>
        <w:t xml:space="preserve"> en 2025 frente a un WACC del 8,09 %, y subiendo desde el 20,8 % de 2022 [1].</w:t>
      </w:r>
    </w:p>
    <w:p>
      <w:pPr>
        <w:pStyle w:val="ListParagraph"/>
        <w:numPr>
          <w:ilvl w:val="0"/>
          <w:numId w:val="2"/>
        </w:numPr>
        <w:spacing w:after="60"/>
      </w:pPr>
      <w:r>
        <w:rPr>
          <w:b/>
        </w:rPr>
        <w:t xml:space="preserve">Caja neta ajustada de 6.787 M</w:t>
      </w:r>
      <w:r>
        <w:t xml:space="preserve">, el 7 % de la capitalización, sin deuda relevante [6].</w:t>
      </w:r>
    </w:p>
    <w:p>
      <w:pPr>
        <w:pStyle w:val="ListParagraph"/>
        <w:numPr>
          <w:ilvl w:val="0"/>
          <w:numId w:val="2"/>
        </w:numPr>
        <w:spacing w:after="60"/>
      </w:pPr>
      <w:r>
        <w:rPr>
          <w:b/>
        </w:rPr>
        <w:t xml:space="preserve">Exportación del 29,5 %</w:t>
      </w:r>
      <w:r>
        <w:t xml:space="preserve"> de las ventas del 1S26, con entradas en Alemania, Portugal, Suecia, Finlandia e Irlanda [1, 6].</w:t>
      </w:r>
    </w:p>
    <w:p>
      <w:pPr>
        <w:pStyle w:val="ListParagraph"/>
        <w:numPr>
          <w:ilvl w:val="0"/>
          <w:numId w:val="2"/>
        </w:numPr>
        <w:spacing w:after="60"/>
      </w:pPr>
      <w:r>
        <w:rPr>
          <w:b/>
        </w:rPr>
        <w:t xml:space="preserve">Pedidos objetivo de 37.500 M en 2026</w:t>
      </w:r>
      <w:r>
        <w:t xml:space="preserve"> (+30 %) y anticipos de clientes de 3.829 M en junio [6].</w:t>
      </w:r>
    </w:p>
    <w:p>
      <w:pPr>
        <w:pStyle w:val="ListParagraph"/>
        <w:numPr>
          <w:ilvl w:val="0"/>
          <w:numId w:val="2"/>
        </w:numPr>
        <w:spacing w:after="60"/>
      </w:pPr>
      <w:r>
        <w:rPr>
          <w:b/>
        </w:rPr>
        <w:t xml:space="preserve">Precio −46 % desde el máximo</w:t>
      </w:r>
      <w:r>
        <w:t xml:space="preserve"> de 52 semanas, con la caída explicada por hechos conocidos [33].</w:t>
      </w:r>
    </w:p>
    <w:p>
      <w:pPr>
        <w:pStyle w:val="Heading2"/>
      </w:pPr>
      <w:r>
        <w:t xml:space="preserve">En contra</w:t>
      </w:r>
    </w:p>
    <w:p>
      <w:pPr>
        <w:pStyle w:val="ListParagraph"/>
        <w:numPr>
          <w:ilvl w:val="0"/>
          <w:numId w:val="2"/>
        </w:numPr>
        <w:spacing w:after="60"/>
      </w:pPr>
      <w:r>
        <w:rPr>
          <w:b/>
        </w:rPr>
        <w:t xml:space="preserve">Orden 14420 de EE. UU.</w:t>
      </w:r>
      <w:r>
        <w:t xml:space="preserve">: reglas de exclusión de equipos chinos de 69 kV o más antes del 24-dic-2026 [18].</w:t>
      </w:r>
    </w:p>
    <w:p>
      <w:pPr>
        <w:pStyle w:val="ListParagraph"/>
        <w:numPr>
          <w:ilvl w:val="0"/>
          <w:numId w:val="2"/>
        </w:numPr>
        <w:spacing w:after="60"/>
      </w:pPr>
      <w:r>
        <w:rPr>
          <w:b/>
        </w:rPr>
        <w:t xml:space="preserve">Red china casi plana</w:t>
      </w:r>
      <w:r>
        <w:t xml:space="preserve">: inversión de State Grid ≈ +1 % en 7M26 [23].</w:t>
      </w:r>
    </w:p>
    <w:p>
      <w:pPr>
        <w:pStyle w:val="ListParagraph"/>
        <w:numPr>
          <w:ilvl w:val="0"/>
          <w:numId w:val="2"/>
        </w:numPr>
        <w:spacing w:after="60"/>
      </w:pPr>
      <w:r>
        <w:rPr>
          <w:b/>
        </w:rPr>
        <w:t xml:space="preserve">El precio pide un 22,1 % de crecimiento anual</w:t>
      </w:r>
      <w:r>
        <w:t xml:space="preserve">, el doble de nuestro caso base.</w:t>
      </w:r>
    </w:p>
    <w:p>
      <w:pPr>
        <w:pStyle w:val="ListParagraph"/>
        <w:numPr>
          <w:ilvl w:val="0"/>
          <w:numId w:val="2"/>
        </w:numPr>
        <w:spacing w:after="60"/>
      </w:pPr>
      <w:r>
        <w:rPr>
          <w:b/>
        </w:rPr>
        <w:t xml:space="preserve">Beneficio del 2T26 +8 %</w:t>
      </w:r>
      <w:r>
        <w:t xml:space="preserve">, con pérdidas de cambio y la salida del 20 % de Sieyuan Toshiba [9, 10].</w:t>
      </w:r>
    </w:p>
    <w:p>
      <w:pPr>
        <w:pStyle w:val="ListParagraph"/>
        <w:numPr>
          <w:ilvl w:val="0"/>
          <w:numId w:val="2"/>
        </w:numPr>
        <w:spacing w:after="60"/>
      </w:pPr>
      <w:r>
        <w:rPr>
          <w:b/>
        </w:rPr>
        <w:t xml:space="preserve">Reparto bajo</w:t>
      </w:r>
      <w:r>
        <w:t xml:space="preserve">: dividendo del 17 % del beneficio y recompra de 2025 sin ejecutar [11, 16].</w:t>
      </w:r>
    </w:p>
    <w:p>
      <w:pPr>
        <w:pStyle w:val="Heading2"/>
      </w:pPr>
      <w:r>
        <w:t xml:space="preserve">Qué tiene que pasar para que la tesis funcione</w:t>
      </w:r>
    </w:p>
    <w:p>
      <w:pPr>
        <w:spacing w:after="100"/>
      </w:pPr>
      <w:r>
        <w:t xml:space="preserve">La tesis depende de que la exportación siga creciendo fuera de EE. UU. mientras la red china se frena. La señal está en los pedidos y en el margen: si el objetivo de pedidos de 2027 crece menos del 15 % o el margen bruto trimestral baja del 28 %, el caso base sobra; si la UE propone excluir equipos chinos de red, el bajista pasa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año (objetivo y real)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28.891 M en 2025; objetivo de 37.500 M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Pedidos de 2027 &lt;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las ventas de un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28 %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licitación y escasez de transformadores.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exportación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de la exportación &lt;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3.829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 los pedidos.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Participación de HKSCC (Stock Connect)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19,86 %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vendedora del inversor extranjero.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20,8x / 14,1x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29,8x / 18,8x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Sieyuan nació en 1993 en Shanghái, fundada por Dong Zengping, Chen Bangdong y otros socios para fabricar equipos de monitorización de alta tensión; sale a bolsa en Shenzhen en 2004 (002028) [1]. Pasó de un producto a seis líneas: aparamenta (GIS hasta 1.000 kV), transformadores, protección y automatización, electrónica de potencia, almacenamiento y EPC [1]. Las compras fueron pocas y baratas: Changzhou Toshiba Shuden (transformadores) en 2018 por un precio simbólico, y 烯晶碳能 (supercondensadores) en 2023 [3]. Los dos fundadores siguen al mando (16,8 % y 12,3 %). Desde 2023 la exportación lleva el crecimiento (del 17 % al 27 % de las ventas en 2025), y en 2026 pidió salir a bolsa en Hong Kong [1,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Shanghái por Dong Zengping y Chen Bangdong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Shenzhen (002028)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90 % de Changzhou Toshiba Shuden Transformer: entrada en transformadores de potencia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10.369 M y ventas de 8.695 M; la acción sube un 147 %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control de 烯晶碳能 (supercondensadores) por 618 M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21.539 M (+39 %), exportación +86 %, pedidos de 28.891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Solicitud de salida a bolsa en Hong Kong (11-feb), caducada sin renovar; Toshiba recompra el 20 % de Sieyuan Toshiba (julio) [20]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Sieyuan Electric (思源电气), con sede en Shanghái, diseña y fabrica equipos para las redes eléctricas: aparamenta aislada en gas (GIS y GIL hasta 1.000 kV) e interruptores, transformadores de potencia hasta 750 kV y reactancias, transformadores de medida y pasatapas, protección y control de subestaciones, compensación de reactiva y filtros (SVG, condensadores síncronos estáticos), almacenamiento en baterías para plantas y supercondensadores, y construye subestaciones llave en mano (EPC) [1]. Vende a State Grid y China Southern Grid, a generadoras, ferrocarril e industria, y a eléctricas de más de 100 países, con filiales en más de 20 (Brasil, Egipto, Zambia, España, Suiza) [1]. Fabrica en Shanghái, Nantong, Changzhou, Wuxi y Rugao, con I+D también en Suiza; 11.007 empleados [1].</w:t>
      </w:r>
    </w:p>
    <w:p>
      <w:pPr>
        <w:pStyle w:val="Heading2"/>
      </w:pPr>
      <w:r>
        <w:t xml:space="preserve">Cómo gana dinero</w:t>
      </w:r>
    </w:p>
    <w:p>
      <w:pPr>
        <w:spacing w:after="100"/>
      </w:pPr>
      <w:r>
        <w:t xml:space="preserve">Vende equipos por pedido: gana la licitación, cobra un anticipo del 10-30 %, fabrica y entrega en 6-18 meses, y cobra el resto con la aceptación y una retención de garantía [1]. Nada es recurrente por contrato, pero los pedidos (28.891 M en 2025) dan visibilidad de un año [1]. El beneficio sale de la aparamenta y los transformadores (63 % de las ventas, margen bruto del 36-37 %); EPC y almacenamiento (18 %) aportan volumen con márgenes del 12 % [1]. El margen depende del precio de licitación, del cobre y del acero, y de la mezcla; hay apalancamiento operativo porque la I+D y la estructura (13,6 % de las ventas) crecen menos que las ventas [1]. Estacionalidad fuerte: el cuarto trimestre trae el 36 % de las ventas y la mitad de la caja.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Aparamenta (开关类)</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Transformadores (变压器类)</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Protección y automatización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Electrónica de potencia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Almacenamiento y componentes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(arrendamiento)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Aparamenta (开关类)</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Transformadores (变压器类)</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Protección y automatización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Electrónica de potencia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Almacenamiento y componentes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(arrendamiento)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repartidos: los cinco primeros sumaron el 9,5 % de las ventas de 2025 y el mayor, el 2,4 % [1]. En China vende a State Grid y China Southern Grid por licitaciones centralizadas, y a generadoras, ferrocarril, petroquímica y metalurgia; en 2025 entró como proveedor principal de protección de 220 kV de Southern Grid [1]. Fuera vende a eléctricas de más de 100 países, con entradas recientes en Alemania, Portugal, Suecia, Finlandia e Irlanda [1]. Fabrica bajo pedido (MTO/ETO) con anticipos del 10-30 %: los pasivos por contrato equivalen a unos dos meses de ventas [6]. Poder de precios demostrado: el margen bruto de transformadores subió 4,1 puntos en 2025 y el de aparamenta 3,7 puntos en el 1S26 con el cobre caro [1, 6]; el de la exportación bajó 1,8 puntos en 2025 y 2,3 en el 1S26 [1,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nuevos (M CNY, sin IVA)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2026: 37.500 M (+30 %); 2023: 16.513 M; 2022: 12.122 M [1,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el exterior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1S26, 3.183 M (+11,2 %), el 29,5 % de las ventas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30,5 % en el 1S26 (−1,3 pp) por la mezcla de EPC y almacenamiento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contrato (anticipos,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3.829 M a 30-jun-2026, máximo histórico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4.781 personas de I+D, el 43 % de la plantilla de 11.007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de aparamenta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39,1 % en el 1S26 [1,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Equipos de transmisión y distribución de alta y media tensión (aparamenta GIS, transformadores, protección, compensación) y almacenamiento para las redes, en China y en el mundo. El mercado relevante es la inversión mundial en redes eléctricas (IEA), de la que los equipos son la mayor parte; para China se usa la inversión en la red de la Administración Nacional de Energía. Se usa la cifra de la IEA porque Sieyuan ya vende el 27-30 % fuera y compite por licitaciones en más de 100 países [1,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400.000 M USD de inversión mundial en redes en 2025 (≈ 2.668.000 M CNY), de ellos 639.500 M CNY en China [1,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inversión mundial en redes, IE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la red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639.500 M CNY en 2025 (+5,1 %); la de State Grid apenas creció un 1 % en 7M26 frente al 38 % anterior [17,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mundial de transformadores y equipos de alta tensión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IEA estima un déficit de inversión en redes de 600.000 M USD frente a la generación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y electrificación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mundial en centros de datos de 580.000 M USD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Proteccionismo en EE. UU. y la UE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ejecutiva 14420 (26-ago-2026): el DOE puede prohibir equipos de 69 kV o más de 24 países; reglas antes del 24-dic-2026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cobre y del acero eléctrico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transformadores llevan mucho cobre; el margen bruto de transformadores aun así subió 4,1 pp en 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Licitaciones centralizadas de State Grid con precio como criterio; rivales estatales (XD, Pinggao, XJ) con márgenes EBIT del 7-11 % frente al 17 % de Sieyuan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redes estatales compran casi toda la alta tensión china; fuera, eléctricas con homologaciones largas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acero y componentes de muchos proveedores: los cinco primeros, el 8,3 % de las compras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de años para 220-1.000 kV y referencias de servicio; pocos fabricantes de GIS de 1.000 kV en el mundo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del transformador ni de la aparamenta; el cambio es tecnológico (sin SF6, corriente continua) [22]</w:t>
            </w:r>
          </w:p>
        </w:tc>
      </w:tr>
    </w:tbl>
    <w:p>
      <w:pPr>
        <w:spacing w:after="160" w:before="0"/>
      </w:pPr>
    </w:p>
    <w:p>
      <w:pPr>
        <w:pStyle w:val="Heading2"/>
      </w:pPr>
      <w:r>
        <w:t xml:space="preserve">Ciclo</w:t>
      </w:r>
    </w:p>
    <w:p>
      <w:pPr>
        <w:spacing w:after="100"/>
      </w:pPr>
      <w:r>
        <w:t xml:space="preserve">La inversión de la red china creció del ≈ 5 % anual a doble dígito en 2023-2024 y se frena: +5,1 % en 2025 y ≈ +1 % la de State Grid en 7M26 [17, 23]. Fuera, el ciclo sigue al alza (déficit de inversión, centros de datos), pero EE. UU. cierra la puerta a los equipos chinos de alta tensión [1, 18]. En 2008-09 y 2020 la red china fue contracíclica (estímulo) y las ventas de Sieyuan no cayeron; en 2022 crecieron un 21 % [1]. El riesgo del ciclo es de precio en las licitaciones, no de volumen.</w:t>
      </w:r>
    </w:p>
    <w:p>
      <w:pPr>
        <w:pStyle w:val="Heading2"/>
      </w:pPr>
      <w:r>
        <w:t xml:space="preserve">Regulación</w:t>
      </w:r>
    </w:p>
    <w:p>
      <w:pPr>
        <w:spacing w:after="100"/>
      </w:pPr>
      <w:r>
        <w:t xml:space="preserve">En China, el plan de equipos eléctricos 2025-2026 (MIIT, SAMR y NEA, septiembre de 2025) fija un crecimiento del 6 % anual para los equipos tradicionales y empuja las líneas de ultra alta tensión y el almacenamiento [1]. En EE. UU., la orden ejecutiva 14420 del 26-ago-2026 declara una emergencia nacional sobre los equipos extranjeros del sistema de alta tensión (transformadores, interruptores, inversores y almacenamiento de 69 kV o más) y da al DOE 120 días (hasta el 24-dic-2026) para publicar las reglas de exclusión [18, 19]. La UE estudia restricciones similares en inversores y equipos de red. El SF6 (gas de efecto invernadero) se restringe en la UE desde 2026 en media tensión, lo que obliga a nuevos diseños [22].</w:t>
      </w:r>
    </w:p>
    <w:p>
      <w:pPr>
        <w:pStyle w:val="Heading2"/>
      </w:pPr>
      <w:r>
        <w:t xml:space="preserve">Tendencias y disrupción</w:t>
      </w:r>
    </w:p>
    <w:p>
      <w:pPr>
        <w:spacing w:after="100"/>
      </w:pPr>
      <w:r>
        <w:t xml:space="preserve">Tres cambios: corriente continua y equipos de red formadora (SVG y almacenamiento grid-forming), donde Sieyuan ganó pasatapas de ±800 kV y proyectos en Hunan; aparamenta sin SF6, en la que ya vende interruptores con aire comprimido; y la demanda de los centros de datos, a la que llega con supercondensadores y transformadores [1, 22]. Gana con todas porque invierte el 6 % de las ventas en I+D. Pierde con el proteccionismo: los fabricantes coreanos (HD Hyundai, Hyosung) y europeos ocupan el hueco en EE. UU. [18, 21].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3.ª empresa privada del mercado chino de equipos de transmisión y distribución, con el 3,5 % en 2024 según Frost &amp; Sullivan [20]; ≈ 0,8 % de la inversión mundial en redes (estimación propia: 21.539 M CNY de ventas sobre ≈ 2,67 billones de CNY de 2025)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XD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601179.SS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Estatal (China Electrical Equipment Group); GIS y transformadores de UHV; compite en precio en State Grid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Pinggao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600312.SS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de State Grid; líder en GIS de 1.000 kV en China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XJ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000400.SZ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de State Grid; protección, convertidores de corriente continua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NARI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600406.SS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de State Grid; automatización y protección, rival en secundario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TBEA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600089.SS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chino de transformadores, con polisilicio y carbón dentro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267260.KS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Transformadores para EE. UU. y Oriente Medio; gana con la exclusión de los chinos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Hyosung Heavy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298040.KS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Transformadores y GIS con fábrica en Memphis (EE. UU.)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Siemens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ENR.DE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292.167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Grid Technologies es líder mundial; el margen del grupo incluye eólica marina con pérdidas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venta de equipos por licitación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y referencias de servicio de varios años en alta tensión; el secundario (protección) se integra en el control de la red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1.033 patentes (376 de invención) y homologaciones en más de 100 países; 4.781 ingenieros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16,9 % en 2025 frente al 7-15 % de los rivales chinos estatales con la misma escala y precios de licitación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líneas de producto que comparten cliente y servicio, pero con el 3,5 % del mercado chino no fija precios [B5]</w:t>
            </w:r>
          </w:p>
        </w:tc>
      </w:tr>
    </w:tbl>
    <w:p>
      <w:pPr>
        <w:spacing w:after="160" w:before="0"/>
      </w:pPr>
    </w:p>
    <w:p>
      <w:pPr>
        <w:pStyle w:val="Heading2"/>
      </w:pPr>
      <w:r>
        <w:t xml:space="preserve">Amenazas</w:t>
      </w:r>
    </w:p>
    <w:p>
      <w:pPr>
        <w:spacing w:after="100"/>
      </w:pPr>
      <w:r>
        <w:t xml:space="preserve">Tres amenazas. La primera, la exclusión de los equipos chinos de alta tensión en EE. UU. (orden 14420, reglas antes del 24-dic-2026) y, si se extiende, en la UE: el exterior es el 29,5 % de las ventas del 1S26 y la parte de mayor crecimiento [18, 19]. Probabilidad alta en EE. UU., media en Europa. La segunda, la nueva capacidad de transformadores en Europa, EE. UU. y Corea, que convierte a los chinos en proveedores marginales cuando la escasez termine (tesis de UBS, septiembre de 2026) [23]. La tercera, el frenazo de la inversión de State Grid (+1 % en 7M26), que endurece los precios de licitación en China [23].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spacing w:after="100"/>
      </w:pPr>
      <w:r>
        <w:t xml:space="preserve">Crecimiento anual compuesto 2021-2025: ingresos </w:t>
      </w:r>
      <w:r>
        <w:rPr>
          <w:b/>
          <w:bCs/>
        </w:rPr>
        <w:t xml:space="preserve">25,5 %</w:t>
      </w:r>
      <w:r>
        <w:t xml:space="preserve">, EBITDA </w:t>
      </w:r>
      <w:r>
        <w:rPr>
          <w:b/>
          <w:bCs/>
        </w:rPr>
        <w:t xml:space="preserve">27,3 %</w:t>
      </w:r>
      <w:r>
        <w:t xml:space="preserve">, BPA </w:t>
      </w:r>
      <w:r>
        <w:rPr>
          <w:b/>
          <w:bCs/>
        </w:rPr>
        <w:t xml:space="preserve">26,4 %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8.695 M CNY en 2021 a 21.539 M en 2025 (+25,4 % anual) y el beneficio atribuido de 1.198 M a 3.150 M [1, 5]. El crecimiento es orgánico salvo 烯晶碳能 (2023, 77 M de ventas en su primer año) [3]. El margen EBITDA (con las diferencias de cambio y los rendimientos de la tesorería fuera) subió del 14,2 % de 2022 al 18,3 % de 2025 (17,3 % en 2021): el margen bruto de aparamenta (36,9 %) y transformadores (36,4 %) sostiene el grupo mientras EPC (11,8 %) y almacenamiento (11,7 %) lo diluyen [1]. El 1S26 mantiene el margen EBITDA (19,4 % frente al 19,1 % del 1S25), pero el beneficio atribuido solo crece un 13,2 % frente al 27,1 % de las ventas: 125 M más de pérdidas de cambio y la salida del 20 % de Sieyuan Toshiba hacia los minoritarios desde julio de 2026 [6, 9, 10, 14]. 2022 es el año flojo: la cuenta sufre 38 M de pérdidas de valor razonable y 105 M de deterioro de créditos.</w:t>
      </w:r>
    </w:p>
    <w:p>
      <w:pPr>
        <w:pStyle w:val="Heading2"/>
      </w:pPr>
      <w:r>
        <w:t xml:space="preserve">Ajustes y partidas no recurrentes</w:t>
      </w:r>
    </w:p>
    <w:p>
      <w:pPr>
        <w:spacing w:after="100"/>
      </w:pPr>
      <w:r>
        <w:t xml:space="preserve">Cifras reportadas en normas chinas (CAS). El EBIT y el EBITDA de este informe excluyen los gastos financieros netos (que en 2026 incluyen las diferencias de cambio), los ingresos de inversiones y los cambios de valor razonable de la tesorería: van al resultado financiero. Las subvenciones públicas (其他收益, 283 M en 2025, de ellas 184 M no recurrentes según la empresa) se quedan en el EBIT porque se repiten cada año (devolución del IVA del software y ayudas a la I+D) [1]. El único no recurrente relevante dentro del EBITDA es el deterioro del fondo de comercio de 烯晶碳能 de 107,5 M en 2024, que se devuelve al EBITDA de ese año [2]. Los no recurrentes declarados por la empresa sumaron 199 M en 2025 (6,3 % del beneficio)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Sieyuan no publica transcripciones; el contenido de las dos últimas presentaciones sale de las notas de los analistas que asistieron. Tras el 1S26 (avance del 10-jul y semestral del 14-ago), la dirección atribuyó la desaceleración del beneficio del 2T26 (+8 %) a las pérdidas de cambio (125 M más que en el 1S25, por las cuentas a cobrar en dólares) y a la salida del 20 % de Sieyuan Toshiba, y defendió que el 2S26 traerá entregas de pedidos de exportación de mayor margen [9, 15]. Los pasivos por contrato (anticipos) subieron a 3.829 M, un 22 % más que en marzo, y las existencias a 5.999 M (+19 %), señal de pedidos en curso [6, 14]. Los analistas preguntaron por la caída de las ventas de electrónica de potencia (−25 %) y por el peso de EPC y almacenamiento, de margen bajo, que subió 8,8 puntos hasta el 23,2 % de las ventas; Soochow rebajó su beneficio de 2026-2028 un 3-6 % por esa mezcla [14]. Frente a la presentación del 1T26 (abril), cuando el discurso era de «crecimiento de alta calidad» con la exportación al 86 %, el tono pasó a «perturbaciones a corto plazo». La dirección no ha cuantificado el efecto de la orden de EE. UU. del 26-ago sobre los equipos de alta tensión chinos ni ha dado fecha nueva para la salida a bolsa en Hong Kong.</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烯晶碳能 (supercondensadores, Wuxi), consolidada desde el 1-mar-2023 al pasar del 10 % al 51,2 % (617,98 M CNY en caja): fondo de comercio de 597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unos 7.300 M a junio de 2026 frente a 1.465 M de deuda y arrendamientos en 2021 [5, 6]. El circulante comercial (existencias, clientes y efectos, menos proveedores y efectos, más activos y menos pasivos por contrato) pasó de 2.347 M en 2024 a 3.775 M en 2025 (del 15,2 % al 17,5 % de las ventas): las cuentas a cobrar crecieron un 42 % con unas ventas +39 %, por la exportación y EPC, que cobran más tarde [1]. El deterioro de créditos subió a 209 M en 2025 (122 M en 2024). En el 1S26 las existencias (+47 % desde diciembre) y los anticipos (+29 %) crecen a la vez, típico de un fabricante bajo pedido antes de entregar.</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4.874</w:t>
      </w:r>
      <w:r>
        <w:t xml:space="preserve">, conversión </w:t>
      </w:r>
      <w:r>
        <w:rPr>
          <w:b/>
          <w:bCs/>
        </w:rPr>
        <w:t xml:space="preserve">53 %</w:t>
      </w:r>
      <w:r>
        <w:t xml:space="preserve"> del beneficio neto; adquisiciones 596, dividendos 1.499, recompras 0.</w:t>
      </w:r>
    </w:p>
    <w:p>
      <w:pPr>
        <w:spacing w:after="100"/>
      </w:pPr>
      <w:r>
        <w:t xml:space="preserve">La conversión en caja es irregular: el flujo operativo fue de 383 M en 2021 (32 % del beneficio) y de 2.234 M en 2025 (71 %), por el circulante que exige la exportación y EPC [1, 5]. El primer semestre siempre es negativo o pequeño (−713 M en el 1S25, +227 M en el 1S26) y el cuarto trimestre trae la mitad de la caja del año [1, 6]. El capex fue de 820 M en 2025 (3,8 % de las ventas) y de 458 M en el 1S26 (4,2 %): fábricas de transformadores y GIS en Nantong y Rugao, 600 M para aparamenta y 480 M para transformadores aprobados en junio de 2026, y no menos de 400 M para supercondensadores (julio) [6, 14]. Estimación propia: el mantenimiento ronda la amortización (≈ 1,5 % de las ventas) y el resto es crecimiento. La empresa no recompra (la recompra de 2025 quedó en cero) y reparte en torno al 20 % del beneficio [11, 16].</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Shanghai Certified Public Accountants (上会会计师事务所)</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2021-2025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auditor lleva 25 años seguidos, demasiados para la práctica internacional aunque la rotación de socios (dos años los actuales) cumple la norma china [1]. No hay cambios de criterio relevantes. La I+D se lleva a gastos casi entera (1.300 M en 2025, 6,0 % de las ventas) [1]. Los pagos en acciones (opciones de 2023 a 43,80 CNY) son pequeños frente al beneficio. El reconocimiento de ingresos es por entrega o aceptación del cliente y por avance en EPC; el riesgo está en los activos por contrato (1.662 M) y las cuentas a cobrar (8.793 M a junio de 2026), que crecen al ritmo de la exportación [6]. Las subvenciones (283 M) y la tesorería (79 M de ingresos) suman el 8 % del beneficio antes de impuestos de 2025. El tipo efectivo es bajo (12,4 %) por el régimen de alta tecnología (15 %) y la deducción adicional de la I+D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a cobrar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efectos +42 % en 2025 con ventas +39 %; deterioro de créditos de 209 M (1,0 % de las ventas)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25 años de continuidad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local de tamaño medio; opinión limpia y sin incidencias publicadas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Diferencia entre avance y semestral del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avance del 10-jul daba 1.487 M de beneficio atribuido y el semestral 1.464 M (−1,6 %) [6,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541 M en 2025 (el 8 % del capital invertido medio); ha subido más de un 5 % en 1 de 4 años: compra única grande. ROIC publicado 44,2 %; sin fondo de comercio, 47,8 %.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8,1 %.</w:t>
      </w:r>
    </w:p>
    <w:p>
      <w:pPr>
        <w:spacing w:after="100"/>
      </w:pPr>
      <w:r>
        <w:t xml:space="preserve">Crea valor con holgura y cada vez más. El ROIC del motor pasó del 20,8 % de 2022 al 44,2 % de 2025, frente a un WACC del 8,09 %: el margen EBIT subió del 12,8 % al 16,9 % y la rotación del capital invertido mejoró porque los anticipos de clientes (2.977 M en 2025) financian parte de las existencias [1]. El ROE es más bajo (22,6 % en 2025) porque el patrimonio incluye unos 7.300 M de caja neta que rinde menos del 2 %. El ROIC sin fondo de comercio (47,8 %) apenas cambia: la única compra relevante, 烯晶碳能, pesa poco [3]. El riesgo es que el ROIC de 2025 sea el de un pico de precios en las licitaciones; con el margen de 2022 (14,2 % de EBITDA) seguiría por encima del 20 %.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-6.787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tesorería de 3.677 M, activos financieros a valor razonable (depósitos estructurados y productos bancarios) de 4.209 M y certificados de depósito de 304 M: 8.190 M frente a 797 M de deuda bancaria y 58 M de arrendamientos [6]. Después del cierre se pagaron 547,7 M de dividendo (julio)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pensiones de prestación definida. Provisiones de 66 M (garantías de producto) y garantías bancarias de cumplimiento (保函) por los proyectos, habituales en el sector [1]. Efectos comerciales a pagar de 2.653 M y a cobrar de 838 M a 30-jun-2026: el circulante se apoya en papel comercial bancario, sin factoring sin recurso declarado relevante [6]. Pasivos por contrato (anticipos de clientes) de 3.829 M que se compensan con entregas: van al circulante, no a la deuda. Sieyuan Toshiba: Toshiba ejerció en julio de 2026 la opción del contrato de 2018 y compró el 20 % por 100 CNY; no queda otra opción de venta de minoritarios declarada [10].</w:t>
      </w:r>
    </w:p>
    <w:p>
      <w:pPr>
        <w:pStyle w:val="Heading1"/>
      </w:pPr>
      <w:r>
        <w:t xml:space="preserve">12. Asignación de capital</w:t>
      </w:r>
    </w:p>
    <w:p>
      <w:pPr>
        <w:pStyle w:val="Confianza"/>
        <w:spacing w:after="100"/>
      </w:pPr>
      <w:r>
        <w:t xml:space="preserve">Confianza: Alta</w:t>
      </w:r>
    </w:p>
    <w:p>
      <w:pPr>
        <w:spacing w:after="100"/>
      </w:pPr>
      <w:r>
        <w:t xml:space="preserve">Dividendo en efectivo una vez al año: 0,20 CNY por acción de 2021, 0,30 de 2022, 0,40 de 2023, 0,50 de 2024 y 0,70 de 2025 (547,7 M, el 17 % del beneficio), pagado en julio de 2026 [1, 11]. La recompra de 300-500 M aprobada en mayo de 2025 (precio máximo 109,45 CNY) terminó el 12-jun-2026 sin comprar una acción: primero por una inversión relevante en estudio y después porque la cotización superó el máximo [16]. Prioridad declarada: capacidad (aparamenta, transformadores, supercondensadores), red comercial internacional y la salida a bolsa en Hong Kong para financiar la expansión exterior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烯晶碳能电子科技无锡有限公司 (supercondensadores): del 10 % al 51,2 %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597 M; deterioro de 107,5 M en 2024 al no cumplir el plan. En 2025 el negocio de almacenamiento y componentes creció un 121 % y se abre al mercado de centros de datos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Changzhou Toshiba Shuden Transformer (90 %, hoy Sieyuan Toshiba)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simbólico (400 CNY) con opción de Toshiba de recomprar hasta el 30 %</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negocio de transformadores (4.633 M de ventas en 2025); Toshiba ejerció la opción en julio de 2026 y Sieyuan bajó al 70 % por 100 CNY [1, 10]</w:t>
            </w:r>
          </w:p>
        </w:tc>
      </w:tr>
    </w:tbl>
    <w:p>
      <w:pPr>
        <w:spacing w:after="160" w:before="0"/>
      </w:pPr>
    </w:p>
    <w:p>
      <w:pPr>
        <w:spacing w:after="100"/>
      </w:pPr>
      <w:r>
        <w:t xml:space="preserve">Asignación prudente: sin deuda, crecimiento orgánico con capex del 3-4 % de las ventas y una sola compra apreciable en diez años, que salió regular (deterioro del 18 % del fondo de comercio al año siguiente) [2]. El reparto es bajo (17-20 %) para una empresa con 7.300 M de caja neta; la recompra aprobada en 2025 no se ejecutó [16]. La salida a bolsa en Hong Kong (solicitud del 11-feb-2026, caducada sin renovar) habría diluido a los accionistas sin necesidad de caja [30].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Dong Zengping (董增平)</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1993; en la empresa desde entonces. Bajo su mando las ventas pasaron de 8.695 M (2021) a 21.539 M (2025) y la exportación del 16 % al 27 %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 Bangdong (陈邦栋)</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1993; fue presidente y director general; hoy vicepresidente sin cargo ejecutivo de primer nivel [1,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Zhihua (杨帜华)</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general adjunto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2000 (ventas); dirige filiales de aparamenta. Anunció la venta de 130.000 acciones en junio de 2026 y no vendió [25,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Zherong (杨哲嵘)</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octubre de 2020; firma las cuentas y lleva la relación con inversores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Zhang Liangdong (章良栋)</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adjunto, ventas internacionales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Sieyuan desde 2012 en el negocio exterior; con él la exportación pasó de 2.158 M (2023) a 5.803 M (2025). Vendió 20.000 acciones a 200,5 CNY el 22-jun-2026 [1,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10.000 M; ventas 8.500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10.369 M; ventas 8.695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11.900 M; ventas 10.000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12.122 M; ventas 10.537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15.800 M; ventas 12.600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16.513 M; ventas 12.460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20.600 M; ventas 15.000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21.457 M; ventas 15.458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26.800 M; ventas 18.500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28.891 M; ventas 21.539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37.500 M (+30 %); ventas 27.000 M (+25 %)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10.795 M (+27 %); pedidos no publicados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creíble: los dos fundadores dirigen desde 1993, la cúpula se renovó en junio de 2026 sin cambios en los puestos ejecutivos y la empresa cumplió o superó sus objetivos de pedidos en 2021-2025 (ventas, cuatro de cinco) [2, 4, 25]. Los objetivos son de pedidos y ventas, no de beneficio: la dirección no promete márgenes. No hay plan de sucesión público: el presidente es también consejero delegado y tiene 56 años [1]. Los directivos han vendido poco y a precios altos (20.000 acciones a 200,5 CNY); en la caída de agosto-octubre no hubo compras de directivos [27, 28].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Dong Zengping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 Bangdong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Zhihua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general adjunto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Qin Zhengyu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 de Shanghai Zijiang)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Qiu Yufeng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 Qian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Chen Shiyun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(presidenta, previsiblemente: la ley exige un independiente experto contable)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2021-2025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4,01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Dong Zengping (presidente y consejero delegado)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2024-2026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 Bangdong (vicepresidente)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 Kong Securities Clearing (inversores de Stock Connect)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Nominatario de inversores extranjeros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21,99 % a dic-2025 → 19,86 % a jun-2026 (−16,6 M acciones)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Xiaoqiang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 (exconsejero)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Fondos índice CSI 300 (Huatai-PineBridge, E Fund, ChinaAMC)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recompra de 2025 no compró acciones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Zhang Liangdong (director general adjunto)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presidente y consejero delegado cobró 5,80 M CNY en 2025; el conjunto del consejo y la alta dirección, 21,3 M [1]. El variable se fija con un «contrato de resultados» anual (PPC) por KPI que la empresa no detalla, sin diferimiento ni cláusula de recuperación [1]. El incentivo a largo plazo son opciones (plan de 2023, 445 beneficiarios, precio de ejercicio de 43,80 CNY) con objetivos de crecimiento de ventas o beneficio, no de ROIC ni de rentabilidad para el accionista [1]. En China la remuneración de los directivos no se vota; la junta del 26-jun-2026 aprobó la retribución de los consejeros con el 96,6 % a favor y un 0,01 % en contra [26].</w:t>
      </w:r>
    </w:p>
    <w:p>
      <w:pPr>
        <w:pStyle w:val="Heading2"/>
      </w:pPr>
      <w:r>
        <w:t xml:space="preserve">Operaciones vinculadas, estructura de control y defensas</w:t>
      </w:r>
    </w:p>
    <w:p>
      <w:pPr>
        <w:spacing w:after="100"/>
      </w:pPr>
      <w:r>
        <w:t xml:space="preserve">Los dos fundadores suman el 29,1 % y el presidente es el accionista de control declarado; no hay pacto parasocial publicado entre ellos [1]. Una acción, un voto; sin clases. Las operaciones vinculadas son pequeñas y no hay uso de fondos por el accionista [1]. La salida a bolsa en Hong Kong (plan de diciembre de 2025, solicitud del 11-feb-2026) habría añadido una clase H; la solicitud no figura entre las activas de HKEX en octubre de 2026 (caduca a los seis meses) y la empresa no ha anunciado una nueva [29, 30, 31]. El 19,9 % en manos de inversores de Stock Connect es el mayor bloque libre y el más volátil: vendió 16,6 M acciones en el 1S26 [6].</w:t>
      </w:r>
    </w:p>
    <w:p>
      <w:pPr>
        <w:pStyle w:val="Heading2"/>
      </w:pPr>
      <w:r>
        <w:t xml:space="preserve">Señales de alerta</w:t>
      </w:r>
    </w:p>
    <w:p>
      <w:pPr>
        <w:pStyle w:val="ListParagraph"/>
        <w:numPr>
          <w:ilvl w:val="0"/>
          <w:numId w:val="2"/>
        </w:numPr>
        <w:spacing w:after="60"/>
      </w:pPr>
      <w:r>
        <w:t xml:space="preserve">Presidente y consejero delegado a la vez y accionista de control; sin consejero coordinador [1].</w:t>
      </w:r>
    </w:p>
    <w:p>
      <w:pPr>
        <w:pStyle w:val="ListParagraph"/>
        <w:numPr>
          <w:ilvl w:val="0"/>
          <w:numId w:val="2"/>
        </w:numPr>
        <w:spacing w:after="60"/>
      </w:pPr>
      <w:r>
        <w:t xml:space="preserve">Auditor local con 25 años seguidos [1].</w:t>
      </w:r>
    </w:p>
    <w:p>
      <w:pPr>
        <w:pStyle w:val="ListParagraph"/>
        <w:numPr>
          <w:ilvl w:val="0"/>
          <w:numId w:val="2"/>
        </w:numPr>
        <w:spacing w:after="60"/>
      </w:pPr>
      <w:r>
        <w:t xml:space="preserve">Ventas de directivos en junio de 2026 a 200,5 CNY (pequeñas: 20.000 acciones) [27].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de 2026 publicados con las cuentas de 2025 (17-abr-2026): pedidos de 37.500 M CNY sin IVA (+30 %) y ventas de 27.000 M (+25 %), sin objetivo de beneficio [1, 6]. No los ha cambiado en el semestral del 14-ago: las ventas del 1S26 (10.795 M, +27 %) van en línea con el objetivo, el 40 % del año, como en 2025 (39 %) [6]. No hay plan a medio plazo publicado; el plan de la salida a bolsa en Hong Kong hablaba de financiar la capacidad exterior.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19-oct-2026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46.216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142,00 – 266,00</w:t>
            </w:r>
          </w:p>
        </w:tc>
      </w:tr>
    </w:tbl>
    <w:p>
      <w:pPr>
        <w:spacing w:after="160" w:before="0"/>
      </w:pPr>
    </w:p>
    <w:p>
      <w:pPr>
        <w:pStyle w:val="Heading2"/>
      </w:pPr>
      <w:r>
        <w:t xml:space="preserve">Revisiones de estimaciones</w:t>
      </w:r>
    </w:p>
    <w:p>
      <w:pPr>
        <w:spacing w:after="100"/>
      </w:pPr>
      <w:r>
        <w:t xml:space="preserve">Las estimaciones bajan desde abril: el BPA de 2026e de Soochow pasó de 5,89 (19-abr) a 5,37 (14-jul) y 5,20 (17-ago); el de Sinolink, de 5,90 a 5,29; el de 2027e, de 8,16-8,25 a 7,10-7,66 [14, 35]. Motivos: pérdidas de cambio, la mezcla de EPC y almacenamiento de margen bajo y la salida del 20 % de Sieyuan Toshiba [14, 15]. El 21-sep UBS rebajó a neutral con objetivo de 142 CNY y recortó el beneficio del sector en 2026-2028 entre un 3 % y un 66 % [23]. Recomendaciones por tipo: estimación propia a partir de las notas de Eastmoney (todas compra o sobreponderar salvo UBS) [35]. Solo MarketScreener da el consenso completo; Yahoo (5 analistas) da 5,11 para 2026e y 6,77 para 2027e [38].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Sieyuan multiplicó su precio por cinco en cinco años (+26,9 % anual con dividendos frente al −1,3 % del CSI 300) gracias a un beneficio que creció un 27 % anual [33]. 2025 fue el año fuerte (+114 %): exportación +86 % y beneficio +54 % [33]. En 2026 va −18,7 % (CSI 300 −8,5 %): tras tocar 239,12 CNY el 6-mar, perdió casi la mitad por la desaceleración del beneficio del 2T26, la orden ejecutiva de EE. UU. del 26-ago y la rebaja de UBS del 21-sep [23, 33]. El ETF de equipos de red (159326.SZ) está plano en el año: la caída es sobre todo de Sieyuan y de los exportadores [33]. La beta de 5 años (0,69) subestima el riesgo de hoy: la semanal de 2 años es 1,09 [33].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 -22,8 % / -40,5 % / +19,7 %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-46,4 % / +21,7 %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resultados de 2025 (16-ene): beneficio +54 %; dos límites al alza (16 y 19-ene, +20,62 % acumulado) y aviso de volatilidad anormal sin hechos ocultos [43,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 216 CNY (1-jun) a 173 CNY (30-jun): recogida de beneficios en el sector tras la junta, ventas anunciadas de directivos (aviso del 24-jun) y temor a una salida a bolsa en Hong Kong con descuento [23,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1S26 (10-jul): beneficio solo +15 % por pérdidas de cambio y la salida del 20 % de Sieyuan Toshiba [9,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183,15 (17-ago, tras el semestral) a 143,18 (28-ago): límite a la baja el 27-ago, día siguiente a la orden ejecutiva 14420 de EE. UU. que permite excluir transformadores e interruptores chinos de 69 kV o más; todo el sector cayó (Jinpan y Mingyang −7 %) [18, 41,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 de UBS a neutral (21-sep, objetivo 142 CNY: nueva capacidad occidental, riesgo de la UE e inversión de State Grid +1 % en 7M26); −7,55 % el 22-sep con salida de 3.090 M de fondos institucionales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3T26 previsto el 24-oct-2026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DOE de EE. UU. debe publicar antes del 24-dic-2026 las reglas de la orden 14420 (exclusión de equipos de alta tensión de 24 países)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ya supone EE. UU. cerrado; se revisaría si la UE adopta una medida similar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rebaja de compra a neutral con objetivo de 142 CNY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solicitud de salida a bolsa en Hong Kong (11-feb-2026) caducó sin renovar; la junta de diciembre de 2025 aprobó el plan y podría volver a presentarse (dilución de una ampliación H) [30,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nueva solicitud con descuento sobre la A abriría un retraso hasta fijar el precio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20.000 acciones a 200,5 CNY el 22-jun (Zhang Liangdong); Yang Zhihua no ejecutó su plan de 130.000 (vence el 15-oct) [27,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Toshiba ejerce la opción de 2018 y sube al 30 % de Sieyuan Toshiba por 100 CNY: el beneficio atribuido pierde el 20 % del de esa filial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caída del 48 % desde el máximo intradía de 239,12 CNY (6-mar) hasta 125,10 tiene tres causas con fecha: un beneficio del 2T26 que solo creció un 8 % (cambio y Toshiba), la orden ejecutiva de EE. UU. del 26-ago y la rebaja de UBS del 21-sep, con el inversor de Stock Connect vendiendo [9, 18, 23, 33]. Todas están ya en el caso base (exportación más lenta, margen estable, 70 % de Sieyuan Toshiba). No hay colocaciones, ampliaciones con fecha ni litigios pendientes; la salida a bolsa en Hong Kong está parada. El 3T26 (24-oct) puede mover el precio, pero los resultados cercanos no retrasan una decisión (regla 11).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año y el beneficio de los doce meses anteriores, Sieyuan cotizó en 2022-2024 entre 24 y 28 veces y en 2021 a 31 veces (año de burbuja del sector, excluido) [33]. A 125,10 CNY cotiza a unas 23 veces el beneficio LTM y a unas 25 veces nuestro beneficio de 2026e: por debajo de su historia y del cierre de 2025 (39 veces). El cambio estructural es doble: el crecimiento exterior que justificó la prima de 2025 está en duda por la orden de EE. UU., y el tipo chino a 10 años está en el 1,65 %, que sostiene múltiplos altos [18, 36].</w:t>
      </w:r>
    </w:p>
    <w:p>
      <w:pPr>
        <w:pStyle w:val="Heading1"/>
      </w:pPr>
      <w:r>
        <w:t xml:space="preserve">18. Comparables cotizados</w:t>
      </w:r>
    </w:p>
    <w:p>
      <w:pPr>
        <w:pStyle w:val="Confianza"/>
        <w:spacing w:after="100"/>
      </w:pPr>
      <w:r>
        <w:t xml:space="preserve">Confianza: Media</w:t>
      </w:r>
    </w:p>
    <w:p>
      <w:pPr>
        <w:spacing w:after="100"/>
      </w:pPr>
      <w:r>
        <w:t xml:space="preserve">Fabricantes de equipos de alta tensión y de redes: cuatro estatales chinos que compiten con Sieyuan en las licitaciones de State Grid (XD, Pinggao, XJ, NARI), dos privados chinos (Jinpan, Huaming), TBEA, tres coreanos que ganan cuota en EE. UU. (HD Hyundai Electric, Hyosung Heavy, LS Electric) y Siemens Energy. Fuera GE Vernova: su EBITDA de los últimos doce meses (7 %) y un BPA estimado que baja de 2026 a 2027 por partidas extraordinarias distorsionan los múltiplos. Hitachi no entra: Hitachi Energy es una parte del conglomerado. Todas las cifras de Yahoo al 19-oct-2026, en millones de CNY al cambio del día; EV/EBITDA NTM sin dato gratuito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Sieyuan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XJ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Pinggao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XD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TBEA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NARI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Jinpan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Huaming Equipment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Hyosung Heavy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Siemens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840.866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16,7x / 19,9x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 / 18,6x / 22,2x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2,6x / 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Sieyuan cotiza a 3,9 veces ventas y 21,6 veces el EBITDA LTM, con el mejor margen EBITDA de los chinos generalistas (18 % frente al 10-17 %) y un ROIC del 20 % [38]. Los estatales chinos cotizan a 15-30 veces el BPA NTM con crecimientos del 18-24 %; los coreanos, a 16-34 veces con crecimientos del 24-35 % y acceso a EE. UU. [38]. La prima de Sieyuan en EV/EBITDA frente a los chinos se justifica por margen y ROIC; frente a los coreanos no, porque ellos tienen la puerta de EE. UU. abierta. El PER es el múltiplo útil (la caja neta distorsiona el EV de las estatales).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medio cerrado (+24 %): ventas del 1S26 de 10.795 M (+27 %) y objetivo de la empresa de 27.000 M, con pedidos objetivo de 37.500 M (+30 %) [6]. Después frena: +20 % en 2027e, +15 % en 2028e y del 10 % al 5 % hasta 2031e, por debajo del consenso (+29 % y +27 %) porque la red china crece al 1-5 % y EE. UU. se cierra; el crecimiento sale de la exportación (29,5 % de las ventas del 1S26) y de la cuota en China [6, 18, 23, 34].</w:t>
      </w:r>
    </w:p>
    <w:p>
      <w:pPr>
        <w:keepNext/>
        <w:spacing w:after="100"/>
      </w:pPr>
      <w:r>
        <w:rPr>
          <w:b/>
          <w:bCs/>
        </w:rPr>
        <w:t xml:space="preserve">Márgenes.</w:t>
      </w:r>
    </w:p>
    <w:p>
      <w:pPr>
        <w:spacing w:after="100"/>
      </w:pPr>
      <w:r>
        <w:t xml:space="preserve">El margen EBITDA fue del 17,3 % en 2021, el 14,2 % en 2022, el 15,6 % en 2023, el 17,5 % en 2024 (sin el deterioro del fondo de comercio), el 18,3 % en 2025 y el 19,4 % en el 1S26 [1, 6]. Lo dejo en el 18,8 % en 2026e (exportación de más margen en el 2S) y lo bajo tres décimas al año hasta el 17,5 % en 2031e: la escasez de transformadores que permitió subir precios en 2024-2025 se irá cerrando con la capacidad nueva en Corea, Europa y EE. UU. [23].</w:t>
      </w:r>
    </w:p>
    <w:p>
      <w:pPr>
        <w:keepNext/>
        <w:spacing w:after="100"/>
      </w:pPr>
      <w:r>
        <w:rPr>
          <w:b/>
          <w:bCs/>
        </w:rPr>
        <w:t xml:space="preserve">Inversión y circulante.</w:t>
      </w:r>
    </w:p>
    <w:p>
      <w:pPr>
        <w:spacing w:after="100"/>
      </w:pPr>
      <w:r>
        <w:t xml:space="preserve">Capex del 4,5 % de las ventas en 2026e (fábricas de aparamenta y transformadores aprobadas en junio por 1.080 M y la de supercondensadores) que baja al 2,5 % en 2031e, por encima de la amortización (1,5-2,0 %) [6, 14]. El circulante comercial se queda en el 17 % de las ventas, como en 2025 (17,5 %), sin suponer mejoras [1].</w:t>
      </w:r>
    </w:p>
    <w:p>
      <w:pPr>
        <w:keepNext/>
        <w:spacing w:after="100"/>
      </w:pPr>
      <w:r>
        <w:rPr>
          <w:b/>
          <w:bCs/>
        </w:rPr>
        <w:t xml:space="preserve">Coste del capital.</w:t>
      </w:r>
    </w:p>
    <w:p>
      <w:pPr>
        <w:spacing w:after="100"/>
      </w:pPr>
      <w:r>
        <w:t xml:space="preserve">Tasa libre del 1,6497 % (bono chino a 10 años, ChinaBond, 19-oct-2026) en CNY, la divisa de los flujos [36]. Beta de 1,0: la mensual de cinco años frente al CSI 300 es de 0,69, la semanal de dos años de 1,09 y la ajustada de 0,79; uso 1,0 porque la volatilidad de 2026 (54 % anualizada) y la exposición a la exportación hacen poco creíble una beta inferior a la del mercado [33]. Prima de mercado del 5,5 % y prima adicional del 1,0 % por riesgo de China y de acceso a mercados. Coste de la deuda del 2,5 % y peso de la deuda del 1 % (797 M de préstamos frente a 98.404 M de capitalización) [6]. WACC del 8,09 %.</w:t>
      </w:r>
    </w:p>
    <w:p>
      <w:pPr>
        <w:keepNext/>
        <w:spacing w:after="100"/>
      </w:pPr>
      <w:r>
        <w:rPr>
          <w:b/>
          <w:bCs/>
        </w:rPr>
        <w:t xml:space="preserve">Valor terminal.</w:t>
      </w:r>
    </w:p>
    <w:p>
      <w:pPr>
        <w:spacing w:after="100"/>
      </w:pPr>
      <w:r>
        <w:t xml:space="preserve">Crecimiento a perpetuidad del 1,0 % en CNY: con el bono a 10 años al 1,65 %, el techo de la regla (tasa libre menos medio punto) es el 1,15 % [36]. Gordon con un WACC del 8,09 % es coherente con un fabricante de equipos maduro; el valor terminal pesa el 74 %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7.306 M (23 %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 (ROIC 44,2 %)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 frente al 13,5 %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2031e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(hoy: 0,8 %)</w:t>
            </w:r>
          </w:p>
        </w:tc>
      </w:tr>
    </w:tbl>
    <w:p>
      <w:pPr>
        <w:spacing w:after="160" w:before="0"/>
      </w:pPr>
    </w:p>
    <w:p>
      <w:pPr>
        <w:spacing w:after="100"/>
      </w:pPr>
      <w:r>
        <w:t xml:space="preserve">La proyección reinvierte el 23 % del NOPAT. Con el ROIC del último ejercicio (44,2 %), eso financia un crecimiento del 10,3 % anual, frente al 13,5 % de ingresos proyectado. Supone que el capital nuevo rinde un 38,6 %; la cuota de mercado pasaría al 1,3 % desde el 0,8 %.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pedidos de 2025 de 28.891 M y objetivo de 37.500 M en 2026; ventas del 1S26 +27 %. Precio ligeramente a la baja en China (licitaciones de State Grid) y efecto de cambio negativo [1,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 los pedidos de exportación de 2026 (Europa, Oriente Medio, Latinoamérica) y de las fábricas nuevas de aparamenta y transformadores; EE. UU. fuera [6,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Exportación y ultra alta tensión en China; el precio cede a medida que entra capacidad nueva en el mundo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Convergencia hacia el crecimiento de la inversión mundial en redes (5 % anual entre 2025 y 2031e según la serie de la IEA) con ganancia de cuota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cercano al del mercado; precio unitario a la baja [1].</w:t>
            </w:r>
          </w:p>
        </w:tc>
      </w:tr>
    </w:tbl>
    <w:p>
      <w:pPr>
        <w:spacing w:after="160" w:before="0"/>
      </w:pPr>
    </w:p>
    <w:p>
      <w:pPr>
        <w:spacing w:after="100"/>
      </w:pPr>
      <w:r>
        <w:t xml:space="preserve">Sí. El crecimiento proyectado (13,5 % anual) pide reinvertir el 23 % del NOPAT; con el ROIC de 2025 (44,2 %) eso financia un 10,3 % anual, y el resto exige que el capital nuevo rinda un 38,6 %, por debajo del 44,2 % actual y por encima del ROIC de 2021-2023 (19-27 %): exigente pero coherente con la mejora de márgenes que ya se ha producido. La cuota implícita pasa del 0,8 % al 1,3 % de la inversión mundial en redes en 2031e: 1,6 veces la actual, por encima del límite relativo de 1,5 veces, aunque dentro del margen absoluto de 10 puntos del motor. La considero alcanzable porque parte de las ventas (almacenamiento, supercondensadores, electrónica del automóvil, un 7 %) no es inversión en redes y porque la exportación (29,5 % de las ventas) crece sobre una base pequeña, pero es el punto más exigente del caso base [1, 6].</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(2027e-2031e)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 (base: 11,4 %)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 (base: 17,5 %)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(WACC: 8,1 %)</w:t>
            </w:r>
          </w:p>
        </w:tc>
      </w:tr>
    </w:tbl>
    <w:p>
      <w:pPr>
        <w:spacing w:after="160" w:before="0"/>
      </w:pPr>
    </w:p>
    <w:p>
      <w:pPr>
        <w:spacing w:after="100"/>
      </w:pPr>
      <w:r>
        <w:t xml:space="preserve">El DCF da 96,30 CNY por acción, un 23,0 % menos que el precio, con un WACC del 8,09 % y un crecimiento terminal del 1 %; el valor terminal pesa el 74 %. El DCF inverso dice que el precio de 125,10 CNY descuenta un crecimiento del 22,1 % anual en 2027-2031e frente a nuestro 11,4 %, o un margen EBITDA terminal del 22 % frente a nuestro 17,5 %, y una rentabilidad implícita del 6,4 %, por debajo del WACC. Frente a la historia, nuestro base no es pesimista: Sieyuan creció un 25,4 % anual en 2021-2025, pero con la red china en expansión y EE. UU. abierto; ninguna de las dos cosas sigue igual.</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publica en diciembre reglas que excluyen los equipos chinos y Europa lo imita en parte; State Grid mantiene la inversión plana y las licitaciones bajan de precio: el crecimiento queda 6 puntos por debajo del base cada año (+14 % en 2027e) y el margen EBITDA 2,5 puntos más bajo, como en 2022 [1, 18, 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exportación a Europa, Oriente Medio y emergentes compensa una red china que crece poco: ventas +20 % en 2027e y +15 % en 2028e, margen EBITDA del 18,2 % en 2028e que baja al 17,5 % en 2031e.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demanda de redes de los centros de datos y la falta de transformadores en Europa duran más, y Sieyuan cumple las cifras que espera el consenso: crecimiento 5 puntos mayor cada año y margen 1,5 puntos más alto [1,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NY) · precio actual 125,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94,83 CNY (-24,2 %).</w:t>
      </w:r>
    </w:p>
    <w:p>
      <w:pPr>
        <w:spacing w:after="100"/>
      </w:pPr>
      <w:r>
        <w:t xml:space="preserve">La asimetría es desfavorable: el alcista (120,74 CNY, −3,5 %) no llega al precio y el bajista (65,96 CNY, −47,3 %) pierde casi la mitad, con probabilidades de 25/50/25. El bajista no es extremo: crecimiento 6 puntos menor y margen 2,5 puntos más bajo, como en 2022 [1]. El alcista supone un crecimiento cercano al del consenso. El valor ponderado de los escenarios (94,83 CNY) queda un 24,2 % por debajo del precio.</w:t>
      </w:r>
    </w:p>
    <w:p>
      <w:pPr>
        <w:pStyle w:val="Heading1"/>
      </w:pPr>
      <w:r>
        <w:t xml:space="preserve">22. Suma de partes</w:t>
      </w:r>
    </w:p>
    <w:p>
      <w:pPr>
        <w:pStyle w:val="Confianza"/>
        <w:spacing w:after="100"/>
      </w:pPr>
      <w:r>
        <w:t xml:space="preserve">Confianza: Media</w:t>
      </w:r>
    </w:p>
    <w:p>
      <w:pPr>
        <w:spacing w:after="100"/>
      </w:pPr>
      <w:r>
        <w:t xml:space="preserve">No aplica: las seis líneas comparten clientes (redes y eléctricas), licitaciones y fábricas, y la empresa solo publica ventas y margen bruto por producto, sin resultado operativo por línea [1]. Almacenamiento y supercondensadores (7 % de las ventas de 2025) no tienen un valor separable con referencia de mercado.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NY) · precio actual 125,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101,38 CNY (-19,0 % sobre 125,10).</w:t>
      </w:r>
    </w:p>
    <w:p>
      <w:pPr>
        <w:spacing w:after="100"/>
      </w:pPr>
      <w:r>
        <w:t xml:space="preserve">Pesos: DCF 50 %, escenarios 30 % y comparables 20 %. El DCF y los escenarios recogen el crecimiento, los márgenes y la caja; los comparables pesan menos porque mezclan estatales chinas con márgenes de la mitad (XJ, Pinggao, TBEA) y coreanas con acceso a EE. UU. (HD Hyundai, Hyosung, LS) [38]. Sin transacciones con múltiplo publicado y sin suma de partes. El PER de los próximos doce meses de los comparables da 123,88 CNY (con el BPA del consenso) y el EV/EBITDA de los últimos doce meses 102,09 CNY, por encima del DCF (96,30): el mercado paga a todo el sector por un crecimiento que nuestro DCF no da. El puente parte de la caja de junio de 2026 (8.190 M) y resta el dividendo pagado en julio (548 M) como otro ajuste [6, 11].</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(21.7x) a mitad de camino hacia abajo, hacia la mediana de 5 años (19.3x)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r>
    </w:tbl>
    <w:p>
      <w:pPr>
        <w:spacing w:after="160" w:before="0"/>
      </w:pPr>
    </w:p>
    <w:p>
      <w:pPr>
        <w:spacing w:after="100"/>
      </w:pPr>
      <w:r>
        <w:rPr>
          <w:b/>
          <w:bCs/>
        </w:rPr>
        <w:t xml:space="preserve">Objetivo a 12 meses (ponderado):</w:t>
      </w:r>
      <w:r>
        <w:t xml:space="preserve"> 128,43 CNY · rentabilidad +3,2 % (base +6,1 %) · señal Mantener.</w:t>
      </w:r>
    </w:p>
    <w:p>
      <w:pPr>
        <w:spacing w:after="100"/>
      </w:pPr>
      <w:r>
        <w:t xml:space="preserve">Para comparar, con la regla v2 (historia al cierre, mismo precio): 18,5x / 21,7x / 28,2x, 17,7 %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(5,76) queda un 18 % por debajo del consenso (7,03) y el de 2028e (6,44), un 29 % por debajo (9,01) [34]. La diferencia es de ventas, no de margen: el consenso espera 36.420 M en 2027e y 46.216 M en 2028e (+29 % anual), con un margen EBITDA del 18,8-18,9 %; nosotros 32.050 M y 36.858 M con un margen del 18,5 % y el 18,2 %. Frenamos más porque la red china crece al 1-5 %, EE. UU. se cierra y la propia empresa solo espera +25 % de ventas en 2026 [6, 18, 23]. El precio base (132,02 CNY) queda un 37 % por debajo del objetivo medio de los analistas (209,54), que llevan seis meses recortando [35].</w:t>
      </w:r>
    </w:p>
    <w:p>
      <w:pPr>
        <w:keepNext/>
        <w:spacing w:after="100"/>
      </w:pPr>
      <w:r>
        <w:rPr>
          <w:b/>
          <w:bCs/>
        </w:rPr>
        <w:t xml:space="preserve">Del valor intrínseco al objetivo a 12 meses.</w:t>
      </w:r>
    </w:p>
    <w:p>
      <w:pPr>
        <w:spacing w:after="100"/>
      </w:pPr>
      <w:r>
        <w:t xml:space="preserve">El objetivo a 12 meses (ponderado 128,43 CNY; base 132,02) apenas supera el precio: rentabilidad del 3,2 % ponderada y del 6,1 % en el base, con el dividendo. El PER actual (21,7 veces nuestro BPA de 2027e) ya está por encima de la mediana adelantada de 2022-2025 (19,3), así que el base no gana por múltiplo: todo sale del crecimiento del beneficio (+12 % de 2027e a 2028e). El valor intrínseco (101,38 CNY) queda por debajo del precio, lo que impide comprar aunque el objetivo a 12 meses fuera mejor. El control v2 (PER al cierre, mediana de 26,7 veces) daría un base más alto, pero esa historia mide años de beneficio creciente al 30 % y el selector no la elige.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margen y anticipos del trimestre; el 2T26 creció un 8 % en beneficio y los analistas esperan el 2S de entregas de exportación [15,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del 24-dic-2026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Reglas del DOE de la orden 14420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Concretan la exclusión de los equipos chinos de 69 kV o más en EE. UU.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Licitaciones centralizadas de State Grid y presupuesto de inversión de la red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volumen de la aparamenta y los transformadores en China [23]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dividendo y objetivos de pedidos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pedidos marca el crecimiento de 2027-2028 (2026: 37.500 M, +30 %)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solicitud de salida a bolsa en Hong Kong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Dilución y posible descuento de la acción H [29,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Exclusión de los equipos chinos de alta tensión en EE. UU. y contagio a la 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−30 % (escenario bajista: 65,96 CNY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exportación (29,5 % de las ventas del 1S26) va sobre todo a Europa, Oriente Medio, África y Latinoamérica; fábricas fuera de China en estudio [6,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Reglas del DOE (antes del 24-dic-2026) o una propuesta de la UE sobre equipos de red de países de alto riesgo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la inversión de State Grid y guerra de precios en las licitaciones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2 puntos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Ultra alta tensión y red de Southern Grid, donde Sieyuan gana cuota; pedidos de 2025 de 28.891 M [1,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grupo por debajo del 28 % en un trimestre (30,2 % en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 escasez mundial de transformadores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aparamenta (GIS) pesa más que los transformadores (8.935 M frente a 4.633 M en 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margen bruto de transformadores por debajo del 32 % (36,4 % en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Yuan fuerte y pérdidas de cambio por las cuentas a cobrar en dólares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parciales y caja neta de ≈ 7.300 M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de cambio por encima de 200 M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y cobro de la exportación y el EPC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de clientes de 3.829 M y clientes muy repartidos (el mayor, 2,4 % de las ventas)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créditos por encima de 300 M al año (209 M en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continuada del inversor de Stock Connect y nueva salida a Hong Kong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en el precio, sin efecto en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necesita la caja; la solicitud de Hong Kong caducó [6, 30,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HKSCC por debajo del 17 % o nueva solicitud en HKEX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y concentración del poder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Fundadores en el cargo desde 1993, equipo directivo estable [1, 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presidente o venta de los fundadores (aviso de venta en CNINFO) [32]</w:t>
            </w:r>
          </w:p>
        </w:tc>
      </w:tr>
    </w:tbl>
    <w:p>
      <w:pPr>
        <w:spacing w:after="160" w:before="0"/>
      </w:pPr>
    </w:p>
    <w:p>
      <w:pPr>
        <w:pStyle w:val="Heading2"/>
      </w:pPr>
      <w:r>
        <w:t xml:space="preserve">Pre-mortem</w:t>
      </w:r>
    </w:p>
    <w:p>
      <w:pPr>
        <w:spacing w:after="100"/>
      </w:pPr>
      <w:r>
        <w:t xml:space="preserve">Octubre de 2029: Sieyuan vale un 40 % menos. Lo que pasó: el DOE publicó en diciembre de 2026 reglas que excluían los equipos chinos de 69 kV o más, y en 2027 la UE aprobó un régimen parecido para los equipos de red «de alto riesgo». Los pedidos de exportación, que eran la mitad del crecimiento, se quedaron en Oriente Medio, África y Latinoamérica, donde compiten el resto de fabricantes chinos. En China, State Grid mantuvo la inversión plana y las licitaciones bajaron de precio; a la vez, la capacidad nueva de transformadores en Corea, Europa y EE. UU. acabó con la escasez. El margen EBITDA volvió al 14 % de 2022 y el mercado pasó a pagar 15 veces el beneficio, como a XJ Electric. Lo que habríamos visto antes: el margen bruto trimestral bajando del 28 % y los pedidos de exportación creciendo menos que las ventas.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+0 % a +5 %</w:t>
      </w:r>
    </w:p>
    <w:p>
      <w:pPr>
        <w:spacing w:after="100"/>
      </w:pPr>
      <w:r>
        <w:t xml:space="preserve">Sieyuan vende equipos físicos de alta tensión fabricados bajo pedido: la IA no sustituye el producto, el cliente (eléctricas por licitación) ni la fabricación. Le favorece por la demanda: los centros de datos de IA tiran de la inversión en redes en EE. UU., Europa y China, y la empresa ya vende supercondensadores y transformadores a ese segmento, que Soochow cita como segundo motor de crecimiento [1, 14]. Le perjudica poco: la IA puede abaratar el diseño de protección y automatización (12 % de las ventas), donde la empresa compite con software. La oportunidad está limitada porque EE. UU., el mayor mercado de centros de datos, le cierra la puerta [18]. Señal: pedidos de centros de datos con cifra en los informes semestrales.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2026-04</w:t>
            </w:r>
          </w:p>
        </w:tc>
      </w:tr>
    </w:tbl>
    <w:p>
      <w:pPr>
        <w:spacing w:after="160" w:before="0"/>
      </w:pPr>
    </w:p>
    <w:p>
      <w:pPr>
        <w:pStyle w:val="Heading2"/>
      </w:pPr>
      <w:r>
        <w:t xml:space="preserve">Asuntos materiales</w:t>
      </w:r>
    </w:p>
    <w:p>
      <w:pPr>
        <w:spacing w:after="100"/>
      </w:pPr>
      <w:r>
        <w:t xml:space="preserve">Lo más material: el SF6 (gas con un potencial de calentamiento de miles de veces el CO₂) en la aparamenta de alta tensión; Sieyuan ya vende interruptores con mezcla de SF6 y nitrógeno al 30/70 y otros con aire seco [22]. Las emisiones propias son pequeñas: 73.500 t de CO₂e en 2025, el 94 % de electricidad comprada [22]. Seguridad laboral: sin accidentes mortales; 368 días perdidos por lesiones en 2025 [22]. El negocio es en sí un habilitador de la transición: redes, almacenamiento y compensación para renovables [1].</w:t>
      </w:r>
    </w:p>
    <w:p>
      <w:pPr>
        <w:pStyle w:val="Heading2"/>
      </w:pPr>
      <w:r>
        <w:t xml:space="preserve">Controversias</w:t>
      </w:r>
    </w:p>
    <w:p>
      <w:pPr>
        <w:spacing w:after="100"/>
      </w:pPr>
      <w:r>
        <w:t xml:space="preserve">No se encuentran sanciones ni litigios relevantes en 2023-2026: el informe anual declara una situación de integridad buena de la empresa y del accionista de control, y el informe de sostenibilidad no recoge incidentes graves [1, 22]. El riesgo reputacional viene de la geopolítica (orden ejecutiva de EE. UU.), no de conductas propias [18].</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y de los pedidos de 2025-2026 va a EE. UU. o a clientes que reexportan allí, y qué plan hay si el DOE excluye los equipos chinos de 69 kV o más?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desglosa EE. UU.; es la diferencia entre el base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2026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van los pedidos frente al objetivo de 37.500 M y qué parte es exportación?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de 2027e (+20 %) depende de ellos.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licitación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han evolucionado los precios de GIS y transformadores en las licitaciones de State Grid de 2026 frente a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 2025 puede ser un pico.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Sieyuan Toshiba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beneficio aportaba Sieyuan Toshiba y por qué no se renegoció la opción de Toshiba (20 % por 100 CNY)?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parte de la desaceleración del beneficio atribuido en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 Kong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volverá a pedir la salida a bolsa en Hong Kong y para qué, con 7.300 M de caja neta?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sin necesidad de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Reparto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dividendo se queda en el 17 % del beneficio y la recompra de 2025 no se ejecutó?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neta crece y rinde menos del 2 %.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Capacidad exterior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¿Habrá fábricas fuera de China (Europa, Oriente Medio, México) para sortear restricciones de origen?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defensa frente al proteccionismo.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de Eastmoney (foro de 002028)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atrapados a 140-220 CNY que hablan de recuperar lo perdido; culpan al inversor extranjero de Stock Connect («el gran bajista del norte») de la caída y celebran el rebote del 19-oct (+6 %) como «rebote técnico»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de Eastmoney (hilos sectoriales)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si el ciclo de los equipos de red ha llegado a su punto alto y sobre un posible alivio de la prohibición de EE. UU.; algunos esperan buenos resultados del 3T26 porque los directivos no vendieron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Fenghuang Finance (artículo y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rebaja de UBS se lee como el final de la tesis de exportación; los minoristas compraron casi 6.000 M en dos días mientras salían los institucionales [23].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Sohu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caída del año (−20 %) y de los últimos 60 días (−19 %), con lectores pesimistas sobre el 4T [46].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del inversor extranjero (Stock Connect)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parte: Hong Kong Securities Clearing bajó del 21,99 % al 19,86 % en el 1S26; no hay dato oficial del 3T todavía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Prohibición de equipos chinos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orden 14420 es real y las reglas llegan antes del 24-dic; EE. UU. no figura entre los mercados que Sieyuan cita como destino principal, lo que limita el efecto directo [18].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del 3T26 (24-oct)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(3.829 M) y las existencias en máximos apuntan a un 2S26 de entregas; el riesgo es el margen y el cambio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125 CNY cotiza a unas 25 veces el beneficio de 2026e, por debajo de su historia; el análisis lo comprueba en la sección de valoración.</w:t>
            </w:r>
          </w:p>
        </w:tc>
      </w:tr>
    </w:tbl>
    <w:p>
      <w:pPr>
        <w:spacing w:after="160" w:before="0"/>
      </w:pPr>
    </w:p>
    <w:p>
      <w:pPr>
        <w:spacing w:after="100"/>
      </w:pPr>
      <w:r>
        <w:t xml:space="preserve">El sentimiento de los particulares es de capitulación: muchos compraron por encima de 150 CNY y hablan de vender en cualquier rebote, mientras los analistas siguen casi todos en compra con un objetivo medio de 209,54 CNY [34, 45]. Esa distancia entre minoristas atrapados y analistas que tardan en recortar es típica del final de una caída, pero no es una señal: la causa (la orden de EE. UU. y la rebaja de UBS) es fundamental. Los foros no aportan un riesgo que el informe no tenga; confirman que el vendedor marginal es el extranjero de Stock Connect.</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24 controles correctos y 3 explicados. Fuentes: 46 (26 primarias); citas distintas en el texto: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9,2 %: explica la causa (créditos fiscales, regularizaciones, mezcla de países) y no lo proyectes en el DCF. Explicación: El 9,2 % de 2023 sale de la conciliación del informe anual: sobre 443 M de impuesto teórico al 25 %, las filiales con tipo reducido (alta tecnología al 15 %) restan 195 M y la deducción adicional de la I+D otros 141 M [3]. No se proyecta: el DCF usa el 13,5-15 %, en línea con 2025 (12,4 %) y el 1S26 (13,6 %) [1,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38,6 % frente a un ROIC de 44,2 %: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1,3 % en 2031e frente al 0,8 %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17,0 % frente a 17,5 % real: genera una variación de circulante de 765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3.062 M de flujo libre medio en sus tres primeros años, frente a 1.481 M de media real en los tres últimos: justifica el salto (circulante, inversión, márgenes) o ajusta los supuestos. Explicación: El flujo libre medio de 2023-2025 (1.481 M) está deprimido por el circulante: las cuentas a cobrar crecieron un 42 % en 2025 con la exportación y el EPC, y el circulante pasó del 15,2 % al 17,5 % de las ventas [1]. El flujo libre de los últimos doce meses a junio de 2026 ya es de 2.347 M [6, 7, 8, 13]. La proyección mantiene el circulante en el 17 % de las ventas (no lo mejora) y el salto viene del EBITDA: 3.949 M en 2025 y 5.021 M en 2026e, con un 1S26 de 2.091 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-23,3 % frente al consenso: justifica la diferencia en el DCF. Explicación: Diferencia deliberada: el consenso (12 analistas) espera ventas de 46.216 M en 2028e (+29 % anual desde 2025) con un margen EBITDA del 18,9 %; nosotros 36.858 M (+20 % y +15 % en 2027e-2028e) porque la inversión de State Grid se frena (+1 % en 7M26), la orden 14420 cierra EE. UU. y los objetivos de 2026 de la propia empresa (ventas de 27.000 M, +25 %) ya implican desacelerar [6, 18, 23, 34]. El consenso lleva seis meses recortando [35].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CAS (sin amortización trimestral); 2) semestral (amortización solo semestral); 3) derivarlo prorrateando la amortización: descartado por las diferencias de cambio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en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2024 reexpresado); 2) informe anual 2024 (solo por industria); 3) informes 2022-2023 (segmentación antigua: aparamenta, bobinados, reactiva, equipos inteligentes, EPC, otros)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folleto de Hong Kong (no publica el CR5; el folleto ya no está en HKEX); 2) noticia de la solicitud con datos de Frost &amp; Sullivan (solo la cuota de Sieyuan); 3) informes de analistas (Zhonghang, Soochow): cuotas por producto en licitaciones de State Grid, no del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los rivales (sin cuota); 2) Frost &amp; Sullivan vía prensa (solo Sieyuan); 3) licitaciones de State Grid por producto (no comparables con el mercado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fijo/variable de la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total); 2) material de la junta 2025 (solo dietas de los consejeros); 3) folleto de Hong Kong (retirado de HKEX)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Operaciones del sector en 2019-2026 (Hitachi-ABB Power Grids, compra del 19,9 % restante en 2022): el comunicado no da EBITDA del perímetro; 2) compras chinas (烯晶碳能 por Sieyuan, 2023): sin EBITDA publicado; 3) prensa: múltiplos con sinergias o de una parte, no comprobables en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 de Shenzhen (solo saldo de préstamo de valores, no posición corta); 2) Eastmoney (saldo de financiación 953 M, no cortos); 3) HKEX Stock Connect (sin ventas en corto en 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internacionales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Seeking Alpha (sin cobertura de 002028); 2) Reddit y Stocktwits (403 o sin hilos); 3) Xueqiu (requiere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 EE. UU. en las 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 2025 y semestral 2026: solo «exterior» (26,9 % y 29,5 %), sin país; 2) notas de Soochow, Sinolink y Zhonghang: hablan de Europa, Oriente Medio, África y Latinoamérica, sin cifra de EE. UU.; 3) prensa sobre la orden 14420: sin cifra de Sieyuan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efecto de la orden 14420 se trata en el escenario bajista sin cuantificar el peso de EE. UU.</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2025年年度报告 (informe anual 2025, CAS: estados consolidados, notas, ventas por línea y región, pedidos, objetivos 2026, trimestres)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http://static.cninfo.com.cn/finalpage/2026-04-18/1225117829.PDF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2024年年度报告 (informe anual 2024: pedidos, trimestres 2024, deterioro del fondo de comercio de 烯晶碳能)</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http://static.cninfo.com.cn/finalpage/2025-04-19/1223145398.PDF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2023年年度报告 (informe anual 2023: estados de 2023 y 2022, compra de 烯晶碳能, ventas por producto)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http://static.cninfo.com.cn/finalpage/2024-04-20/1219702367.PDF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2022年年度报告 (informe anual 2022: ventas por producto 2021-2022, pedidos,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http://static.cninfo.com.cn/finalpage/2023-04-15/1216417256.PDF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2021年年度报告 (informe anual 2021: estados de 2021, pedidos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http://static.cninfo.com.cn/finalpage/2022-04-16/1212942957.PDF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2026年半年度报告 (informe semestral 2026: balance a 30-jun-2026, cuenta y flujos del 1S26, ventas por línea y región,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http://static.cninfo.com.cn/finalpage/2026-08-15/1225473691.PDF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2026年一季度报告 (informe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http://static.cninfo.com.cn/finalpage/2026-04-25/1225177123.PDF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2025年半年度报告 y 2025年三季度报告 (1S25 y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http://static.cninfo.com.cn/finalpage/2025-10-18/1224719649.PDF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2026年半年度业绩快报 (avance del 1S26: pérdidas de cambio y paso de Sieyuan Toshiba al 70 %)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http://static.cninfo.com.cn/finalpage/2026-07-11/1225420017.PDF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关于控股子公司常州思源东芝变压器有限公司完成股权变更登记的公告 (Toshiba ejerce su opción: Sieyuan pasa del 90 % al 70 % de Sieyuan Toshiba por 100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http://static.cninfo.com.cn/finalpage/2026-07-10/1225416830.PDF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2025年度权益分派实施公告 (dividendo de 0,70 CNY, 547,7 M, registro el 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http://static.cninfo.com.cn/finalpage/2026-07-01/1225399910.PDF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关于2023年股票期权激励计划第三个行权期行权条件成就的公告 (6.198.750 opciones a 43,80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http://static.cninfo.com.cn/finalpage/2026-08-05/1225458421.PDF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F10 de 002028 (cuenta, balance y flujos 2021-2026 en la base de Eastmoney; transcripción comprobada contra los informes)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https://emweb.securities.eastmoney.com/PC_HSF10/NewFinanceAnalysis/Index?code=SZ002028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Securities (东吴证券): «2026年中报点评：高毛利主业韧性凸显，国际化+AIDC双轮驱动»</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https://pdf.dfcfw.com/pdf/H3_AP202608171828066150_1.pdf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Sinolink Securities (国金证券): «利润受汇兑损失及变压器子公司股份减少影响，看好下半年高质量订单加速兑现»</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Sinolink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https://pdf.dfcfw.com/pdf/H3_AP202607121826911344_1.pdf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关于回购期届满暨股份回购实施结果的公告 (recompra de 300-500 M aprobada en 2025: 0 acciones compradas)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http://static.cninfo.com.cn/finalpage/2026-06-16/1225371122.PDF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《中国供电发展报告2026》: inversión en la red de 2025 de 639.500 M CNY (noticia de Science and Technology 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Administración Nacional de Energía / 科技日报</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https://www.stdaily.com/web/gdxw/2026-07/02/content_541260.html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order bans foreign-produced transformers, inverters and circuit breakers for U.S. power grid (EO 14420)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pv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https://www.pv-magazine.com/2026/08/27/executive-order-bans-foreign-produced-transformers-inverters-and-circuit-breakers-for-u-s-power-grid/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Order Declares National Emergency to Secure U.S. Bulk-Power System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Holland &amp; Knight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https://www.hklaw.com/en/insights/publications/2026/09/executive-order-declares-national-emergency-to-secure-us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思源电气递表港交所 中信证券担任独家保荐人 (Frost &amp; Sullivan: 3,5 % del mercado chino de equipos de transmisión y distribución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同花顺 (10jqka)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https://stock.10jqka.com.cn/20260212/c674747732.shtml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de XJ Electric, Pinggao, China XD, TBEA, NARI, Jinpan, Huaming, Hyosung Heavy, HD Hyundai Electric, LS Electric y Siemens Energy (ventas y EBIT del último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2025年可持续发展报告 (informe de sostenibilidad 2025: emisiones, CDP B, seguridad, SF6)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http://static.cninfo.com.cn/finalpage/2026-04-18/1225117841.PDF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思源电气暴跌背后 (UBS rebaja el sector; inversión de State Grid en 7M26 +≈ 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凤凰网财经 (ifeng)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https://finance.ifeng.com/c/8wfqgRdljhO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Zhonghang Securities (中航证券): informe de inicio «输变电设备全能选手，海外开拓和新品类扩张稳步推进»</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AVIC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https://pdf.dfcfw.com/pdf/H3_AP202606101823409528_1.pdf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关于董事会完成换届选举及聘任高级管理人员等相关事宜的公告 (9.º consejo, 26-jun-2026)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http://static.cninfo.com.cn/finalpage/2026-06-27/1225393424.PDF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2025年度股东会决议公告 (votaciones de la junta del 26-jun-2026)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http://static.cninfo.com.cn/finalpage/2026-06-27/1225393420.PDF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关于高级管理人员减持计划期限届满暨实施情况的公告 (venta de 20.000 acciones a 200,5 CNY por Zhang Liangdong)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http://static.cninfo.com.cn/finalpage/2026-09-05/1225548098.PDF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关于董事兼高级管理人员减持计划期限届满暨实施情况的公告 (Yang Zhihua no vendió)</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http://static.cninfo.com.cn/finalpage/2026-10-16/1225606407.PDF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关于公司首次公开发行境外上市外资股(H股)并在香港联合交易所有限公司主板上市方案的公告</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http://static.cninfo.com.cn/finalpage/2025-12-16/1224878252.PDF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关于向香港联合交易所有限公司递交H股发行上市的申请并刊发申请资料的公告 (solicitud del 11-feb-2026)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http://static.cninfo.com.cn/finalpage/2026-02-12/1224977532.PDF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 de solicitudes de salida a bolsa activas (Main Board), actualizado el 15-oct-2026: Sieyuan no figura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https://www1.hkexnews.hk/ncms/json/eds/appactive_app_sehk_e.json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高级管理人员股份减持计划的预披露公告 y 董事兼高级管理人员股份减持计划的预披露公告 (avisos de venta de mayo y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http://static.cninfo.com.cn/finalpage/2026-06-25/1225385724.PDF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002028.SZ, 510300.SS (CSI 300) y 159326.SZ (ETF de equipos de red), hasta el 19-oct-2026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https://finance.yahoo.com/quote/002028.SZ/history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finances (estimaciones 2026-2028) y consensus (12 analistas, objetivo medio 209,54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https://www.marketscreener.com/quote/stock/SIEYUAN-ELECTRIC-CO-LTD-6498002/consensus/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 de informes de analistas de 002028 con BPA previsto (abril-agosto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(东方财富研报中心)</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https://data.eastmoney.com/report/stock.jshtml?code=002028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la deuda pública china (中债国债收益率曲线), 19-oct-2026: 10 años 1,6497 %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y estimaciones (earningsTrend) de los comparables,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SZSE Securities / China Connect Securities (eligible for both buy and sell), actualizado el 16-oct-2026: 002028 Sieyuan Electric, n.º 393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https://www.hkex.com.hk/-/media/HKEX-Market/Mutual-Market/Stock-Connect/Eligible-Stocks/View-All-Eligible-Securities_xls/SZSE_Securities.xls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de publicación (预约披露): informe del 3T26 previsto el 24-oct-2026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https://www.cninfo.com.cn/new/information/getPrbookInfo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中国基金报: los equipos de transmisión caen en bloque; Sieyuan en límite a la baja (27-ago-2026)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 China Fund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https://finance.eastmoney.com/a/202608273856134687.html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operaciones de la bolsa de Shenzhen (龙虎榜) del 27-ago-2026: desviación de −11,72 %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https://finance.eastmoney.com/a/202608273856377737.html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关于公司股价异常波动的公告 (subida del 20,62 % en dos sesiones, 16 y 19-ene-2026)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http://static.cninfo.com.cn/finalpage/2026-01-20/1224940381.PDF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2025年度业绩快报 (avance de resultados de 2025, 16-ene-2026)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Sieyuan Electric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http://static.cninfo.com.cn/finalpage/2026-01-16/1224935414.PDF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Guba de Eastmoney, foro de 002028 (思源电气吧): unos 300 mensajes del 13 al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https://guba.eastmoney.com/list,002028.html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Sohu Finance: nota de mercado del 12-oct-2026 (−20,4 % en el año) con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Sohu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https://sohu.com/a/1086603710_122014422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86,4 %</w:t>
      </w:r>
      <w:r>
        <w:t xml:space="preserve"> · Secciones con menos del 60 % de campos cubiertos: </w:t>
      </w:r>
      <w:r>
        <w:rPr>
          <w:b/>
          <w:bCs/>
        </w:rPr>
        <w:t xml:space="preserve">transacciones</w:t>
      </w:r>
      <w:r>
        <w:t xml:space="preserve"> · Generado el 19 oct 2026.</w:t>
      </w:r>
    </w:p>
    <w:p>
      <w:pPr>
        <w:pStyle w:val="Nota"/>
        <w:spacing w:after="100"/>
      </w:pPr>
      <w:r>
        <w:t xml:space="preserve">Línea cotizada: solo acciones A de la bolsa de Shenzhen (002028), en CNY. Está en el Shenzhen-Hong Kong Stock Connect hacia el norte (lista de HKEX de valores de SZSE que se pueden comprar y vender, actualizada el 16-oct-2026), de modo que un inversor extranjero la compra desde un broker como IBKR por esa vía [39]. No tiene acciones H ni GDR: la solicitud para cotizar en Hong Kong del 11-feb-2026 caducó y no figura entre las activas de HKEX el 15-oct-2026 [30, 31]. Cuentas en normas chinas (CAS) de los informes de CNINFO; en el informe anual de 2025 los estados son imágenes, por lo que las series se toman de la base F10 de Eastmoney y se comprueban línea a línea contra las páginas del informe (coinciden) [1, 13]. Acciones diluidas: 782,57 M en circulación más 6,2 M de opciones a 43,80 CNY por el método de la autocartera [12]. El 3T26 sale el 24-oct-2026, cinco días después del corte [40].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Sieyuan Electric Co., Ltd. (思源电气股份有限公司) (002028)</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125,10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(112,02 – 239,12)</c:v>
                </c:pt>
                <c:pt idx="1">
                  <c:v>Precio objetivo de los analistas (142,00 – 266,00)</c:v>
                </c:pt>
                <c:pt idx="2">
                  <c:v>Comparables: PER NTM (111,23 – 147,86)</c:v>
                </c:pt>
                <c:pt idx="3">
                  <c:v>DCF (WACC y g ± 0,5) (86,30 – 109,56)</c:v>
                </c:pt>
                <c:pt idx="4">
                  <c:v>Escenarios (bajista – alcista) (65,96 – 120,74)</c:v>
                </c:pt>
                <c:pt idx="5">
                  <c:v>DCF con la prima implícita del mercado (4,2 %)</c:v>
                </c:pt>
                <c:pt idx="6">
                  <c:v>Precio actual (125,10)</c:v>
                </c:pt>
              </c:strCache>
            </c:strRef>
          </c:cat>
          <c:val>
            <c:numRef>
              <c:f>Hoja1!$B$2:$B$8</c:f>
              <c:numCache>
                <c:formatCode>#,##0</c:formatCode>
                <c:ptCount val="7"/>
                <c:pt idx="0">
                  <c:v>112.02</c:v>
                </c:pt>
                <c:pt idx="1">
                  <c:v>142</c:v>
                </c:pt>
                <c:pt idx="2">
                  <c:v>111.23</c:v>
                </c:pt>
                <c:pt idx="3">
                  <c:v>86.3</c:v>
                </c:pt>
                <c:pt idx="4">
                  <c:v>65.96</c:v>
                </c:pt>
                <c:pt idx="5">
                  <c:v>107.76</c:v>
                </c:pt>
                <c:pt idx="6">
                  <c:v>124.47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(112,02 – 239,12)</c:v>
                </c:pt>
                <c:pt idx="1">
                  <c:v>Precio objetivo de los analistas (142,00 – 266,00)</c:v>
                </c:pt>
                <c:pt idx="2">
                  <c:v>Comparables: PER NTM (111,23 – 147,86)</c:v>
                </c:pt>
                <c:pt idx="3">
                  <c:v>DCF (WACC y g ± 0,5) (86,30 – 109,56)</c:v>
                </c:pt>
                <c:pt idx="4">
                  <c:v>Escenarios (bajista – alcista) (65,96 – 120,74)</c:v>
                </c:pt>
                <c:pt idx="5">
                  <c:v>DCF con la prima implícita del mercado (4,2 %)</c:v>
                </c:pt>
                <c:pt idx="6">
                  <c:v>Precio actual (125,10)</c:v>
                </c:pt>
              </c:strCache>
            </c:strRef>
          </c:cat>
          <c:val>
            <c:numRef>
              <c:f>Hoja1!$C$2:$C$8</c:f>
              <c:numCache>
                <c:formatCode>#,##0</c:formatCode>
                <c:ptCount val="7"/>
                <c:pt idx="0">
                  <c:v>127.10000000000001</c:v>
                </c:pt>
                <c:pt idx="1">
                  <c:v>124</c:v>
                </c:pt>
                <c:pt idx="2">
                  <c:v>36.63000000000001</c:v>
                </c:pt>
                <c:pt idx="3">
                  <c:v>23.260000000000005</c:v>
                </c:pt>
                <c:pt idx="4">
                  <c:v>54.78</c:v>
                </c:pt>
                <c:pt idx="5">
                  <c:v>19.53</c:v>
                </c:pt>
                <c:pt idx="6">
                  <c:v>1.2600000000000051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Aparamenta (开关类)</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6910.3</c:v>
                </c:pt>
                <c:pt idx="1">
                  <c:v>8935.2</c:v>
                </c:pt>
              </c:numCache>
            </c:numRef>
          </c:val>
        </c:ser>
        <c:ser>
          <c:idx val="1"/>
          <c:order val="1"/>
          <c:tx>
            <c:strRef>
              <c:f>Hoja1!$C$1</c:f>
              <c:strCache>
                <c:ptCount val="1"/>
                <c:pt idx="0">
                  <c:v>Transformadores (变压器类)</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3348.4</c:v>
                </c:pt>
                <c:pt idx="1">
                  <c:v>4633.4</c:v>
                </c:pt>
              </c:numCache>
            </c:numRef>
          </c:val>
        </c:ser>
        <c:ser>
          <c:idx val="2"/>
          <c:order val="2"/>
          <c:tx>
            <c:strRef>
              <c:f>Hoja1!$D$1</c:f>
              <c:strCache>
                <c:ptCount val="1"/>
                <c:pt idx="0">
                  <c:v>Protección y automatización</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2444</c:v>
                </c:pt>
                <c:pt idx="1">
                  <c:v>2542.2</c:v>
                </c:pt>
              </c:numCache>
            </c:numRef>
          </c:val>
        </c:ser>
        <c:ser>
          <c:idx val="3"/>
          <c:order val="3"/>
          <c:tx>
            <c:strRef>
              <c:f>Hoja1!$E$1</c:f>
              <c:strCache>
                <c:ptCount val="1"/>
                <c:pt idx="0">
                  <c:v>Electrónica de potencia</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1020.4</c:v>
                </c:pt>
                <c:pt idx="1">
                  <c:v>1525.4</c:v>
                </c:pt>
              </c:numCache>
            </c:numRef>
          </c:val>
        </c:ser>
        <c:ser>
          <c:idx val="4"/>
          <c:order val="4"/>
          <c:tx>
            <c:strRef>
              <c:f>Hoja1!$F$1</c:f>
              <c:strCache>
                <c:ptCount val="1"/>
                <c:pt idx="0">
                  <c:v>EPC</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1010.1</c:v>
                </c:pt>
                <c:pt idx="1">
                  <c:v>2332.3</c:v>
                </c:pt>
              </c:numCache>
            </c:numRef>
          </c:val>
        </c:ser>
        <c:ser>
          <c:idx val="5"/>
          <c:order val="5"/>
          <c:tx>
            <c:strRef>
              <c:f>Hoja1!$G$1</c:f>
              <c:strCache>
                <c:ptCount val="1"/>
                <c:pt idx="0">
                  <c:v>Almacenamiento y componentes</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694.4</c:v>
                </c:pt>
                <c:pt idx="1">
                  <c:v>1531.2</c:v>
                </c:pt>
              </c:numCache>
            </c:numRef>
          </c:val>
        </c:ser>
        <c:ser>
          <c:idx val="6"/>
          <c:order val="6"/>
          <c:tx>
            <c:strRef>
              <c:f>Hoja1!$H$1</c:f>
              <c:strCache>
                <c:ptCount val="1"/>
                <c:pt idx="0">
                  <c:v>Otros (arrendamiento)</c:v>
                </c:pt>
              </c:strCache>
            </c:strRef>
          </c:tx>
          <c:spPr>
            <a:solidFill>
              <a:srgbClr val="4A3AA7"/>
            </a:solidFill>
            <a:ln w="12700">
              <a:solidFill>
                <a:srgbClr val="FFFFFF"/>
              </a:solidFill>
            </a:ln>
          </c:spPr>
          <c:invertIfNegative val="0"/>
          <c:cat>
            <c:strRef>
              <c:f>Hoja1!$A$2:$A$3</c:f>
              <c:strCache>
                <c:ptCount val="2"/>
                <c:pt idx="0">
                  <c:v>2024</c:v>
                </c:pt>
                <c:pt idx="1">
                  <c:v>2025</c:v>
                </c:pt>
              </c:strCache>
            </c:strRef>
          </c:cat>
          <c:val>
            <c:numRef>
              <c:f>Hoja1!$H$2:$H$3</c:f>
              <c:numCache>
                <c:formatCode>#,##0</c:formatCode>
                <c:ptCount val="2"/>
                <c:pt idx="0">
                  <c:v>30.5</c:v>
                </c:pt>
                <c:pt idx="1">
                  <c:v>39.3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Aparamenta (开关类)</c:v>
                </c:pt>
                <c:pt idx="1">
                  <c:v>Transformadores (变压器类)</c:v>
                </c:pt>
                <c:pt idx="2">
                  <c:v>Protección y automatización</c:v>
                </c:pt>
                <c:pt idx="3">
                  <c:v>Electrónica de potencia</c:v>
                </c:pt>
                <c:pt idx="4">
                  <c:v>EPC</c:v>
                </c:pt>
                <c:pt idx="5">
                  <c:v>Almacenamiento y componentes</c:v>
                </c:pt>
                <c:pt idx="6">
                  <c:v>Otros (arrendamiento)</c:v>
                </c:pt>
              </c:strCache>
            </c:strRef>
          </c:cat>
          <c:val>
            <c:numRef>
              <c:f>Hoja1!$B$2:$B$8</c:f>
              <c:numCache>
                <c:formatCode>General</c:formatCode>
                <c:ptCount val="7"/>
                <c:pt idx="0">
                  <c:v>41.5</c:v>
                </c:pt>
                <c:pt idx="1">
                  <c:v>21.5</c:v>
                </c:pt>
                <c:pt idx="2">
                  <c:v>11.8</c:v>
                </c:pt>
                <c:pt idx="3">
                  <c:v>7.1</c:v>
                </c:pt>
                <c:pt idx="4">
                  <c:v>10.8</c:v>
                </c:pt>
                <c:pt idx="5">
                  <c:v>7.1</c:v>
                </c:pt>
                <c:pt idx="6">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Exterior</c:v>
                </c:pt>
                <c:pt idx="1">
                  <c:v>China este</c:v>
                </c:pt>
                <c:pt idx="2">
                  <c:v>China norte</c:v>
                </c:pt>
                <c:pt idx="3">
                  <c:v>China noroeste</c:v>
                </c:pt>
                <c:pt idx="4">
                  <c:v>China centro</c:v>
                </c:pt>
                <c:pt idx="5">
                  <c:v>China suroeste</c:v>
                </c:pt>
                <c:pt idx="6">
                  <c:v>China sur</c:v>
                </c:pt>
                <c:pt idx="7">
                  <c:v>China noreste</c:v>
                </c:pt>
              </c:strCache>
            </c:strRef>
          </c:cat>
          <c:val>
            <c:numRef>
              <c:f>Hoja1!$B$2:$B$9</c:f>
              <c:numCache>
                <c:formatCode>0"%"</c:formatCode>
                <c:ptCount val="8"/>
                <c:pt idx="0">
                  <c:v>26.9</c:v>
                </c:pt>
                <c:pt idx="1">
                  <c:v>22.5</c:v>
                </c:pt>
                <c:pt idx="2">
                  <c:v>14</c:v>
                </c:pt>
                <c:pt idx="3">
                  <c:v>12</c:v>
                </c:pt>
                <c:pt idx="4">
                  <c:v>7.7</c:v>
                </c:pt>
                <c:pt idx="5">
                  <c:v>6.6</c:v>
                </c:pt>
                <c:pt idx="6">
                  <c:v>6.5</c:v>
                </c:pt>
                <c:pt idx="7">
                  <c:v>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(inversión mundial en redes, IEA))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2028e</c:v>
                </c:pt>
                <c:pt idx="2">
                  <c:v>2031e</c:v>
                </c:pt>
                <c:pt idx="3">
                  <c:v>2035e</c:v>
                </c:pt>
              </c:strCache>
            </c:strRef>
          </c:cat>
          <c:val>
            <c:numRef>
              <c:f>Hoja1!$B$2:$B$5</c:f>
              <c:numCache>
                <c:formatCode>#,##0</c:formatCode>
                <c:ptCount val="4"/>
                <c:pt idx="0">
                  <c:v>400</c:v>
                </c:pt>
                <c:pt idx="1">
                  <c:v>463</c:v>
                </c:pt>
                <c:pt idx="2">
                  <c:v>536</c:v>
                </c:pt>
                <c:pt idx="3">
                  <c:v>650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Sieyuan</c:v>
                </c:pt>
                <c:pt idx="1">
                  <c:v>China XD Electric</c:v>
                </c:pt>
                <c:pt idx="2">
                  <c:v>Pinggao Electric</c:v>
                </c:pt>
                <c:pt idx="3">
                  <c:v>XJ Electric</c:v>
                </c:pt>
                <c:pt idx="4">
                  <c:v>NARI Technology</c:v>
                </c:pt>
                <c:pt idx="5">
                  <c:v>TBEA</c:v>
                </c:pt>
                <c:pt idx="6">
                  <c:v>HD Hyundai Electric</c:v>
                </c:pt>
                <c:pt idx="7">
                  <c:v>Hyosung Heavy Industries</c:v>
                </c:pt>
                <c:pt idx="8">
                  <c:v>Siemens Energy</c:v>
                </c:pt>
              </c:strCache>
            </c:strRef>
          </c:cat>
          <c:val>
            <c:numRef>
              <c:f>Hoja1!$B$2:$B$10</c:f>
              <c:numCache>
                <c:formatCode>0.0"%"</c:formatCode>
                <c:ptCount val="9"/>
                <c:pt idx="0">
                  <c:v>16.9</c:v>
                </c:pt>
                <c:pt idx="1">
                  <c:v>7.2</c:v>
                </c:pt>
                <c:pt idx="2">
                  <c:v>11.4</c:v>
                </c:pt>
                <c:pt idx="3">
                  <c:v>10</c:v>
                </c:pt>
                <c:pt idx="4">
                  <c:v>14.9</c:v>
                </c:pt>
                <c:pt idx="5">
                  <c:v>9.8</c:v>
                </c:pt>
                <c:pt idx="6">
                  <c:v>23.9</c:v>
                </c:pt>
                <c:pt idx="7">
                  <c:v>11.5</c:v>
                </c:pt>
                <c:pt idx="8">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Hoja1!$B$2:$B$12</c:f>
              <c:numCache>
                <c:formatCode>#,##0</c:formatCode>
                <c:ptCount val="11"/>
                <c:pt idx="0">
                  <c:v>8695.34</c:v>
                </c:pt>
                <c:pt idx="1">
                  <c:v>10537.1</c:v>
                </c:pt>
                <c:pt idx="2">
                  <c:v>12460.03</c:v>
                </c:pt>
                <c:pt idx="3">
                  <c:v>15458.07</c:v>
                </c:pt>
                <c:pt idx="4">
                  <c:v>21539.03</c:v>
                </c:pt>
                <c:pt idx="5">
                  <c:v>26708</c:v>
                </c:pt>
                <c:pt idx="6">
                  <c:v>32050</c:v>
                </c:pt>
                <c:pt idx="7">
                  <c:v>36858</c:v>
                </c:pt>
                <c:pt idx="8">
                  <c:v>40543</c:v>
                </c:pt>
                <c:pt idx="9">
                  <c:v>43381</c:v>
                </c:pt>
                <c:pt idx="10">
                  <c:v>45550</c:v>
                </c:pt>
              </c:numCache>
            </c:numRef>
          </c:val>
        </c:ser>
        <c:ser>
          <c:idx val="1"/>
          <c:order val="1"/>
          <c:tx>
            <c:strRef>
              <c:f>Hoja1!$C$1</c:f>
              <c:strCache>
                <c:ptCount val="1"/>
                <c:pt idx="0">
                  <c:v>EBITDA</c:v>
                </c:pt>
              </c:strCache>
            </c:strRef>
          </c:tx>
          <c:spPr>
            <a:solidFill>
              <a:srgbClr val="EB6834"/>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Hoja1!$C$2:$C$12</c:f>
              <c:numCache>
                <c:formatCode>#,##0</c:formatCode>
                <c:ptCount val="11"/>
                <c:pt idx="0">
                  <c:v>1504.67</c:v>
                </c:pt>
                <c:pt idx="1">
                  <c:v>1491.94</c:v>
                </c:pt>
                <c:pt idx="2">
                  <c:v>1941.66</c:v>
                </c:pt>
                <c:pt idx="3">
                  <c:v>2709.95</c:v>
                </c:pt>
                <c:pt idx="4">
                  <c:v>3949.35</c:v>
                </c:pt>
                <c:pt idx="5">
                  <c:v>5021</c:v>
                </c:pt>
                <c:pt idx="6">
                  <c:v>5929</c:v>
                </c:pt>
                <c:pt idx="7">
                  <c:v>6708</c:v>
                </c:pt>
                <c:pt idx="8">
                  <c:v>7298</c:v>
                </c:pt>
                <c:pt idx="9">
                  <c:v>7722</c:v>
                </c:pt>
                <c:pt idx="10">
                  <c:v>7971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29.8</c:v>
                </c:pt>
                <c:pt idx="1">
                  <c:v>25.6</c:v>
                </c:pt>
                <c:pt idx="2">
                  <c:v>28.9</c:v>
                </c:pt>
                <c:pt idx="3">
                  <c:v>30.6</c:v>
                </c:pt>
                <c:pt idx="4">
                  <c:v>30.2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17.3</c:v>
                </c:pt>
                <c:pt idx="1">
                  <c:v>14.2</c:v>
                </c:pt>
                <c:pt idx="2">
                  <c:v>15.6</c:v>
                </c:pt>
                <c:pt idx="3">
                  <c:v>17.5</c:v>
                </c:pt>
                <c:pt idx="4">
                  <c:v>18.3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16.1</c:v>
                </c:pt>
                <c:pt idx="1">
                  <c:v>12.8</c:v>
                </c:pt>
                <c:pt idx="2">
                  <c:v>13.9</c:v>
                </c:pt>
                <c:pt idx="3">
                  <c:v>15.9</c:v>
                </c:pt>
                <c:pt idx="4">
                  <c:v>16.9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13.8</c:v>
                </c:pt>
                <c:pt idx="1">
                  <c:v>11.6</c:v>
                </c:pt>
                <c:pt idx="2">
                  <c:v>12.5</c:v>
                </c:pt>
                <c:pt idx="3">
                  <c:v>13.3</c:v>
                </c:pt>
                <c:pt idx="4">
                  <c:v>14.6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29.4</c:v>
                </c:pt>
                <c:pt idx="1">
                  <c:v>30.2</c:v>
                </c:pt>
                <c:pt idx="2">
                  <c:v>21.4</c:v>
                </c:pt>
                <c:pt idx="3">
                  <c:v>50.2</c:v>
                </c:pt>
                <c:pt idx="4">
                  <c:v>25.7</c:v>
                </c:pt>
                <c:pt idx="5">
                  <c:v>52.7</c:v>
                </c:pt>
                <c:pt idx="6">
                  <c:v>41.6</c:v>
                </c:pt>
                <c:pt idx="7">
                  <c:v>18.1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150</c:v>
                </c:pt>
                <c:pt idx="1">
                  <c:v>156</c:v>
                </c:pt>
                <c:pt idx="2">
                  <c:v>156</c:v>
                </c:pt>
                <c:pt idx="3">
                  <c:v>156</c:v>
                </c:pt>
                <c:pt idx="4">
                  <c:v>158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156</c:v>
                </c:pt>
                <c:pt idx="1">
                  <c:v>115</c:v>
                </c:pt>
                <c:pt idx="2">
                  <c:v>118</c:v>
                </c:pt>
                <c:pt idx="3">
                  <c:v>118</c:v>
                </c:pt>
                <c:pt idx="4">
                  <c:v>99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199</c:v>
                </c:pt>
                <c:pt idx="1">
                  <c:v>189</c:v>
                </c:pt>
                <c:pt idx="2">
                  <c:v>205</c:v>
                </c:pt>
                <c:pt idx="3">
                  <c:v>221</c:v>
                </c:pt>
                <c:pt idx="4">
                  <c:v>198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-165.63</c:v>
                </c:pt>
                <c:pt idx="1">
                  <c:v>596.4999999999999</c:v>
                </c:pt>
                <c:pt idx="2">
                  <c:v>1524.38</c:v>
                </c:pt>
                <c:pt idx="3">
                  <c:v>1525.3899999999999</c:v>
                </c:pt>
                <c:pt idx="4">
                  <c:v>1393.7400000000002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1197.67</c:v>
                </c:pt>
                <c:pt idx="1">
                  <c:v>1220.51</c:v>
                </c:pt>
                <c:pt idx="2">
                  <c:v>1559.17</c:v>
                </c:pt>
                <c:pt idx="3">
                  <c:v>2049.07</c:v>
                </c:pt>
                <c:pt idx="4">
                  <c:v>3150.14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19.2</c:v>
                </c:pt>
                <c:pt idx="1">
                  <c:v>20.8</c:v>
                </c:pt>
                <c:pt idx="2">
                  <c:v>26.6</c:v>
                </c:pt>
                <c:pt idx="3">
                  <c:v>34.9</c:v>
                </c:pt>
                <c:pt idx="4">
                  <c:v>44.2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8.1</c:v>
                </c:pt>
                <c:pt idx="1">
                  <c:v>8.1</c:v>
                </c:pt>
                <c:pt idx="2">
                  <c:v>8.1</c:v>
                </c:pt>
                <c:pt idx="3">
                  <c:v>8.1</c:v>
                </c:pt>
                <c:pt idx="4">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14.3</c:v>
                </c:pt>
                <c:pt idx="1">
                  <c:v>13.9</c:v>
                </c:pt>
                <c:pt idx="2">
                  <c:v>15.9</c:v>
                </c:pt>
                <c:pt idx="3">
                  <c:v>18</c:v>
                </c:pt>
                <c:pt idx="4">
                  <c:v>22.6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-1.31</c:v>
                </c:pt>
                <c:pt idx="1">
                  <c:v>-2.33</c:v>
                </c:pt>
                <c:pt idx="2">
                  <c:v>-2.46</c:v>
                </c:pt>
                <c:pt idx="3">
                  <c:v>-2.39</c:v>
                </c:pt>
                <c:pt idx="4">
                  <c:v>-1.92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(CNY,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c:v>
                </c:pt>
                <c:pt idx="2">
                  <c:v>2028+</c:v>
                </c:pt>
              </c:strCache>
            </c:strRef>
          </c:cat>
          <c:val>
            <c:numRef>
              <c:f>Hoja1!$B$2:$B$4</c:f>
              <c:numCache>
                <c:formatCode>#,##0</c:formatCode>
                <c:ptCount val="3"/>
                <c:pt idx="0">
                  <c:v>657.3</c:v>
                </c:pt>
                <c:pt idx="1">
                  <c:v>50</c:v>
                </c:pt>
                <c:pt idx="2">
                  <c:v>89.7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595.92</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187.1</c:v>
                </c:pt>
                <c:pt idx="1">
                  <c:v>187.59</c:v>
                </c:pt>
                <c:pt idx="2">
                  <c:v>298.53</c:v>
                </c:pt>
                <c:pt idx="3">
                  <c:v>353.4</c:v>
                </c:pt>
                <c:pt idx="4">
                  <c:v>472.11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Otro externo</c:v>
                </c:pt>
                <c:pt idx="3">
                  <c:v>Independiente</c:v>
                </c:pt>
              </c:strCache>
            </c:strRef>
          </c:cat>
          <c:val>
            <c:numRef>
              <c:f>Hoja1!$B$2:$B$5</c:f>
              <c:numCache>
                <c:formatCode>0</c:formatCode>
                <c:ptCount val="4"/>
                <c:pt idx="0">
                  <c:v>2</c:v>
                </c:pt>
                <c:pt idx="1">
                  <c:v>1</c:v>
                </c:pt>
                <c:pt idx="2">
                  <c:v>1</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Dong Zengping (presidente y consejero delegado)</c:v>
                </c:pt>
                <c:pt idx="1">
                  <c:v>Chen Bangdong (vicepresidente)</c:v>
                </c:pt>
                <c:pt idx="2">
                  <c:v>Hong Kong Securities Clearing (inversores de Stock Connect)</c:v>
                </c:pt>
                <c:pt idx="3">
                  <c:v>Yang Xiaoqiang</c:v>
                </c:pt>
                <c:pt idx="4">
                  <c:v>Fondos índice CSI 300 (Huatai-PineBridge, E Fund, ChinaAMC)</c:v>
                </c:pt>
                <c:pt idx="5">
                  <c:v>Autocartera</c:v>
                </c:pt>
              </c:strCache>
            </c:strRef>
          </c:cat>
          <c:val>
            <c:numRef>
              <c:f>Hoja1!$B$2:$B$7</c:f>
              <c:numCache>
                <c:formatCode>0.0"%"</c:formatCode>
                <c:ptCount val="6"/>
                <c:pt idx="0">
                  <c:v>16.8</c:v>
                </c:pt>
                <c:pt idx="1">
                  <c:v>12.32</c:v>
                </c:pt>
                <c:pt idx="2">
                  <c:v>19.86</c:v>
                </c:pt>
                <c:pt idx="3">
                  <c:v>3.25</c:v>
                </c:pt>
                <c:pt idx="4">
                  <c:v>2.98</c:v>
                </c:pt>
                <c:pt idx="5">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21</c:v>
                </c:pt>
                <c:pt idx="1">
                  <c:v>-37.4</c:v>
                </c:pt>
                <c:pt idx="2">
                  <c:v>40.9</c:v>
                </c:pt>
                <c:pt idx="3">
                  <c:v>46.5</c:v>
                </c:pt>
                <c:pt idx="4">
                  <c:v>147.1</c:v>
                </c:pt>
                <c:pt idx="5">
                  <c:v>-21.9</c:v>
                </c:pt>
                <c:pt idx="6">
                  <c:v>37.1</c:v>
                </c:pt>
                <c:pt idx="7">
                  <c:v>40.5</c:v>
                </c:pt>
                <c:pt idx="8">
                  <c:v>114.1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23.4</c:v>
                </c:pt>
                <c:pt idx="1">
                  <c:v>-24.2</c:v>
                </c:pt>
                <c:pt idx="2">
                  <c:v>38.6</c:v>
                </c:pt>
                <c:pt idx="3">
                  <c:v>29.1</c:v>
                </c:pt>
                <c:pt idx="4">
                  <c:v>-4</c:v>
                </c:pt>
                <c:pt idx="5">
                  <c:v>-20.1</c:v>
                </c:pt>
                <c:pt idx="6">
                  <c:v>-9.8</c:v>
                </c:pt>
                <c:pt idx="7">
                  <c:v>17.4</c:v>
                </c:pt>
                <c:pt idx="8">
                  <c:v>20.8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23.8</c:v>
                </c:pt>
                <c:pt idx="1">
                  <c:v>17.5</c:v>
                </c:pt>
                <c:pt idx="2">
                  <c:v>18.4</c:v>
                </c:pt>
                <c:pt idx="3">
                  <c:v>18.5</c:v>
                </c:pt>
                <c:pt idx="4">
                  <c:v>28.9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18.5</c:v>
                </c:pt>
                <c:pt idx="1">
                  <c:v>18.5</c:v>
                </c:pt>
                <c:pt idx="2">
                  <c:v>18.5</c:v>
                </c:pt>
                <c:pt idx="3">
                  <c:v>18.5</c:v>
                </c:pt>
                <c:pt idx="4">
                  <c:v>18.5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Pt>
            <c:idx val="11"/>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Sieyuan</c:v>
                </c:pt>
                <c:pt idx="1">
                  <c:v>XJ Electric</c:v>
                </c:pt>
                <c:pt idx="2">
                  <c:v>Pinggao Electric</c:v>
                </c:pt>
                <c:pt idx="3">
                  <c:v>China XD Electric</c:v>
                </c:pt>
                <c:pt idx="4">
                  <c:v>TBEA</c:v>
                </c:pt>
                <c:pt idx="5">
                  <c:v>NARI Technology</c:v>
                </c:pt>
                <c:pt idx="6">
                  <c:v>Jinpan Technology</c:v>
                </c:pt>
                <c:pt idx="7">
                  <c:v>Huaming Equipment</c:v>
                </c:pt>
                <c:pt idx="8">
                  <c:v>Hyosung Heavy Industries</c:v>
                </c:pt>
                <c:pt idx="9">
                  <c:v>HD Hyundai Electric</c:v>
                </c:pt>
                <c:pt idx="10">
                  <c:v>LS Electric</c:v>
                </c:pt>
                <c:pt idx="11">
                  <c:v>Siemens Energy</c:v>
                </c:pt>
              </c:strCache>
            </c:strRef>
          </c:cat>
          <c:val>
            <c:numRef>
              <c:f>Hoja1!$B$2:$B$13</c:f>
              <c:numCache>
                <c:formatCode>0.0"x"</c:formatCode>
                <c:ptCount val="12"/>
                <c:pt idx="0">
                  <c:v>14.1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2026e</c:v>
                </c:pt>
                <c:pt idx="1">
                  <c:v>2027e</c:v>
                </c:pt>
                <c:pt idx="2">
                  <c:v>2028e</c:v>
                </c:pt>
                <c:pt idx="3">
                  <c:v>2029e</c:v>
                </c:pt>
                <c:pt idx="4">
                  <c:v>2030e</c:v>
                </c:pt>
                <c:pt idx="5">
                  <c:v>2031e</c:v>
                </c:pt>
              </c:strCache>
            </c:strRef>
          </c:cat>
          <c:val>
            <c:numRef>
              <c:f>Hoja1!$B$2:$B$7</c:f>
              <c:numCache>
                <c:formatCode>#,##0</c:formatCode>
                <c:ptCount val="6"/>
                <c:pt idx="0">
                  <c:v>2430</c:v>
                </c:pt>
                <c:pt idx="1">
                  <c:v>3008</c:v>
                </c:pt>
                <c:pt idx="2">
                  <c:v>3749</c:v>
                </c:pt>
                <c:pt idx="3">
                  <c:v>4535</c:v>
                </c:pt>
                <c:pt idx="4">
                  <c:v>5025</c:v>
                </c:pt>
                <c:pt idx="5">
                  <c:v>5405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17799</c:v>
                </c:pt>
                <c:pt idx="1">
                  <c:v>51386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125,10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65.96</c:v>
                </c:pt>
                <c:pt idx="1">
                  <c:v>96.3</c:v>
                </c:pt>
                <c:pt idx="2">
                  <c:v>120.74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125,10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(112,02 – 239,12)</c:v>
                </c:pt>
                <c:pt idx="1">
                  <c:v>Precio objetivo de los analistas (142,00 – 266,00)</c:v>
                </c:pt>
                <c:pt idx="2">
                  <c:v>Comparables: PER NTM (111,23 – 147,86)</c:v>
                </c:pt>
                <c:pt idx="3">
                  <c:v>DCF (WACC y g ± 0,5) (86,30 – 109,56)</c:v>
                </c:pt>
                <c:pt idx="4">
                  <c:v>Escenarios (bajista – alcista) (65,96 – 120,74)</c:v>
                </c:pt>
                <c:pt idx="5">
                  <c:v>DCF con la prima implícita del mercado (4,2 %)</c:v>
                </c:pt>
                <c:pt idx="6">
                  <c:v>Precio actual (125,10)</c:v>
                </c:pt>
              </c:strCache>
            </c:strRef>
          </c:cat>
          <c:val>
            <c:numRef>
              <c:f>Hoja1!$B$2:$B$8</c:f>
              <c:numCache>
                <c:formatCode>#,##0</c:formatCode>
                <c:ptCount val="7"/>
                <c:pt idx="0">
                  <c:v>112.02</c:v>
                </c:pt>
                <c:pt idx="1">
                  <c:v>142</c:v>
                </c:pt>
                <c:pt idx="2">
                  <c:v>111.23</c:v>
                </c:pt>
                <c:pt idx="3">
                  <c:v>86.3</c:v>
                </c:pt>
                <c:pt idx="4">
                  <c:v>65.96</c:v>
                </c:pt>
                <c:pt idx="5">
                  <c:v>107.76</c:v>
                </c:pt>
                <c:pt idx="6">
                  <c:v>124.47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(112,02 – 239,12)</c:v>
                </c:pt>
                <c:pt idx="1">
                  <c:v>Precio objetivo de los analistas (142,00 – 266,00)</c:v>
                </c:pt>
                <c:pt idx="2">
                  <c:v>Comparables: PER NTM (111,23 – 147,86)</c:v>
                </c:pt>
                <c:pt idx="3">
                  <c:v>DCF (WACC y g ± 0,5) (86,30 – 109,56)</c:v>
                </c:pt>
                <c:pt idx="4">
                  <c:v>Escenarios (bajista – alcista) (65,96 – 120,74)</c:v>
                </c:pt>
                <c:pt idx="5">
                  <c:v>DCF con la prima implícita del mercado (4,2 %)</c:v>
                </c:pt>
                <c:pt idx="6">
                  <c:v>Precio actual (125,10)</c:v>
                </c:pt>
              </c:strCache>
            </c:strRef>
          </c:cat>
          <c:val>
            <c:numRef>
              <c:f>Hoja1!$C$2:$C$8</c:f>
              <c:numCache>
                <c:formatCode>#,##0</c:formatCode>
                <c:ptCount val="7"/>
                <c:pt idx="0">
                  <c:v>127.10000000000001</c:v>
                </c:pt>
                <c:pt idx="1">
                  <c:v>124</c:v>
                </c:pt>
                <c:pt idx="2">
                  <c:v>36.63000000000001</c:v>
                </c:pt>
                <c:pt idx="3">
                  <c:v>23.260000000000005</c:v>
                </c:pt>
                <c:pt idx="4">
                  <c:v>54.78</c:v>
                </c:pt>
                <c:pt idx="5">
                  <c:v>19.53</c:v>
                </c:pt>
                <c:pt idx="6">
                  <c:v>1.2600000000000051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