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Smurfit Westrock plc</w:t>
      </w:r>
    </w:p>
    <w:p>
      <w:pPr>
        <w:spacing w:after="60"/>
        <w:rPr>
          <w:color w:val="52514E"/>
          <w:sz w:val="22"/>
          <w:szCs w:val="22"/>
        </w:rPr>
      </w:pPr>
      <w:r>
        <w:rPr>
          <w:color w:val="52514E"/>
          <w:sz w:val="22"/>
          <w:szCs w:val="22"/>
        </w:rPr>
        <w:t xml:space="preserve">SW · New York Stock Exchange · ISIN IE00028FXN24 · Materiales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41,16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48,57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+22,4 % (base +27,3 %)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52,39 USD · mercado 62,19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21.671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6,4x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Smurfit Westrock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SW / IE00028FXN24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Materiales / Envases y embalajes de papel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Dublín (Irlanda); Norteamérica en Atlanta · 1934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https://www.smurfitwestrock.com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41,16 (16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32,73 – 52,65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526,5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21.671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35.841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211,1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48,57 USD</w:t>
      </w:r>
      <w:r>
        <w:t xml:space="preserve"> frente a 41,16 · Rentabilidad a 12 meses </w:t>
      </w:r>
      <w:r>
        <w:rPr>
          <w:b/>
          <w:bCs/>
        </w:rPr>
        <w:t xml:space="preserve">+22,4 % (base +27,3 %)</w:t>
      </w:r>
      <w:r>
        <w:t xml:space="preserve"> · Valor intrínseco 52,39 USD · con la prima implícita del mercado: 62,19 (+51,1 %) · Alcista / bajista +74,2 % / -24,5 %</w:t>
      </w:r>
    </w:p>
    <w:p>
      <w:pPr>
        <w:spacing w:after="100"/>
      </w:pPr>
      <w:r>
        <w:rPr>
          <w:b/>
        </w:rPr>
        <w:t xml:space="preserve">La recomendación y por qué.</w:t>
      </w:r>
      <w:r>
        <w:t xml:space="preserve"> Comprar según la regla a 12 meses, con convicción baja, y </w:t>
      </w:r>
      <w:r>
        <w:rPr>
          <w:b/>
        </w:rPr>
        <w:t xml:space="preserve">no como compra robusta</w:t>
      </w:r>
      <w:r>
        <w:t xml:space="preserve">. Nuestro objetivo a 12 meses es de 48,57 USD: +22,4 % con dividendo (+27,3 % en el caso base) frente a un precio de 41,16 USD (16-oct-2026); el valor intrínseco es de 52,39 USD (+27,3 %) y el objetivo medio de 17 analistas, de 56,47 USD, dentro de nuestro rango (26,16-66,99) [29]. La asimetría de los escenarios es de 3,0 veces (alcista +74 %, bajista −25 %). La razón: el precio paga el margen del fondo del ciclo como si fuera permanente, y las subidas de precio del cartón de septiembre de 2026 no están en la guía [7, 17]. La convicción es baja porque la compra depende de un BPA que crece un 30 % al año desde 2026e: con un BPA un 10 % peor la rentabilidad cae al 10,6 % (Mantener), la regla v2 de control da un 12,1 % y el ROIC está por debajo del WACC. Subiría con una guía de 2027 por encima de 5.600 M de EBITDA ajustado.</w:t>
      </w:r>
    </w:p>
    <w:p>
      <w:pPr>
        <w:spacing w:after="100"/>
      </w:pPr>
      <w:r>
        <w:rPr>
          <w:b/>
        </w:rPr>
        <w:t xml:space="preserve">El negocio.</w:t>
      </w:r>
      <w:r>
        <w:t xml:space="preserve"> Smurfit Westrock es el mayor fabricante de cajas de cartón ondulado y papel para cajas del mundo (31.179 M USD de ventas en 2025, un 15 % del mercado) [1, 18]. El foso es estrecho: escala regional y molinos integrados con las plantas de cajas. El problema es la rentabilidad: el ROIC del grupo es del 5,3 % frente a un WACC del 7,9 % (Smurfit Kappa sola ganaba el 12-16 %) [1, 3]. La calidad sí sostiene el crecimiento que proyectamos (2,9 % al año, veredicto «Sí»): es de precio y volumen de mercado, con la cuota estable (15,2 % → 15,3 %) y sin capital nuevo.</w:t>
      </w:r>
    </w:p>
    <w:p>
      <w:pPr>
        <w:spacing w:after="100"/>
      </w:pPr>
      <w:r>
        <w:rPr>
          <w:b/>
        </w:rPr>
        <w:t xml:space="preserve">Finanzas.</w:t>
      </w:r>
      <w:r>
        <w:t xml:space="preserve"> La fusión del 5-jul-2024 hace incomparables las cifras publicadas: en pro forma las ventas bajaron de 32.511 M (2023) a 31.179 M (2025) y el EBITDA ajustado combinado subió de 4.706 M a 4.939 M con más de 400 M de sinergias [9, 13]. La empresa ha recortado la guía dos años seguidos (4.900-5.100 M para 2026, por flete y energía) [6, 7]. La deuda neta ajustada (14.146 M con 659 M de cuentas a cobrar vendidas) es de 2,9 veces el EBITDA, con grado de inversión [1, 4].</w:t>
      </w:r>
    </w:p>
    <w:p>
      <w:pPr>
        <w:spacing w:after="100"/>
      </w:pPr>
      <w:r>
        <w:rPr>
          <w:b/>
        </w:rPr>
        <w:t xml:space="preserve">Valoración.</w:t>
      </w:r>
      <w:r>
        <w:t xml:space="preserve"> El DCF da 55,34 USD (WACC 7,90 %, crecimiento terminal 2,5 %); el precio equivale a un margen EBITDA del 15,8 % para siempre frente al 17,4 % de nuestro base y el 19 % del plan de la empresa para 2030 [10]. Cotiza a 14,1 veces nuestro BPA de 2027e, cerca de su mediana adelantada (15,3x) y de la de los comparables (14,6x) [33]. Nuestro BPA de 2028e (3,44 USD) está un 16 % bajo el consenso (4,08): suponemos menos margen y ninguna recompra [28].</w:t>
      </w:r>
    </w:p>
    <w:p>
      <w:pPr>
        <w:spacing w:after="100"/>
      </w:pPr>
      <w:r>
        <w:rPr>
          <w:b/>
        </w:rPr>
        <w:t xml:space="preserve">Riesgos y catalizadores.</w:t>
      </w:r>
      <w:r>
        <w:t xml:space="preserve"> El riesgo principal es que las subidas de precio no lleguen a las cajas, como en 2023 y 2025: el bajista a 12 meses es de 26,16 USD (−36 %), y cada punto de margen permanente vale unos 8-9 USD por acción por la deuda. Los resultados del 3T26 (hacia el 28-oct) dirán cuánto de los 100 USD/t de septiembre llega; la guía de 2027 de febrero es el examen. Precio y noticias de 12 meses: </w:t>
      </w:r>
      <w:r>
        <w:rPr>
          <w:b/>
        </w:rPr>
        <w:t xml:space="preserve">no cambia</w:t>
      </w:r>
      <w:r>
        <w:t xml:space="preserve"> (caídas con causa conocida) [34].</w:t>
      </w:r>
    </w:p>
    <w:p>
      <w:pPr>
        <w:spacing w:after="100"/>
      </w:pPr>
      <w:r>
        <w:rPr>
          <w:b/>
        </w:rPr>
        <w:t xml:space="preserve">Qué cambiaría la decisión.</w:t>
      </w:r>
      <w:r>
        <w:t xml:space="preserve"> Por encima de 43,81 USD la regla pasa a Mantener y por encima de 55,98 USD, a Vender. La compra sería robusta por debajo de 39,60 USD (v3 y v2 con un BPA un 10 % peor), aunque el filtro de calidad (ROIC − WACC ≥ 5 puntos) seguiría sin cumplirse. Una guía de 2027 por debajo de 5.300 M nos llevaría al bajista; un margen del 3T26 por encima del 16 %, con los precios ya en las cajas, subiría la convicción.</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48,57 USD</w:t>
      </w:r>
      <w:r>
        <w:t xml:space="preserve"> (rentabilidad +22,4 % (base +27,3 %)) · Valor intrínseco: 52,39 USD (+27,3 % sobre 41,16) · con la prima implícita del mercado: 62,19 (+51,1 %)</w:t>
      </w:r>
    </w:p>
    <w:p>
      <w:pPr>
        <w:spacing w:after="100"/>
      </w:pPr>
      <w:r>
        <w:t xml:space="preserve">Smurfit Westrock es el mayor fabricante de cajas de cartón del mundo: 31.179 M USD de ventas, 57 molinos de papel y 450 plantas de transformación en 40 países, con clientes de alimentación, bebidas y bienes de consumo que compran cajas cada semana [1]. Nació en julio de 2024 de la compra de WestRock por Smurfit Kappa, que ganaba un ROIC del 12-16 %; el grupo gana hoy un 5,3 %, por debajo de su WACC del 7,9 %, en el fondo del ciclo del cartón [1, 3].</w:t>
      </w:r>
    </w:p>
    <w:p>
      <w:pPr>
        <w:spacing w:after="100"/>
      </w:pPr>
      <w:r>
        <w:t xml:space="preserve">El precio (41,16 USD) descuenta que el margen EBITDA del 15-15,8 % de 2025-2026 es el normal: el DCF inverso pide ventas que bajen un 0,7 % al año o un margen del 15,8 % para siempre. Cotiza a 14,1 veces nuestro BPA de 2027e, en línea con su historia y con los comparables, y a 7,8 veces el EBITDA de los últimos 12 meses [27, 33].</w:t>
      </w:r>
    </w:p>
    <w:p>
      <w:pPr>
        <w:spacing w:after="100"/>
      </w:pPr>
      <w:r>
        <w:t xml:space="preserve">Para invertir hay que creer que el margen vuelve al 16,5-17,5 %: que las subidas de 100 USD/t en Norteamérica y 80 EUR/t en Europa llegan a las cajas, que la capacidad cerrada (unas 800.000 t en 2025-2026) y las sinergias sostienen los precios y que la dirección deja de recortar la guía [9, 15, 17]. No hace falta creer el plan de la empresa (unos 7.000 M de EBITDA en 2030): nuestro base se queda un 16 % bajo el consenso. El mercado acierta en desconfiar de la guía; se equivoca, creemos, al tratar el fondo del ciclo como permanente.</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 × 2,54 = 26,16 · 14,7x × 3,44 = 50,57 · 16,5x × 4,06 = 66,99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22,4 % / 27,3 %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56,47 (nuestro base -10,4 %)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74,2 % / -24,5 %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 frente a 7,9 % y 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 frente a 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(2,9 %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Comprar, rentabilidad del 31,7 %, asimetría de 3,03, bajista del -24,5 % y el precio descuenta 3,6 puntos menos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43,81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43,81 y 55,98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55,98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encima de 43,81 USD: pasaríamos a Mantener; por encima de 55,98 USD, a Vender.</w:t>
      </w:r>
    </w:p>
    <w:p>
      <w:pPr>
        <w:pStyle w:val="ListParagraph"/>
        <w:numPr>
          <w:ilvl w:val="0"/>
          <w:numId w:val="2"/>
        </w:numPr>
        <w:spacing w:after="60"/>
      </w:pPr>
      <w:r>
        <w:t xml:space="preserve">Guía de EBITDA ajustado de 2027 por debajo de 5.300 M: bajaríamos el base al bajista y la recomendación a Mantener.</w:t>
      </w:r>
    </w:p>
    <w:p>
      <w:pPr>
        <w:pStyle w:val="ListParagraph"/>
        <w:numPr>
          <w:ilvl w:val="0"/>
          <w:numId w:val="2"/>
        </w:numPr>
        <w:spacing w:after="60"/>
      </w:pPr>
      <w:r>
        <w:t xml:space="preserve">Margen EBITDA ajustado del 3T26 o 4T26 por encima del 16 % con los precios ya en las cajas: subiríamos la convicción.</w:t>
      </w:r>
    </w:p>
    <w:p>
      <w:pPr>
        <w:pStyle w:val="ListParagraph"/>
        <w:numPr>
          <w:ilvl w:val="0"/>
          <w:numId w:val="2"/>
        </w:numPr>
        <w:spacing w:after="60"/>
      </w:pPr>
      <w:r>
        <w:t xml:space="preserve">Precio por debajo de 39,60 USD: la compra pasaría las pruebas de robustez de BPA (no la de calidad).</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margen EBITDA del 15-15,8 % de 2025-2026 es el normal del grupo fusionado y que las subidas de precio se perderán otra vez: el precio equivale a un margen del 15,8 % para siempre.</w:t>
      </w:r>
    </w:p>
    <w:p>
      <w:pPr>
        <w:keepNext/>
        <w:spacing w:after="100"/>
      </w:pPr>
      <w:r>
        <w:rPr>
          <w:b/>
          <w:bCs/>
        </w:rPr>
        <w:t xml:space="preserve">Lo que creemos nosotros.</w:t>
      </w:r>
    </w:p>
    <w:p>
      <w:pPr>
        <w:spacing w:after="100"/>
      </w:pPr>
      <w:r>
        <w:t xml:space="preserve">El margen vuelve al 16,9 % en 2028e y al 17,4 % en 2030e, por debajo del plan de la empresa (19 %) y del consenso, con las subidas de 2026, la capacidad cerrada y las sinergias.</w:t>
      </w:r>
    </w:p>
    <w:p>
      <w:pPr>
        <w:keepNext/>
        <w:spacing w:after="100"/>
      </w:pPr>
      <w:r>
        <w:rPr>
          <w:b/>
          <w:bCs/>
        </w:rPr>
        <w:t xml:space="preserve">Por qué podemos tener razón.</w:t>
      </w:r>
    </w:p>
    <w:p>
      <w:pPr>
        <w:spacing w:after="100"/>
      </w:pPr>
      <w:r>
        <w:t xml:space="preserve">Smurfit Kappa ganó el 16-18 % en 2021-2023; el sector cierra capacidad (Smurfit Westrock, International Paper) y la empresa habla de «las condiciones de oferta más ajustadas en años» [3, 7, 17].</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41,1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Margen en el fondo del ciclo</w:t>
      </w:r>
      <w:r>
        <w:t xml:space="preserve">: 15,4 % en 2025 frente al 16-18 % de Smurfit Kappa en 2021-2023 [3].</w:t>
      </w:r>
    </w:p>
    <w:p>
      <w:pPr>
        <w:pStyle w:val="ListParagraph"/>
        <w:numPr>
          <w:ilvl w:val="0"/>
          <w:numId w:val="2"/>
        </w:numPr>
        <w:spacing w:after="60"/>
      </w:pPr>
      <w:r>
        <w:rPr>
          <w:b/>
        </w:rPr>
        <w:t xml:space="preserve">Subidas de precio fuera de la guía</w:t>
      </w:r>
      <w:r>
        <w:t xml:space="preserve">: 100 USD/t en Norteamérica desde septiembre y 80 EUR/t en Europa [17].</w:t>
      </w:r>
    </w:p>
    <w:p>
      <w:pPr>
        <w:pStyle w:val="ListParagraph"/>
        <w:numPr>
          <w:ilvl w:val="0"/>
          <w:numId w:val="2"/>
        </w:numPr>
        <w:spacing w:after="60"/>
      </w:pPr>
      <w:r>
        <w:rPr>
          <w:b/>
        </w:rPr>
        <w:t xml:space="preserve">Precio que no pide crecimiento</w:t>
      </w:r>
      <w:r>
        <w:t xml:space="preserve">: el DCF inverso implica ventas que bajan un 0,7 % al año.</w:t>
      </w:r>
    </w:p>
    <w:p>
      <w:pPr>
        <w:pStyle w:val="ListParagraph"/>
        <w:numPr>
          <w:ilvl w:val="0"/>
          <w:numId w:val="2"/>
        </w:numPr>
        <w:spacing w:after="60"/>
      </w:pPr>
      <w:r>
        <w:rPr>
          <w:b/>
        </w:rPr>
        <w:t xml:space="preserve">Dividendo del 4,4 %</w:t>
      </w:r>
      <w:r>
        <w:t xml:space="preserve"> con política progresiva y recompras previstas desde 2027 [10].</w:t>
      </w:r>
    </w:p>
    <w:p>
      <w:pPr>
        <w:pStyle w:val="ListParagraph"/>
        <w:numPr>
          <w:ilvl w:val="0"/>
          <w:numId w:val="2"/>
        </w:numPr>
        <w:spacing w:after="60"/>
      </w:pPr>
      <w:r>
        <w:rPr>
          <w:b/>
        </w:rPr>
        <w:t xml:space="preserve">Capacidad cerrada</w:t>
      </w:r>
      <w:r>
        <w:t xml:space="preserve">: unas 600.000 t en 2025 y más de 200.000 t en 2026 [9, 15].</w:t>
      </w:r>
    </w:p>
    <w:p>
      <w:pPr>
        <w:pStyle w:val="Heading2"/>
      </w:pPr>
      <w:r>
        <w:t xml:space="preserve">En contra</w:t>
      </w:r>
    </w:p>
    <w:p>
      <w:pPr>
        <w:pStyle w:val="ListParagraph"/>
        <w:numPr>
          <w:ilvl w:val="0"/>
          <w:numId w:val="2"/>
        </w:numPr>
        <w:spacing w:after="60"/>
      </w:pPr>
      <w:r>
        <w:rPr>
          <w:b/>
        </w:rPr>
        <w:t xml:space="preserve">ROIC por debajo del WACC</w:t>
      </w:r>
      <w:r>
        <w:t xml:space="preserve">: 5,3 % frente a 7,9 % desde la fusión [1].</w:t>
      </w:r>
    </w:p>
    <w:p>
      <w:pPr>
        <w:pStyle w:val="ListParagraph"/>
        <w:numPr>
          <w:ilvl w:val="0"/>
          <w:numId w:val="2"/>
        </w:numPr>
        <w:spacing w:after="60"/>
      </w:pPr>
      <w:r>
        <w:rPr>
          <w:b/>
        </w:rPr>
        <w:t xml:space="preserve">Guía recortada dos años seguidos</w:t>
      </w:r>
      <w:r>
        <w:t xml:space="preserve"> (octubre de 2025 y julio de 2026) [6].</w:t>
      </w:r>
    </w:p>
    <w:p>
      <w:pPr>
        <w:pStyle w:val="ListParagraph"/>
        <w:numPr>
          <w:ilvl w:val="0"/>
          <w:numId w:val="2"/>
        </w:numPr>
        <w:spacing w:after="60"/>
      </w:pPr>
      <w:r>
        <w:rPr>
          <w:b/>
        </w:rPr>
        <w:t xml:space="preserve">Compra frágil</w:t>
      </w:r>
      <w:r>
        <w:t xml:space="preserve">: con un BPA un 10 % peor la rentabilidad cae al 10,6 %; la v2 da un 12,1 %.</w:t>
      </w:r>
    </w:p>
    <w:p>
      <w:pPr>
        <w:pStyle w:val="ListParagraph"/>
        <w:numPr>
          <w:ilvl w:val="0"/>
          <w:numId w:val="2"/>
        </w:numPr>
        <w:spacing w:after="60"/>
      </w:pPr>
      <w:r>
        <w:rPr>
          <w:b/>
        </w:rPr>
        <w:t xml:space="preserve">Deuda de 2,9 veces el EBITDA</w:t>
      </w:r>
      <w:r>
        <w:t xml:space="preserve">: cada punto de margen vale 8-9 USD por acción.</w:t>
      </w:r>
    </w:p>
    <w:p>
      <w:pPr>
        <w:pStyle w:val="ListParagraph"/>
        <w:numPr>
          <w:ilvl w:val="0"/>
          <w:numId w:val="2"/>
        </w:numPr>
        <w:spacing w:after="60"/>
      </w:pPr>
      <w:r>
        <w:rPr>
          <w:b/>
        </w:rPr>
        <w:t xml:space="preserve">«No recurrentes» que se repiten</w:t>
      </w:r>
      <w:r>
        <w:t xml:space="preserve">: 709 M en 2024 y 531 M en 2025 [1].</w:t>
      </w:r>
    </w:p>
    <w:p>
      <w:pPr>
        <w:pStyle w:val="Heading2"/>
      </w:pPr>
      <w:r>
        <w:t xml:space="preserve">Qué tiene que pasar para que la tesis funcione</w:t>
      </w:r>
    </w:p>
    <w:p>
      <w:pPr>
        <w:spacing w:after="100"/>
      </w:pPr>
      <w:r>
        <w:t xml:space="preserve">Que las subidas de precio de septiembre de 2026 lleguen a las cajas: el EBITDA ajustado del 3T26 (guía ~1.300 M) y del 4T26, el margen de Norteamérica por encima del 16 % y la guía de 2027 de febrero (por encima de 5.600 M confirma el base; por debajo de 5.300 M, el bajista). Una tercera rebaja de guía o un precio del cartón que no sube en los índices de noviembre-diciembre dirían que la tesis no se cumple.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ajustado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1.250 M en el 3T26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del 3T es de ~1.300 M.</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de Norteamérica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60 % de las ventas y donde están las subidas.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de EBITDA de 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Sin publicar (2026: 4.900-5.100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5.300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base del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 (12 meses a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Condiciona las recompras y el riesgo.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Partidas no recurrentes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531 M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400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la calidad del beneficio ajustado.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7,8x / 6,4x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43,8x / 13,0x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2,9x · 3,1x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Smurfit Westrock nace el 5-jul-2024 de la combinación de Smurfit Kappa (Dublín) y WestRock (Atlanta). Smurfit Kappa venía de Jefferson Smurfit, fundada en Dublín en 1934 por la familia Smurfit, que se fusionó en 2005 con Kappa Packaging, salió a bolsa en 2007 y se convirtió en el líder europeo de cajas de cartón con un brazo latinoamericano [3]. WestRock venía de la fusión de MeadWestvaco y RockTenn en 2015 y de la compra de KapStone en 2018 [3]. La operación se pagó con una acción nueva más 5 USD por cada acción de WestRock; los accionistas de Smurfit Kappa quedaron con el 50,3 % y Tony Smurfit, hijo del antiguo presidente, dirige el grupo [2]. Cotiza en Nueva York y dejó Londres el 22-jun-2026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1934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Jefferson Smurfit funda en Dublín la empresa familiar de cajas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Jefferson Smurfit con Kappa Packaging: nace Smurfit Kappa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de Smurfit Kappa en Londres y Dublín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MeadWestvaco y RockTenn se fusionan y forman WestRock; Tony Smurfit, primer ejecutivo de Smurfit Kappa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WestRock compra KapStone; Smurfit Kappa rechaza la oferta de International Paper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Smurfit Kappa sale de Rusia (deterioro de 159 M)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Combinación con WestRock (5 de julio); cotización principal en Nueva York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Sinergias de más de 400 M; cierre de unas 600.000 t de capacidad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a medio plazo (EBITDA de ~7.000 M en 2030); salida de la bolsa de Londres (22-jun); compra del negocio chileno de CMPC por 420 M [10, 36, 38].</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Smurfit Westrock fabrica papel y embalaje de papel: cartón para cajas (virgen y reciclado), cajas de cartón ondulado, cartoncillo y estuches, bolsa-en-caja, sacos y papel kraft. Opera 57 molinos, 450 plantas de transformación y 70 centros de fibra recuperada en 40 países, con 97.000 empleados [1]. El 61 % de las ventas está en Norteamérica (cajas, cartoncillo SBS y CUK, estuches, celulosa), el 34 % en Europa, Oriente Medio, África y Asia-Pacífico y el 7 % en Latinoamérica (ventas agregadas de 2025) [1]. Vende a fabricantes de alimentación, bebidas, productos de consumo, comercio electrónico e industria; ningún cliente supera el 10 % [1]. El modelo es integrado: los molinos abastecen sobre todo a sus propias plantas de cajas y el excedente se vende a terceros [1].</w:t>
      </w:r>
    </w:p>
    <w:p>
      <w:pPr>
        <w:pStyle w:val="Heading2"/>
      </w:pPr>
      <w:r>
        <w:t xml:space="preserve">Cómo gana dinero</w:t>
      </w:r>
    </w:p>
    <w:p>
      <w:pPr>
        <w:spacing w:after="100"/>
      </w:pPr>
      <w:r>
        <w:t xml:space="preserve">Gana con el diferencial entre el precio del cartón y las cajas y el coste de la fibra (madera o papel recuperado), la energía, el flete y la mano de obra. Casi nada es contractual a largo plazo: los precios de las cajas siguen a los del papel con 1-6 meses de retraso [17]. Es un negocio de costes fijos altos (molinos que deben funcionar llenos): una parada económica o un punto de volumen mueve mucho el margen, y por eso la empresa cierra capacidad ineficiente [9]. En 2025 el precio y la mezcla sumaron 487 M a las ventas y el volumen restó 716 M [1]. El margen EBITDA ajustado va del 22 % de Latinoamérica al 14-15 % de Norteamérica y Europa [6]. La estacionalidad es baja; el segundo semestre suele ser algo más fuerte.</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18.577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 MEA y APAC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Latinoamérica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 y corporativo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27"/>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18.577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 MEA y APAC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Latinoamérica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 y corporativo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Base muy repartida: ningún cliente supera el 10 % de las ventas y la empresa evita la concentración por mercado [1]. Los contratos son de 1-3 años con fórmulas de precio indexadas a los índices del papel (en EE. UU., las publicaciones de Fastmarkets RISI), con un retraso de 1-6 meses en trasladar costes [17]. El poder de precios es cíclico, no estructural: en 2025 el precio sumó un 1,6 % a las ventas mientras el volumen restaba un 2,3 % [1], y en el 2T26 el precio aún restaba 60 M frente al año anterior antes de que llegaran las subidas de 2026 [7]. En Norteamérica la empresa está saliendo de clientes poco rentables: ha reducido de 80 a 20 las plantas de cajas con pérdidas, a costa de volumen [17].</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ajustado (combinado)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4.706 M (2024 combinado)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4.939 M (2025); 4.690 M LTM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4.900-5.100 M (era 5.000-5.300 M) [6, 9,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pro forma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30.919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31.179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y divisa compensan un volumen menor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Sinergias de la combinación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objetivo de 400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400 M a fin de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cumplido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anunciado en 2023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cerrada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~600.000 t en 2025; un molino británico de más de 200.000 t y 8 plantas en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 Paul, Forney, dos plantas alemanas [9, 15,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cajas (2T26, por días hábiles)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Norteamérica −4,8 %; Europa +1,5 %; Latinoamérica +1,0 %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Norteamérica sigue perdiendo volumen por la salida de clientes poco rentables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Plantas de cajas con pérdidas en Norteamérica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espera arreglar unas 10 de las 20 restantes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~97.000 (dic-25); −3.000 en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9]</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embalaje de cartón ondulado y los papeles para fabricarlo (cartón para cajas virgen y reciclado), con el cartoncillo para estuches como mercado vecino. Es un negocio regional: la caja viaja poco (radio de 200-300 km), así que la competencia se da en Norteamérica, Europa y Latinoamérica por separado. Usamos el tamaño mundial de Mordor Intelligence (205.740 M USD en 2026) como perímetro de la cuota [18] y, para el crecimiento de volumen, las previsiones de Numera que usa la propia empresa en su plan (1,6-2,0 % al año) [10]. Las dos cuentan historias compatibles: un mercado que crece algo más que el PIB real en volumen y en torno al 3,5-4 % en valor.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205.740 M USD en 2026 (mundo, cartón ondulado)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 en el mundo; concentrada por región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Comercio electrónico y sustitución del plástico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Mordor prevé +3,7 % anual en valor 2026-2031 [18]; la UE obliga a reducir envases de plástico de un solo uso (reglamento PPWR)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de bienes no duraderos y producción industrial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cajas en Norteamérica −4,8 % en el 2T26 y en Europa +1,5 %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cartón para cajas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en EE. UU. de 70 USD/t (marzo), 50 USD/t (junio) y 100 USD/t (septiembre de 2026); el plan de la empresa supone precios planos [10,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fibra recuperada, la energía y el flete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Flete +300 M y energía +220 M en 2026 frente a 2025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Cierres de capacidad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Smurfit Westrock cerró ~600.000 t en 2025 y más de 200.000 t en el Reino Unido en 2026; la empresa habla de «las condiciones de oferta más ajustadas en años» [7].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grupos (International Paper, Smurfit Westrock, PCA, Mondi y Stora Enso) dominan Norteamérica y Europa, pero los márgenes EBIT van del −11 % al 11 % y la sobrecapacidad obliga a parar máquinas [7,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supera el 10 % de las ventas [1], pero los grandes de consumo y distribución negocian contratos indexados al precio del papel con retraso de 1-6 meses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Fibra recuperada, madera, energía y flete son materias primas con precio de mercado: el flete subió 300 M en un año [7].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molino nuevo cuesta más de 1.000 M USD y tarda años; la integración molino-planta de cajas es la barrera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plástico pierde por regulación; la caja reutilizable y la reducción de gramaje son las amenazas reales [1].</w:t>
            </w:r>
          </w:p>
        </w:tc>
      </w:tr>
    </w:tbl>
    <w:p>
      <w:pPr>
        <w:spacing w:after="160" w:before="0"/>
      </w:pPr>
    </w:p>
    <w:p>
      <w:pPr>
        <w:pStyle w:val="Heading2"/>
      </w:pPr>
      <w:r>
        <w:t xml:space="preserve">Ciclo</w:t>
      </w:r>
    </w:p>
    <w:p>
      <w:pPr>
        <w:spacing w:after="100"/>
      </w:pPr>
      <w:r>
        <w:t xml:space="preserve">Tras dos años de volúmenes débiles (2023-2025) y paradas económicas, en 2026 los precios del cartón para cajas suben en EE. UU. y Europa y la empresa habla de molinos vendidos, aunque el volumen de cajas en Norteamérica sigue cayendo [7, 17]. En 2008-09 el sector perdió un 10-15 % de volumen y recuperó en dos años; en 2020 el comercio electrónico compensó la caída industrial; en 2022 los precios marcaron máximos y en 2023 cayeron con el desalmacenamiento de los clientes (ventas de Smurfit Kappa −10,5 %) [3].</w:t>
      </w:r>
    </w:p>
    <w:p>
      <w:pPr>
        <w:pStyle w:val="Heading2"/>
      </w:pPr>
      <w:r>
        <w:t xml:space="preserve">Regulación</w:t>
      </w:r>
    </w:p>
    <w:p>
      <w:pPr>
        <w:spacing w:after="100"/>
      </w:pPr>
      <w:r>
        <w:t xml:space="preserve">En la UE, el Reglamento de envases y residuos de envases (PPWR, en vigor desde 2025 y aplicable desde agosto de 2026) fija contenidos reciclados y objetivos de reutilización que favorecen al papel frente al plástico, pero abre la puerta a envases reutilizables en comercio electrónico y bebidas [1]. El régimen europeo de comercio de emisiones encarece la energía de los molinos [1]. En EE. UU., los aranceles de 2025-2026 afectan a los flujos de bienes de consumo y a la exportación de cartón [1]. Riesgo fiscal propio: que el IRS trate a la empresa como sociedad estadounidense (sección 7874) [1].</w:t>
      </w:r>
    </w:p>
    <w:p>
      <w:pPr>
        <w:pStyle w:val="Heading2"/>
      </w:pPr>
      <w:r>
        <w:t xml:space="preserve">Tendencias y disrupción</w:t>
      </w:r>
    </w:p>
    <w:p>
      <w:pPr>
        <w:spacing w:after="100"/>
      </w:pPr>
      <w:r>
        <w:t xml:space="preserve">Tres tendencias: el paso del plástico al papel (favorable), la reducción de gramaje que exige el cliente (desfavorable para el volumen en toneladas) y la integración vertical de los compradores de cartón (International Paper con DS Smith, PCA con el negocio de Greif) que concentra el mercado [20, 21]. Smurfit Westrock gana con la escala europea y latinoamericana y con un modelo de «agnosticismo de sustrato» en estuches, pero en Norteamérica aún pierde volumen al salir de clientes con margen bajo [7, 17].</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o 2.º del mundo en embalaje de papel por ventas (31.179 M USD en 2025, por delante de International Paper con 24.203 M) [1, 19]; n.º 1 en cartón ondulado en Europa y Latinoamérica y n.º 2 en Norteamérica tras International Paper [1]. Cuota calculada sobre el mercado mundial de Mordor (estimación propia: 31.326 M ÷ 205.740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International Paper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24.203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1 en Norteamérica; compró DS Smith en enero de 2025. EBIT negativo en 12 meses por deterioros y cierres [19,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Packaging Corp. of America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PKG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más rentable de EE. UU.: cartón para cajas y cajas integrados; compró el negocio de Greif en 2025 [19,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Graphic Packaging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GPK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Cartoncillo y estuches; compite con el negocio de consumo de Norteamérica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Mondi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MNDI.L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Europa y Sudáfrica: papel kraft, cajas y bolsas; EBIT negativo por deterioros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Stora Enso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STERV.HE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Europa: cartón para envases y cajas; vende parte de sus bosques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Klabin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KLBN11.SA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N.º 1 de Brasil: cartón y cajas con bosque propio; margen del 18 % [19].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 fabricante de embalaje.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Diseño de cajas, ingeniería y servicio próximo; pero los clientes licitan y la caja es casi un producto básico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Innovación en diseño (más de 200 clientes en su evento de abril de 2026) sin precio superior demostrado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Molinos integrados con fibra propia y bosques en Latinoamérica (308.000 acres) [3]; margen EBITDA de Latinoamérica del 22-23 % [A6].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 molinos y 450 plantas en 40 países; la caja no viaja, así que la densidad regional protege frente a entrantes [3].</w:t>
            </w:r>
          </w:p>
        </w:tc>
      </w:tr>
    </w:tbl>
    <w:p>
      <w:pPr>
        <w:spacing w:after="160" w:before="0"/>
      </w:pPr>
    </w:p>
    <w:p>
      <w:pPr>
        <w:pStyle w:val="Heading2"/>
      </w:pPr>
      <w:r>
        <w:t xml:space="preserve">Amenazas</w:t>
      </w:r>
    </w:p>
    <w:p>
      <w:pPr>
        <w:spacing w:after="100"/>
      </w:pPr>
      <w:r>
        <w:t xml:space="preserve">El foso es de escala y densidad regional, no de precio: el ROIC del grupo (≈5 %) no supera su coste de capital ni antes de la fusión con márgenes de Smurfit Kappa (≈11 % en 2022) [1, 2, 3]. Lo erosionarían una oleada de capacidad nueva en Norteamérica si los precios altos de 2026 se mantienen (probabilidad media; la pregunta de Jefferies en el 2T26 apunta ahí) [17], la reducción de gramaje y los envases reutilizables del PPWR (probabilidad baja-media a cinco años) y la competencia de PCA, que gana cuota con márgenes muy superiores (EBIT del 10,9 % frente al 5,0 %) [19].</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spacing w:after="100"/>
      </w:pPr>
      <w:r>
        <w:t xml:space="preserve">Crecimiento anual compuesto 2021-2025: ingresos </w:t>
      </w:r>
      <w:r>
        <w:rPr>
          <w:b/>
          <w:bCs/>
        </w:rPr>
        <w:t xml:space="preserve">27,1 %</w:t>
      </w:r>
      <w:r>
        <w:t xml:space="preserve">, EBITDA </w:t>
      </w:r>
      <w:r>
        <w:rPr>
          <w:b/>
          <w:bCs/>
        </w:rPr>
        <w:t xml:space="preserve">27,6 %</w:t>
      </w:r>
      <w:r>
        <w:t xml:space="preserve">, BPA </w:t>
      </w:r>
      <w:r>
        <w:rPr>
          <w:b/>
          <w:bCs/>
        </w:rPr>
        <w:t xml:space="preserve">-18,9 %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cifras publicadas mezclan perímetros: 2021-2023 son Smurfit Kappa sola (11.933-13.509 M USD de ventas), 2024 suma medio año de WestRock (21.109 M) y 2025 es el primer año completo (31.179 M) [1, 2, 3]. En base comparable el crecimiento es casi nulo: las ventas pro forma pasaron de 32.511 M en 2023 a 30.919 M en 2024 (−4,9 %) y a 31.179 M en 2025 (+0,8 %) [1]; sin la compra, 2025 subió 225 M por precio y mezcla (+487 M) y divisa (+452 M) contra un volumen que restó 716 M [1]. El EBITDA ajustado de la empresa fue de 4.706 M combinados en 2024 y 4.939 M en 2025 (+5,0 %), con un margen del 15,8 % [1, 13]. El margen EBIT publicado cayó del 11,5 % de 2022 al 5,5 % de 2025 por tres causas: más amortización (8,2 % de las ventas, por el mayor valor de los activos de WestRock), un negocio norteamericano con márgenes menores (16,1 % frente a 14,9 % en Europa sobre ventas agregadas) y 531 M de gastos no recurrentes en 2025 (deterioros y cierres por 385 M y costes de integración por 120 M) [1]. Los años 2022-2023 y 2024-2025 no son comparables en márgenes ni en rotación.</w:t>
      </w:r>
    </w:p>
    <w:p>
      <w:pPr>
        <w:pStyle w:val="Heading2"/>
      </w:pPr>
      <w:r>
        <w:t xml:space="preserve">Ajustes y partidas no recurrentes</w:t>
      </w:r>
    </w:p>
    <w:p>
      <w:pPr>
        <w:spacing w:after="100"/>
      </w:pPr>
      <w:r>
        <w:t xml:space="preserve">Usamos las cifras publicadas (US GAAP) y llevamos a no_recurrentes_en_ebitda lo que la propia empresa excluye de su EBITDA ajustado salvo los pagos en acciones: 200 M en 2022 (deterioro de Rusia 159 M y de Perú 12 M, reestructuración 29 M), 110 M en 2023 (costes de la combinación 78 M y otros 32 M), 709 M en 2024 (combinación 395 M, mayor valor de las existencias de WestRock 224 M, deterioros y reestructuración 56 M, otros 34 M) y 531 M en 2025 [1, 2]. No todo es extraordinario: los cierres de capacidad se repiten cada año desde la fusión (St. Paul y Forney en 2025, un molino británico y 8 plantas en 2026), así que tratamos una parte como coste recurrente en el DCF [6, 15]. El EBITDA ajustado de la empresa suma además los pagos en acciones (139 M en 2025; 206 M en 2024), por eso supera al nuestro [1]. El BPA ajustado básico fue de 4,69 USD en 2022, 3,63 en 2023, 2,34 en 2024 y 2,05 en 2025, frente a 3,96, 3,17, 0,82 y 1,33 publicados (diluidos) [1, 2, 9]. El 1T26 llevó además una amortización acelerada por cierres de máquinas (0,14 USD por acción) [6].</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El EBITDA de la tabla es el ajustado de la empresa (suma pagos en acciones y no recurrentes); el crecimiento de 3T24-2T25 no se da porque compara con trimestres sin WestRock [6, 9, 16]. En el 1T26 (30-abr) la dirección reafirmó 5.000-5.300 M de EBITDA ajustado para 2026 y anunció +50 USD/t en cajas en EE. UU.; el BPA ajustado (0,33 USD) quedó 0,07 por debajo del consenso [8]. En el 2T26 (29-jul) el EBITDA de 1.140 M cayó en el rango guiado (1.100-1.200 M), pero la guía anual bajó a 4.900-5.100 M por el flete (unos 300 M más caro que en 2025, frente a 50 M estimados en abril) y la energía (220-250 M) [6, 7, 17]. El discurso cambió de «entorno mejor» a «segundo semestre mejor y un 2027 muy bueno»: la dirección presentó la subida de 100 USD/t del cartón para cajas en Norteamérica (desde septiembre) y la de 80 EUR/t del cartón reciclado europeo como base de 2027, sin incluirlas en 2026 [17]. Los analistas preguntaron sobre todo por la realización de los precios, el volumen de cajas en Norteamérica (−4,8 % en el 2T) y si los precios altos atraerán capacidad nueva [7, 17]. La dirección evitó tres respuestas: el reparto regional del flete, la causa de la debilidad del volumen en junio y el plazo para volver a márgenes del 18 % en Europa [17].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(2024: WestRock, consolidada desde el 5-jul-2024: entra entera en el balance de 2024 y solo medio año en la cuenta (2021-2023 son Smurfit Kappa sola, el adquirente contable)).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bruta pasó de 3.747 M en 2023 a 13.595 M en 2024 al asumir la de WestRock (8.725 M) y emitir 2.750 M en bonos verdes para la parte en efectivo [1, 2]. A jun-26 la deuda es de 14.164 M (con 543 M de arrendamientos financieros y 601 M de pagarés) y la caja de 677 M: deuda neta de 13.487 M, unas 2,9 veces el EBITDA ajustado de los últimos 12 meses (4.690 M), lejos del objetivo de menos de 2,0 veces [4, 6, 10]. Si se suman los 659 M de cuentas a cobrar vendidas, la deuda neta económica es de 14.146 M. El circulante comercial (existencias + clientes − proveedores) es del 14,0 % de las ventas en 2025, por encima del 12,5 % de Smurfit Kappa en 2023, porque WestRock trabajaba con más existencias [1, 3]. El calendario es cómodo: solo 895 M vencen en 2026-2027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2.643</w:t>
      </w:r>
      <w:r>
        <w:t xml:space="preserve">, conversión </w:t>
      </w:r>
      <w:r>
        <w:rPr>
          <w:b/>
          <w:bCs/>
        </w:rPr>
        <w:t xml:space="preserve">72 %</w:t>
      </w:r>
      <w:r>
        <w:t xml:space="preserve"> del beneficio neto; adquisiciones 1.327, dividendos 2.656, recompras 159.</w:t>
      </w:r>
    </w:p>
    <w:p>
      <w:pPr>
        <w:spacing w:after="100"/>
      </w:pPr>
      <w:r>
        <w:t xml:space="preserve">El flujo operativo saltó de 1.483 M en 2024 a 3.392 M en 2025 con el primer año entero de WestRock, y la inversión de 1.466 M a 2.192 M (7,0 % de las ventas) [1]. El FCF de 2025 (1.157 M tras arrendamientos) cubrió el dividendo (900 M) pero no dejó caja para reducir deuda: la deuda neta apenas se movió [1]. En el 1S26 el flujo operativo cayó a 969 M (1.064 M un año antes) por el aumento de las cuentas a cobrar (−666 M), y el FCF del semestre fue negativo (−147 M tras 1.089 M de inversión); el dividendo del semestre (474 M) se financió con pagarés (+446 M) [6]. La guía de inversión es de 2.400-2.500 M en 2026 y 2.400-2.800 M al año hasta 2030, de la que unos 4.000 M en cinco años son de crecimiento (unos 800 M al año) [7, 10]. Estimación propia: la inversión de mantenimiento es de unos 1.600-1.700 M al año, por debajo de la amortización contable (2.600 M), que está inflada por el mayor valor asignado a los activos de WestRock.</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(Dublín)</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KPMG audita las cuentas de 2025 sin salvedades y también audita el control interno (primer año obligatorio de la sección 404 para la empresa) [1]. Los riesgos contables son de juicio, no de manipulación: la asignación del precio de WestRock (13.461 M) creó 4.000 M de fondo de comercio y revalorizó el inmovilizado, lo que eleva la amortización y deprime el BPA publicado [1, 2]; los deterioros y cierres se repiten cada año desde la fusión (56 M en 2024, 385 M en 2025, 173 M en el 1S26), así que el EBITDA ajustado sobrestima algo el beneficio recurrente [1, 6]; la venta de cuentas a cobrar (659 M) y los programas de financiación de proveedores mejoran el flujo operativo sin figurar como deuda [1]. Los pagos en acciones (139 M en 2025, el 20 % del beneficio neto) se suman al EBITDA ajustado [1]. Lectura de los indicadores del motor: el Altman Z y el Beneish M de 2024 no son interpretables por el cambio de perímetro (el balance triplica sin que la cuenta lo haga); el Piotroski de 2025 refleja la mejora del flujo de caja frente a 2024.</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«no recurrentes» que se repiten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cierres e integración en cada año desde 2024: 709 M, 531 M y 197 M en el 1S26 [1, 6]. Parte es coste estructural del ajuste de capacidad.</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de cuentas a cobrar y financiación de proveedores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659 M de cuentas a cobrar vendidas fuera del balance a dic-25; las tratamos como deuda en el puente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 entre EBITDA ajustado y publicado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4.939 M frente a 4.269 M en 2025: la empresa excluye también los pagos en acciones (139 M)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 fiscal en Brasil sin provisión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144 M USD en disputa, ganado en primera instancia en 2025 y recurrido por Hacienda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19.524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30.681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7.218 M en 2025 (el 23 % del capital invertido medio); ha subido más de un 5 % en 2 de 3 años: compra única grande. ROIC publicado 5,3 %; sin fondo de comercio, 6,9 %.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1,6 % · </w:t>
      </w:r>
      <w:r>
        <w:rPr>
          <w:b/>
          <w:bCs/>
        </w:rPr>
        <w:t xml:space="preserve">WACC</w:t>
      </w:r>
      <w:r>
        <w:t xml:space="preserve">: 7,9 %.</w:t>
      </w:r>
    </w:p>
    <w:p>
      <w:pPr>
        <w:spacing w:after="100"/>
      </w:pPr>
      <w:r>
        <w:t xml:space="preserve">Smurfit Westrock no crea valor hoy: el ROIC fue del 5,3 % en 2024 y 2025 frente a un WACC del 7,9 % [1]. Smurfit Kappa sola sí lo creaba (15,6 % en 2022 y 12,6 % en 2023), con un margen EBIT del 10-12 % y una rotación de una vez el capital. La fusión duplicó la rotación a la baja (0,73 veces en 2024) y bajó el margen: WestRock ganaba menos y su inmovilizado se revalorizó en la compra (4.000 M de fondo de comercio y más amortización) [2]. El ROIC incremental de 2021-2025 es del 1,6 %: el crecimiento comprado no ha rendido aún. Packaging Corp. gana un margen EBIT del 10,9 % y International Paper pierde dinero por deterioros [19]. Para volver al WACC hace falta el plan: unos 7.000 M de EBITDA en 2030 llevarían el ROIC al 9-10 % [10].</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13.487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14.146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677 M a 30-jun-2026 más 4.500 M de crédito sindicado sin disponer (vence en junio de 2031 tras la segunda prórroga) y líneas de titulización; 5.452 M de liquidez a dic-25 [1,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Baa2 (perspectiva positiva), S&amp;P BBB (estable), Fitch BBB+ (estable), según la dirección en la conferencia del 2T26 [17]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Sin covenants financieros en el crédito sindicado [1]. Venta de cuentas a cobrar sin recurso (Rabobank, 700 M, y SMBC, 100 M): 659 M vendidos y dados de baja a dic-25, que no aparecen como deuda; su coste (38 M) va en otros gastos [1]. Además, programas de cobro anticipado de clientes (6 % de las cuentas a cobrar) y de financiación de proveedores [1]. Pensiones: pasivo de 672 M a jun-26 frente a un activo de pensiones de 677 M (neto casi nulo) [4]. Litigio fiscal en Brasil heredado de WestRock (790 M BRL, 144 M USD), sin provisión: la empresa dice no tener responsabilidad y ganó en primera instancia la parte 2003-2008 en febrero de 2025 [1]. Compromiso posterior al balance: compra del negocio de cartón ondulado de CMPC en Chile por 420 M, con cierre previsto en el 1S27 [38].</w:t>
      </w:r>
    </w:p>
    <w:p>
      <w:pPr>
        <w:pStyle w:val="Heading1"/>
      </w:pPr>
      <w:r>
        <w:t xml:space="preserve">12. Asignación de capital</w:t>
      </w:r>
    </w:p>
    <w:p>
      <w:pPr>
        <w:pStyle w:val="Confianza"/>
        <w:spacing w:after="100"/>
      </w:pPr>
      <w:r>
        <w:t xml:space="preserve">Confianza: Media</w:t>
      </w:r>
    </w:p>
    <w:p>
      <w:pPr>
        <w:spacing w:after="100"/>
      </w:pPr>
      <w:r>
        <w:t xml:space="preserve">Dividendo trimestral de 0,4523 USD por acción desde febrero de 2026 (+5 %; 1,81 USD al año, unos 950 M) con una política «progresiva» [9]. El plan a medio plazo (febrero de 2026) promete dividendos de unos 5.000 M en 2026-2030 y capacidad para recompras desde 2027, con una deuda neta objetivo de menos de 2,0 veces el EBITDA y una inversión de 2.400-2.800 M al año [10]. Las compras serán complementos regionales: en septiembre de 2026 acordó la del negocio chileno de CMPC por 420 M, a menos de 6 veces el EBITDA con sinergias [38]. No hay recompras en curso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WestRock (EE. UU.): combinación por acciones más 5 USD por acción en efectivo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258,2 M de acciones nuevas (12.098 M) y 1.291 M en efectivo con bonos verdes; asume 8.725 M de deuda neta de la caja de WestRock</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Sinergias de más de 400 M en 2025 (objetivo cumplido) [9]; el EBITDA combinado subió solo un 5 % en 2025 y la acción cotiza un 24 % por debajo del cierre de 2024; ROIC del grupo por debajo del coste de capital.</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compras pequeñas (Argentina, Reino Unido, Brasil, España)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Integradas sin deterioros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Verzuolo (Italia) y otras compras de Smurfit Kappa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 neto de 480 M en el año; sin deterioros posteriores [3].</w:t>
            </w:r>
          </w:p>
        </w:tc>
      </w:tr>
    </w:tbl>
    <w:p>
      <w:pPr>
        <w:spacing w:after="160" w:before="0"/>
      </w:pPr>
    </w:p>
    <w:p>
      <w:pPr>
        <w:spacing w:after="100"/>
      </w:pPr>
      <w:r>
        <w:t xml:space="preserve">La asignación de capital desde la fusión ha sido prudente pero no ha creado valor todavía: el ROIC bajó del 12,6 % de Smurfit Kappa en 2023 al 5,3 % del grupo en 2024-2025, por debajo del WACC del 7,9 %, porque WestRock se compró a 1,06 veces sus ventas con márgenes bajos y su inmovilizado se revalorizó [1, 2]. La caja se dedica a capex (2.192 M en 2025, el 7,0 % de las ventas) y a dividendos (900 M), sin recompras; la deuda neta bajó de 4,0 a 2,7 veces el EBITDA [1]. El plan 2026-2030 promete unos 5.000 M de dividendos, recompras desde 2027 y una deuda neta por debajo de 2 veces [10]; la compra de CMPC en Chile (420 M) es pequeña y a menos de 6 veces el EBITDA con sinergias [38]. Lo que más valor crearía es cerrar la capacidad que no gana su coste, y lo está haciendo (unas 600.000 t en 2025 y más de 200.000 t en el Reino Unido en 2026) [9, 15].</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Anthony (Tony) Smurfit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del grupo (President &amp; Group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 Smurfit Kappa y predecesoras desde 1989 y primer ejecutivo de Smurfit Kappa en 2015-2024 [22]. Bajo su mando Smurfit Kappa mantuvo márgenes EBITDA del 16-18 % y rechazó la oferta de International Paper de 2018; en Smurfit Westrock ha cumplido las sinergias (más de 400 M) pero ha recortado la guía dos años seguidos [6].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Ken Bowles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(EVP &amp; Group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grupo desde 1994; director financiero de Smurfit Kappa desde 2016 y de Smurfit Westrock desde 2024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Irial Finan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independiente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Smurfit Kappa en 2019-2024; antes, vicepresidente ejecutivo de Coca-Cola y presidente de su grupo embotellador (2004-2017)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Laurent Sellier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primer ejecutivo de Norteamérica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 de Smurfit Kappa en Europa y Latinoamérica; dirige la región que más pesa y peor rinde (margen del 14,8 % en el 2T26) [1, A6].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Saverio Mayer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ejecutivo de Europa, MEA y APAC</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 de Smurfit Kappa en Europa; región con mejor comportamiento relativo según la empresa [1, A6].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combinado de ~4.700 M (tras la fusión)</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4.706 M combinados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5.000-5.200 M (jul-25); recortada a 4.900-5.100 M (oct-25)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4.939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Sinergias de 400 M a fin de 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400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5.000-5.300 M (feb-26, reafirmada en abril); recortada a 4.900-5.100 M (jul-26)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2.216 M en el 1S26; 3T guiado en ~1.300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heredado casi entero de Smurfit Kappa: el primer ejecutivo, el director financiero, el presidente y los jefes regionales llevan más de una década en el grupo [22]. La credibilidad sufre por dos recortes de guía seguidos (octubre de 2025 y julio de 2026), atribuidos a la demanda y al flete; las sinergias sí se cumplieron [6]. Tony Smurfit tiene 62 años y no hay sucesor público; el consejo dice hacer planificación de la sucesión [22]. La remuneración del primer ejecutivo (16,4 M USD en 2025) es alta para el sector [22].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Irial Finan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(presidente), Ejecutiva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Anthony Smurfit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Ken Bowles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Kaisa Hietala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(presidenta),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Colleen F. Arnold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Timothy J. Bernlohr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(presidente), Finanzas,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Carole L. Brown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entrante),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Carol Fairweather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Finanzas (presidenta), Auditoría,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Mary Lynn Ferguson-McHugh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Suzan F. Harrison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Jørgen Buhl Rasmussen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Alan D. Wilson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 Nombramientos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3,35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a 30-sep-2025 [22]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a 30-sep-2024 [22]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Research Global Investors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a 31-dic-2025; nuevo 13G/A en agosto de 2026 [22, 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(18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2,40 M de acciones a 25-feb-2026; Tony Smurfit 1,60 M [22]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706.129 acciones a 30-jun-2026 [4]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Laurent Sellier (Norteamérica)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Ken Bowles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Anthony Smurfit (primer ejecutivo)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variable anual de 2025 (objetivo del 175 % del salario; pagó 3,0 M USD, por encima del objetivo) se mide en un 80 % con métricas financieras (EBITDA ajustado, caja libre y sinergias) y en un 20 % con seguridad y objetivos estratégicos [22]. El variable a largo plazo son PSU a tres años ligadas al TSR relativo (40 %), al BPA ajustado acumulado (30 %) y al ROCE medio (30 %), más RSU que se consolidan por tercios solo por permanencia [22]. El ROCE es una buena métrica para un negocio de capital intensivo, pero el BPA ajustado excluye los cierres recurrentes. La retribución total del primer ejecutivo bajó de 21,3 M en 2024 (año de la fusión) a 16,4 M en 2025, 271 veces el empleado medio; la «retribución realmente pagada» fue negativa (−0,7 M) por la caída de la acción [22]. Voto consultivo: 95,32 % a favor en 2025 y 93,82 % en 2026 [23, 24].</w:t>
      </w:r>
    </w:p>
    <w:p>
      <w:pPr>
        <w:pStyle w:val="Heading2"/>
      </w:pPr>
      <w:r>
        <w:t xml:space="preserve">Operaciones vinculadas, estructura de control y defensas</w:t>
      </w:r>
    </w:p>
    <w:p>
      <w:pPr>
        <w:spacing w:after="100"/>
      </w:pPr>
      <w:r>
        <w:t xml:space="preserve">No hay accionista de control: los tres primeros son gestoras indexadas o institucionales (26,5 % entre las tres) y la familia Smurfit tiene menos del 0,5 % [22]. Una acción, un voto; consejo de 12 con 10 independientes, presidente independiente separado del primer ejecutivo y consejera coordinadora [22]. Todos los consejeros se eligen cada año [22]. Como sociedad irlandesa, el consejo necesita autorización de la junta para emitir acciones sin derecho de suscripción preferente: en 2026 obtuvo solo un 83,8 % a favor, el voto más bajo de la junta [23]. No hay operaciones vinculadas relevantes; la política exige aprobación de la comisión de auditoría por encima de 120.000 USD [22].</w:t>
      </w:r>
    </w:p>
    <w:p>
      <w:pPr>
        <w:pStyle w:val="Heading2"/>
      </w:pPr>
      <w:r>
        <w:t xml:space="preserve">Señales de alerta</w:t>
      </w:r>
    </w:p>
    <w:p>
      <w:pPr>
        <w:pStyle w:val="ListParagraph"/>
        <w:numPr>
          <w:ilvl w:val="0"/>
          <w:numId w:val="2"/>
        </w:numPr>
        <w:spacing w:after="60"/>
      </w:pPr>
      <w:r>
        <w:t xml:space="preserve">Dos recortes de la guía anual en nueve meses (oct-25 y jul-26) [6].</w:t>
      </w:r>
    </w:p>
    <w:p>
      <w:pPr>
        <w:pStyle w:val="ListParagraph"/>
        <w:numPr>
          <w:ilvl w:val="0"/>
          <w:numId w:val="2"/>
        </w:numPr>
        <w:spacing w:after="60"/>
      </w:pPr>
      <w:r>
        <w:t xml:space="preserve">Ventas de acciones de los tres primeros directivos en febrero de 2026 (3,36 M USD, sin plan 10b5-1), tras la consolidación de acciones del plan; ninguna compra en mercado en 12 meses [25].</w:t>
      </w:r>
    </w:p>
    <w:p>
      <w:pPr>
        <w:pStyle w:val="ListParagraph"/>
        <w:numPr>
          <w:ilvl w:val="0"/>
          <w:numId w:val="2"/>
        </w:numPr>
        <w:spacing w:after="60"/>
      </w:pPr>
      <w:r>
        <w:t xml:space="preserve">Retribución del primer ejecutivo de 16,4 M USD, 271 veces el empleado medio, con TSR negativo desde la fusión [22].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Para 2026, EBITDA ajustado de 4.900-5.100 M USD (recortado el 29-jul desde 5.000-5.300 M) y unos 1.300 M en el 3T; inversión de 2.400-2.500 M, amortización de ~2.600 M, intereses en caja de ~700 M y tipo impositivo de ~29 % [6, 7]. Plan a medio plazo (11-feb-2026): EBITDA ajustado de ~7.000 M en 2030 (+7 % anual en 2026-2030), +300 pb de margen, ~14.000 M de caja libre discrecional acumulada (sin 4.000 M de inversión de crecimiento), dividendos de ~5.000 M, recompras desde 2027 y deuda neta de menos de 2,0 veces el EBITDA; supone mercado al 1,6-2,0 % y precios del papel planos en Norteamérica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35.037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31.958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32.144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33.716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34.361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34.728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35.037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6.133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56,47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46,00 – 69,00</w:t>
            </w:r>
          </w:p>
        </w:tc>
      </w:tr>
    </w:tbl>
    <w:p>
      <w:pPr>
        <w:spacing w:after="160" w:before="0"/>
      </w:pPr>
    </w:p>
    <w:p>
      <w:pPr>
        <w:pStyle w:val="Heading2"/>
      </w:pPr>
      <w:r>
        <w:t xml:space="preserve">Revisiones de estimaciones</w:t>
      </w:r>
    </w:p>
    <w:p>
      <w:pPr>
        <w:spacing w:after="100"/>
      </w:pPr>
      <w:r>
        <w:t xml:space="preserve">Los 17 analistas recomiendan comprar (12 «compra fuerte» y 5 «compra») y lo hacían también hace tres meses [30]. El BPA ajustado de 2026 de S&amp;P Global es de 2,05 USD (−1,6 % sobre 2025) y el de 2027 de 3,53 USD (+72 %) [30]; MarketScreener da 1,72 USD para 2026 con una base distinta (más cerca del publicado) y la misma cifra de 2027 [28]. Tras el recorte de la guía de julio, varios bancos bajaron objetivos (RBC a 55 USD el 16-oct) y otros los subieron por las subidas de precio del papel (Jefferies a 62 USD el 13-oct) [29]. Solo una fuente gratuita da estimaciones completas a tres años (MarketScreener); el objetivo y las recomendaciones se contrastan con Stock Analysis.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-53,5 %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serie de Yahoo antes de julio de 2024 es la de Smurfit Kappa en USD. En diez años la acción rindió un 10,2 % anual con dividendos, frente al 15,4 % del S&amp;P 500 y el 10,2 % del sector de materiales (XLB) [27]. El último año fue malo en términos relativos: +2,4 % frente a +16,1 % del índice, con una caída del 12,2 % el 29-oct-2025 por el recorte de la guía de 2025 y otra del 5,0 % el 29-jul-2026 por el de 2026 [27, 34]. 2025 terminó con −26,2 % (el índice +17,7 %) [27]. La beta mensual de cinco años es de 0,91 (semanal de dos años 0,80) y la volatilidad anual del 43,9 %, alta para un fabricante de embalaje por las sacudidas de los resultados [27]. La acción se mueve con International Paper: las dos cayeron en mayo y subieron un 24-25 % en el mes hasta el 18-jun-2026 por las subidas del cartón [34].</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 / -4,6 % / -2,6 % / -1,4 %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-20,6 % / +25,5 %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lateral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 de la guía de EBITDA de 2025 a 4.900-5.100 M y más paradas en el 4T [11]; recortes de objetivos de Wells Fargo y Truist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feb-mar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Días de −5,0 % (23-feb) y −5,9 % (12-mar) tras el plan a medio plazo y con el sector a la baja; sin hecho propio publicado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mes hasta el 19-may-2026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del 1T26 por debajo del consenso (30-abr), recortes de objetivos (Morgan Stanley a 57 USD, RBC a 53) y anuncio de la salida de Londres (20-may); International Paper cayó un 20,4 % en el mismo mes [34, 36, 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mes hasta el 18-jun-2026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del sector por las subidas del cartón para cajas (50 USD/t en junio en EE. UU., 60 EUR/t en Europa); IP +25,3 % [8, A17].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8-jul y 29-jul-2026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−6,5 % el 8-jul (sector) y −5,0 % el 29-jul por el recorte de la guía de 2026 a 4.900-5.100 M por el flete [6,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RBC baja el objetivo a 55 USD (desde 60); Jefferies lo sube a 62 (13-oct). Los 17 analistas siguen en comprar [29,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negocio de cartón ondulado de CMPC en Chile por 420 M USD (menos de 6 veces el EBITDA con sinergias), pagada con caja; cierre en el 1S27 si lo aprueba la FNE chilena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2026 recortada a 4.900-5.100 M; subida de 100 USD/t del cartón para cajas en Norteamérica desde septiembre, no incluida en la guía [6, 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Inspección del regulador del estado de Washington en un molino; sin sanción conocida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Exclusión de la bolsa de Londres completada: cotiza solo en Nueva York; posibles ventas de fondos británicos ya pasadas [36].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Tony Smurfit (40.000 acciones, 2,06 M USD), Ken Bowles (0,51 M) y Laurent Sellier (0,78 M) tras consolidar acciones del plan; el primer ejecutivo conserva 1,6 M de acciones [22,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3T26 (fecha estimada por el calendario de 2025, 29-oct; la empresa aún no la ha confirmado): guía de ~1.300 M de EBITDA ajustado [6].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cotiza a 41,16 USD, un 20,6 % bajo el máximo de 52 semanas y un 5,2 % bajo la media de 200 sesiones, en tendencia lateral, con una caída del 9,5 % en el último mes sin noticia propia (RBC recortó el objetivo el 16-oct) [29, 34]. Los movimientos fuertes de 12 meses tienen causa conocida: dos recortes de guía y el ciclo de precios del cartón que mueve igual a International Paper [34]. No hay colocaciones, ampliaciones ni ofertas pendientes; la compra chilena es pequeña (2 % de la capitalización) y se paga con caja [38]. Los resultados del 3T26 (hacia el 28-oct) no aplazan la decisión (regla 11).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Los múltiplos publicados están distorsionados por la fusión. El PER de los últimos 12 meses (43,8x) usa un BPA de 0,94 USD lastrado por deterioros, cierres y la amortización de la revalorización de WestRock; con el BPA ajustado de 2025 (2,05) sería de 20,1x [6, 9]. En base adelantada, Smurfit Kappa cotizó entre 10,3x y 15,3x el BPA ajustado del año siguiente en 2020-2022 y el grupo, entre 18x y 26x en 2024-2025, cuando el beneficio estaba en el fondo del ciclo [27]. Hoy cotiza a 14,1x nuestro BPA de 2027e, cerca de la mediana adelantada (15,3x). El EV/EBITDA de los últimos 12 meses (7,8x) está algo por encima de su media de tres años (6,5x) porque el EBITDA está en un año flojo; con el EBITDA ajustado de 2026e de la guía (~5.000 M) baja a 7,2x [7].</w:t>
      </w:r>
    </w:p>
    <w:p>
      <w:pPr>
        <w:pStyle w:val="Heading1"/>
      </w:pPr>
      <w:r>
        <w:t xml:space="preserve">18. Comparables cotizados</w:t>
      </w:r>
    </w:p>
    <w:p>
      <w:pPr>
        <w:pStyle w:val="Confianza"/>
        <w:spacing w:after="100"/>
      </w:pPr>
      <w:r>
        <w:t xml:space="preserve">Confianza: Media</w:t>
      </w:r>
    </w:p>
    <w:p>
      <w:pPr>
        <w:spacing w:after="100"/>
      </w:pPr>
      <w:r>
        <w:t xml:space="preserve">Fabricantes cotizados de papel para embalaje, cartón ondulado y cartoncillo en Norteamérica, Europa y Latinoamérica: International Paper, Packaging Corp. of America, Graphic Packaging, Sonoco, Greif, Mondi, Stora Enso, Klabin y Billerud. Todas con datos de Yahoo del 16-19-oct-2026 en USD; PER de los próximos 12 meses con 2/12 del ejercicio en curso y 10/12 del siguiente [33].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Smurfit Westrock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21.671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International Paper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Packaging Corp. of America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21.027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Graphic Packaging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Sonoco Products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Greif</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Mondi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Stora Enso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Klabin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Billerud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 / 7,3x / 8,3x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 / 14,6x / 17,4x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31.326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 / 1,0x / 1,2x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Smurfit Westrock cotiza a 13,0 veces el beneficio de los próximos 12 meses frente a una mediana de 14,6 veces en nueve comparables, y a 7,8 veces el EBITDA de los últimos 12 meses frente a 7,4-13,5 veces de los que tienen EBITDA limpio [33]. El descuento frente a Packaging Corp. (18,1x), el más rentable de EE. UU. (margen EBITDA del 19 %), se explica por el margen (14,6 %) y la deuda (2,9 veces el EBITDA frente a 1,9). Frente a International Paper (12,3x), su rival directo tras comprar DS Smith, cotiza en línea. Los europeos (Mondi 16,8x, Stora Enso 14,6x) cotizan con prima por el ciclo europeo más temprano [33]. Excluimos del EV/EBITDA a International Paper, con un EBITDA de 12 meses roto por deterioros, y el crecimiento de Greif, distorsionado por su venta de negocios.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WestRock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Smurfit Kappa (Smurfit Westrock)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21.583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Contraprestación 13.461 M + deuda asumida 8.725 M − caja 603 M [2]; ventas de WestRock en 2023 de ~20.400 M (pro forma 32.511 − 12.093 de Smurfit Kappa) [1]. Estimación propia del múltiplo de ventas.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 Smith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International Paper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empresa de ~7.800 M GBP en la oferta (×1,2645 USD/GBP) [21]; pago en acciones de IP. BofA situó el múltiplo de mercado de DS Smith en 7,5 veces el EBITDA ajustado de 2024 [21].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 cartón para cajas de Greif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Packaging Corporation of America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1.800 M en efectivo; 8,5 veces el EBITDA de 12 meses (212 M) y 6,6 veces con 60 M de sinergias; ventas de ~1.200 M [35].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de Schumacher Packaging en Europa occidental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Mondi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empresa de 634 M EUR (×1,095) sobre 66 M EUR de EBITDA ajustado de 2023: 9,6 veces; 7,2 veces con 22 M de sinergias (cálculo propio) [39].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Negocio de cartón ondulado de CMPC en Chile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Smurfit Westrock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de 6 veces el EBITDA ajustado con sinergias según la compradora (tomamos 6,0 como techo); un molino de 250.000 t y tres plantas [38].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8,0x (7,1x – 8,8x)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42,60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35,00 – 49,34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compras recientes del sector se pagaron a 7,5-9,6 veces el EBITDA (6-7 veces con sinergias): DS Smith por International Paper a unas 7,5 veces, el negocio de Greif por PCA a 8,5 veces y Schumacher por Mondi a 9,6 veces; CMPC Chile, a menos de 6 veces con sinergias [21, 35, 38, 39]. La propia fusión valoró WestRock a 1,06 veces sus ventas [2]. A la mediana de 8,0 veces el EBITDA de los últimos 12 meses, Smurfit Westrock valdría por encima del precio, lo que confirma que el mercado no paga hoy una prima de control. Pesa poco (5 %) porque son activos más pequeños y con sinergias.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pro forma bajaron de 32.511 M en 2023 a 30.919 M en 2024 y subieron un 0,8 % en 2025 (31.179 M), con volúmenes planos y precios que no aguantaron [2, 9]. En el 1S26 crecieron un 0,9 % [6, 8]. Proyectamos un 2,5 % en 2026e (año fijo; el 2S con la subida de 100 USD/t desde septiembre), un 5,5 % en 2027e por el efecto de año entero de las subidas en Norteamérica y Europa, un 3 % en 2028e y un 2,5 % después: volumen del 1-1,5 % (Numera prevé un 1,6-2,0 % para el mercado [10]) y precio cerca de la inflación. El consenso espera +3,1 %, +6,9 % y +2,0 % [28].</w:t>
      </w:r>
    </w:p>
    <w:p>
      <w:pPr>
        <w:keepNext/>
        <w:spacing w:after="100"/>
      </w:pPr>
      <w:r>
        <w:rPr>
          <w:b/>
          <w:bCs/>
        </w:rPr>
        <w:t xml:space="preserve">Márgenes.</w:t>
      </w:r>
    </w:p>
    <w:p>
      <w:pPr>
        <w:spacing w:after="100"/>
      </w:pPr>
      <w:r>
        <w:t xml:space="preserve">El margen EBITDA del motor (el ajustado de la empresa menos la retribución en acciones) fue del 15,4 % en 2025 y del 14,6 % en los últimos 12 meses; Smurfit Kappa ganaba el 16-18 % en 2021-2023 [1, 3]. La guía de 2026 (4.900-5.100 M de EBITDA ajustado) supone un 15,0 % [7]. Proyectamos un 16,2 % en 2027e y un 17,4 % desde 2030e: subidas de precio, sinergias ya logradas (más de 400 M), cierre de unas 800.000 t de capacidad poco rentable y menos coste de energía; por debajo del plan de la empresa (unos 7.000 M de EBITDA en 2030, un 19 % de margen) [9, 10].</w:t>
      </w:r>
    </w:p>
    <w:p>
      <w:pPr>
        <w:keepNext/>
        <w:spacing w:after="100"/>
      </w:pPr>
      <w:r>
        <w:rPr>
          <w:b/>
          <w:bCs/>
        </w:rPr>
        <w:t xml:space="preserve">Inversión y circulante.</w:t>
      </w:r>
    </w:p>
    <w:p>
      <w:pPr>
        <w:spacing w:after="100"/>
      </w:pPr>
      <w:r>
        <w:t xml:space="preserve">El capex fue del 6,9 % de las ventas en 2024 y del 7,0 % en 2025 (2.192 M); la guía de 2026 es de 2.400-2.500 M (7,7 %) y el plan, de 2.400-2.800 M al año [1, 7, 10]. Proyectamos un 7,7 % en 2026e y un 7,4 % después. La amortización (8,1 % en 2026e, ~2.600 M según la guía) incluye la de los intangibles de WestRock y baja hasta el 7,3 %, por debajo del capex al final. El circulante se queda en el 14 % de las ventas, el de 2025 (2024 está inflado por el balance de WestRock a final de año) [1].</w:t>
      </w:r>
    </w:p>
    <w:p>
      <w:pPr>
        <w:keepNext/>
        <w:spacing w:after="100"/>
      </w:pPr>
      <w:r>
        <w:rPr>
          <w:b/>
          <w:bCs/>
        </w:rPr>
        <w:t xml:space="preserve">Coste del capital.</w:t>
      </w:r>
    </w:p>
    <w:p>
      <w:pPr>
        <w:spacing w:after="100"/>
      </w:pPr>
      <w:r>
        <w:t xml:space="preserve">Bono del Tesoro de EE. UU. a 10 años del 16-oct-2026 (5,09 %) [31]; beta de 0,95 (0,91 a 5 años mensual, 0,80 semanal a 2 años, 0,94-1,05 ajustadas) [27]; prima de mercado del 5,5 % y sin prima adicional (más del 80 % de las ventas está en EE. UU. y Europa [1]). Coste de los fondos propios del 10,31 %. Coste de la deuda del 5,5 % antes de impuestos (cupón medio de ~5,3 % y rating BBB/Baa2 con perspectiva positiva) [1] y un peso de la deuda del 39 % a valor de mercado (14.164 M de deuda frente a 21.671 M de capitalización). WACC del 7,90 %.</w:t>
      </w:r>
    </w:p>
    <w:p>
      <w:pPr>
        <w:keepNext/>
        <w:spacing w:after="100"/>
      </w:pPr>
      <w:r>
        <w:rPr>
          <w:b/>
          <w:bCs/>
        </w:rPr>
        <w:t xml:space="preserve">Valor terminal.</w:t>
      </w:r>
    </w:p>
    <w:p>
      <w:pPr>
        <w:spacing w:after="100"/>
      </w:pPr>
      <w:r>
        <w:t xml:space="preserve">Gordon con un crecimiento del 2,5 %: inflación de EE. UU. y Europa más un volumen de cajas que crece algo con el comercio electrónico y la sustitución del plástico [10, 18], por debajo del 3,7 % que Mordor prevé en valor. El valor terminal es el 62 % del valor de empresa y el múltiplo implícito, 7,6 veces el EBITDA, en la parte baja de las transacciones (7,5-9,6 veces).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84,44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 M (3 %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(reinvierte el 114 %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 (histórico: 1,6 %)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 frente al 2,9 %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 (hoy: 15,2 %)</w:t>
            </w:r>
          </w:p>
        </w:tc>
      </w:tr>
    </w:tbl>
    <w:p>
      <w:pPr>
        <w:spacing w:after="160" w:before="0"/>
      </w:pPr>
    </w:p>
    <w:p>
      <w:pPr>
        <w:spacing w:after="100"/>
      </w:pPr>
      <w:r>
        <w:t xml:space="preserve">La proyección apenas necesita inversión neta de la amortización (reinversión acumulada de 879 M, el 3 % del NOPAT, con un capex bruto medio del 7,4 % de las ventas). En un negocio de activos ligeros, el crecimiento medio del 2,9 % tiene que salir de subir precios y de ganar volumen sin capital nuevo, y la prueba es el poder de precios y la cuota (15,3 % del mercado en 2030e, frente al 15,2 %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plano (el 1S26 tuvo volúmenes de cajas algo negativos en Norteamérica y planos en Europa [6, 17]), precio del +1,5 % (la subida de 100 USD/t desde septiembre solo cuenta cuatro meses) y un punto de tipo de cambio por el euro más fuerte.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+1 %, precio del +3,5 % (año entero de las subidas de 100 USD/t en Norteamérica y 80 EUR/t en Europa, si se trasladan a las cajas) y un punto de cambio y de la compra de CMPC Chile.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+1,5 % (Numera: 1,6-2,0 % para el mercado [10]), precio del +1 % y medio punto de mezcla.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+1,5 % y precio del +1 %.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+1,5 % y precio del +1 %. Ventas de 36.486 M: el 15,3 % del mercado mundial de cartón ondulado de Mordor en 2030e (238.200 M), frente al 15,2 % de hoy [18]: la cuota no cambia.</w:t>
            </w:r>
          </w:p>
        </w:tc>
      </w:tr>
    </w:tbl>
    <w:p>
      <w:pPr>
        <w:spacing w:after="160" w:before="0"/>
      </w:pPr>
    </w:p>
    <w:p>
      <w:pPr>
        <w:spacing w:after="100"/>
      </w:pPr>
      <w:r>
        <w:t xml:space="preserve">Sí. La proyección crece un 2,9 % al año, en línea con el mercado (3,7 % en valor según Mordor) y con una cuota que no se mueve (15,2 % → 15,3 %) [18]. No pide capital nuevo: el capex se queda en el 7,4 % de las ventas, cerca de la amortización, y la reinversión neta es el 3 % del NOPAT. El foso es estrecho pero real (escala regional, molinos integrados con las plantas de cajas y coste de transporte que limita la competencia lejana) [1]. Lo que no está probado es el poder de precios: las subidas de 2023 y 2025 se perdieron en parte [6]. La prueba que mira la calidad no falla porque el crecimiento es de precio, no de capital; el problema de Smurfit Westrock es el nivel del ROIC (5,3 %), no la sostenibilidad del crecimiento.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 (base: 2,9 %)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15,8 % (base: 17,4 %)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 (WACC: 7,9 %)</w:t>
            </w:r>
          </w:p>
        </w:tc>
      </w:tr>
    </w:tbl>
    <w:p>
      <w:pPr>
        <w:spacing w:after="160" w:before="0"/>
      </w:pPr>
    </w:p>
    <w:p>
      <w:pPr>
        <w:spacing w:after="100"/>
      </w:pPr>
      <w:r>
        <w:t xml:space="preserve">El DCF da 55,34 USD por acción, un 34,5 % sobre el precio, con un WACC del 7,90 % y un crecimiento terminal del 2,5 %; el valor terminal es el 62 % del valor de empresa y la deuda neta ajustada (14.146 M con las cuentas a cobrar vendidas) es un tercio del valor de empresa del DCF. El DCF inverso dice que el precio de hoy equivale a que las ventas bajen un 0,7 % al año entre 2027 y 2035, o a un margen EBITDA del 15,8 % para siempre frente al 17,4 % del base, y a una rentabilidad implícita del 9,0 % frente al WACC del 7,9 %. Un margen del 15,8 % es el de 2025 (15,4 %) y el de la guía de 2026: el mercado paga el fondo del ciclo como si fuera permanente. No es exigente: Smurfit Kappa ganó el 16-18 % en 2021-2023 y la empresa promete un 19 % en 2030 [3, 10]. El riesgo está en el plazo: cada punto de margen vale unos 8-9 USD por acción y la empresa lleva dos años recortando la guía.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de cajas sigue plana en EE. UU., las subidas de septiembre de 2026 no se trasladan y Europa sigue con exceso de capacidad: 2,5 puntos menos de crecimiento y 1,5 puntos menos de margen desde 2027 (margen final del 15,9 %).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subidas de precio llegan en su mayor parte, la capacidad cerrada sostiene los precios y el margen EBITDA sube al 16,9 % en 2028e y al 17,4 % en 2030e, por debajo del plan de la empresa.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ciclo gira como en 2021-2022: volumen del 2-3 %, subidas que se quedan y un margen del 18,4 %, cerca del plan de unos 7.000 M de EBITDA en 2030.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41,1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53,37 USD (+29,7 %).</w:t>
      </w:r>
    </w:p>
    <w:p>
      <w:pPr>
        <w:spacing w:after="100"/>
      </w:pPr>
      <w:r>
        <w:t xml:space="preserve">Probabilidades del 25/50/25. El alcista gana un 74,2 % y el bajista pierde un 24,5 %: una asimetría de 3,0 veces que compensa. El bajista no es una quiebra: con el margen de 2025 para siempre la acción vale 31 USD, porque la deuda (2,9 veces el EBITDA) amplifica cualquier punto de margen. La asimetría depende de que el margen de 2025 sea el fondo: en 2021-2023 Smurfit Kappa nunca bajó del 16 % [3].</w:t>
      </w:r>
    </w:p>
    <w:p>
      <w:pPr>
        <w:pStyle w:val="Heading1"/>
      </w:pPr>
      <w:r>
        <w:t xml:space="preserve">22. Suma de partes</w:t>
      </w:r>
    </w:p>
    <w:p>
      <w:pPr>
        <w:pStyle w:val="Confianza"/>
        <w:spacing w:after="100"/>
      </w:pPr>
      <w:r>
        <w:t xml:space="preserve">Confianza: Media</w:t>
      </w:r>
    </w:p>
    <w:p>
      <w:pPr>
        <w:spacing w:after="100"/>
      </w:pPr>
      <w:r>
        <w:t xml:space="preserve">No aplica: los tres segmentos hacen lo mismo (papel y cajas) en regiones distintas, sin filiales cotizadas ni negocios con riesgo distinto.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41,1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52,39 USD (+27,3 % sobre 41,16).</w:t>
      </w:r>
    </w:p>
    <w:p>
      <w:pPr>
        <w:spacing w:after="100"/>
      </w:pPr>
      <w:r>
        <w:t xml:space="preserve">El valor intrínseco (52,39 USD, +27,3 %) sale en un 50 % del DCF (55,34), un 25 % de los escenarios (53,37 de media ponderada), un 20 % de los comparables por PER (46,26) y un 5 % de las transacciones (42,60, mediana de 8,0 veces el EBITDA). El DCF pesa más porque el negocio es estable a largo plazo (cajas para alimentación y bienes de consumo) y el ciclo se ve mejor en diez años que en un múltiplo de un año flojo; los comparables están deprimidos por el mismo ciclo y los deterioros de International Paper y Mondi. La dispersión es moderada (43-55 USD en los métodos centrales) y todos quedan por encima del precio; solo el bajista (31,08) queda por debajo. Con la prima implícita del mercado (4,2 %), el DCF sube a 68,58 USD: el resultado depende poco de la prima y mucho del margen.</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(14.2x) a mitad de camino hacia la mediana de 5 años (15.3x)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66,99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+67,2 %</w:t>
            </w:r>
          </w:p>
        </w:tc>
      </w:tr>
    </w:tbl>
    <w:p>
      <w:pPr>
        <w:spacing w:after="160" w:before="0"/>
      </w:pPr>
    </w:p>
    <w:p>
      <w:pPr>
        <w:spacing w:after="100"/>
      </w:pPr>
      <w:r>
        <w:rPr>
          <w:b/>
          <w:bCs/>
        </w:rPr>
        <w:t xml:space="preserve">Objetivo a 12 meses (ponderado):</w:t>
      </w:r>
      <w:r>
        <w:t xml:space="preserve"> 48,57 USD · rentabilidad +22,4 % (base +27,3 %) · señal Comprar.</w:t>
      </w:r>
    </w:p>
    <w:p>
      <w:pPr>
        <w:spacing w:after="100"/>
      </w:pPr>
      <w:r>
        <w:t xml:space="preserve">Para comparar, con la regla v2 (historia al cierre, mismo precio): 8,0x / 14,2x / 14,6x, 12,1 %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2027e (2,91 USD) está un 18 % por debajo del consenso (3,53, MarketScreener) y el de 2028e (3,44) un 16 % por debajo (4,08) [28]. Las ventas casi coinciden (−1-2 %); la diferencia está en el margen (EBITDA 6,7 % y 4,3 % más bajo en 2027e y 2028e) y en que no suponemos recompras. Lo mantenemos: la empresa ha recortado la guía dos años seguidos y las subidas de precio de 2023 y 2025 no llegaron enteras [6]. Nuestro precio base (50,57 USD) queda un 10 % bajo el objetivo medio de los analistas (56,47).</w:t>
      </w:r>
    </w:p>
    <w:p>
      <w:pPr>
        <w:keepNext/>
        <w:spacing w:after="100"/>
      </w:pPr>
      <w:r>
        <w:rPr>
          <w:b/>
          <w:bCs/>
        </w:rPr>
        <w:t xml:space="preserve">Del valor intrínseco al objetivo a 12 meses.</w:t>
      </w:r>
    </w:p>
    <w:p>
      <w:pPr>
        <w:spacing w:after="100"/>
      </w:pPr>
      <w:r>
        <w:t xml:space="preserve">El objetivo a 12 meses (48,57 USD) da un 22,4 % con dividendo (27,3 % en el caso base): el PER del base es 14,7x (la v3 lleva el actual, 14,1x, a mitad de camino hacia la mediana adelantada de 15,3x) sobre un BPA de 2028e de 3,44 USD, más un 4,4 % de dividendo. El BPA crece un 30 % al año desde 2026e porque el margen sube desde el fondo del ciclo, no porque las ventas crezcan: es lo que hay que creer. La regla v2 de control da un 12,1 % (Mantener), y con un BPA un 10 % peor la rentabilidad baja mucho: por eso la compra no es robusta. El valor intrínseco (52,39) queda un 8 % por encima del objetivo: cerrarlo exige que los resultados de 2027 confirmen las subidas de precio.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2026-10-28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guía del 4T [37]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apunta a ~1.300 M de EBITDA ajustado en el 3T; dirá cuánto de la subida de 100 USD/t de septiembre llega a las cajas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EBITDA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guía por encima de 5.600 M confirmaría el base; por debajo de 5.300 M, el bajista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Primeras recompras del plan a medio plazo, si la deuda neta baja de ~2,5 veces el EBITDA [10]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1.000 M de recompra al precio de hoy sube el BPA un 4-5 %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CMPC Chile (420 M) tras la aprobación de la FNE [38]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Pequeño: unos 70 M de EBITDA con sinergias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cierres de capacidad en Norteamérica y Europa (propios y de rivales) [15, 17]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Sostienen los precios; cuestan deterioros puntuales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(voto de la remuneración y renovación del consejo) [23]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Poco efecto en valor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Las subidas de precio del cartón no llegan a las cajas y el margen se queda en el 15 %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y 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−36 % a 12 meses en el bajista (10,3x × 2,54); DCF de 31,08 USD con 1,5 puntos menos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cerrada en el sector (Smurfit Westrock, International Paper) y «las condiciones de oferta más ajustadas en años» [7,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Índice de precios del cartón para cajas (Fastmarkets RISI) sin subir en noviembre-diciembre de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cajas plana o negativa en EE. UU. (consumo, aranceles)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−8-9 USD por acción por cada punto de margen EBITDA permanente (cálculo propio con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 parte de los clientes son de alimentación, bebidas y bienes de consumo, menos cíclicos que la industria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Envíos de cajas de la FBA por debajo del −2 % interanual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alta en un año flojo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La deuda neta ajustada (14.146 M) es el 40 % del valor de empresa: cada 10 % de bajada del valor de empresa resta un 17 % al de la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Grado de inversión (BBB/Baa2 positiva), vencimientos escalonados (312 M en 2026)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por encima de 3 veces el EBITDA ajustado o rebaja de rating</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«no recurrentes» que se repiten (cierres, deterioros, integración)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−5 % del valor si 300 M al año fueran recurrentes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sinergias ya superan los 400 M y los cierres bajan el coste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Partidas no recurrentes por encima de 400 M en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energía, fibra recuperada y flete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La guía de 2026 perdió ~300 M por flete y ~220 M por energía [7]: 1,7 puntos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Biomasa propia en los molinos integrados y contratos de energía a plazo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 en Europa (TTF) por encima de 50 EUR/MWh o fibra recuperada (OCC) por encima de 150 USD/t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Credibilidad de la guía (dos recortes seguidos)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mercado ya descuenta un margen del 15,8 % para siempre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sinergias sí se cumplieron; el consejero delegado tiene historia de márgenes estables en Smurfit Kappa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 recorte de guía o guía de 2027 por debajo de 5.300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grandes que vuelvan a bajar el ROIC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Recogido en 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pequeñas y a menos de 6 veces el EBITDA (CMPC Chile) [38]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más de 2.000 M antes de bajar la deuda de 2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envases y emisiones (PPWR en la UE, CO₂)</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Neutral o positivo: la PPWR favorece el papel frente al plástico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 parte de la fibra en Europa es reciclada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Cuotas de reutilización que sustituyan cajas de un solo uso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9</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bajo; la caja de cartón no es sustituible por software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0 % a 3-5 años; algo de mejora de costes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usa IA en planificación de molinos y diseño de envases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con costes de planta claramente menores por automatización</w:t>
            </w:r>
          </w:p>
        </w:tc>
      </w:tr>
    </w:tbl>
    <w:p>
      <w:pPr>
        <w:spacing w:after="160" w:before="0"/>
      </w:pPr>
    </w:p>
    <w:p>
      <w:pPr>
        <w:pStyle w:val="Heading2"/>
      </w:pPr>
      <w:r>
        <w:t xml:space="preserve">Pre-mortem</w:t>
      </w:r>
    </w:p>
    <w:p>
      <w:pPr>
        <w:spacing w:after="100"/>
      </w:pPr>
      <w:r>
        <w:t xml:space="preserve">Es octubre de 2029 y la acción ha perdido un 40 %. Lo que pasó: las subidas de 100 USD/t de septiembre de 2026 no llegaron a las cajas. Los clientes grandes (alimentación y comercio electrónico) negociaron precios con el cartón ya en máximos y la demanda de cajas en EE. UU. siguió plana por los aranceles y el consumo débil. International Paper, con DS Smith, defendió cuota con precio en Europa y Norteamérica. El margen EBITDA se quedó en el 15 % en 2027 y 2028, la empresa recortó la guía por tercera vez y el EBITDA de 2028 fue de 5.000 M en vez de 6.000 M. Con 14.000 M de deuda, cada punto de margen perdido restaba 8-9 USD por acción; el plan de recompras se aplazó y el dividendo (1,81 USD, el 90 % del beneficio ajustado) dejó de subir. El mercado dejó de creer en el plan de 7.000 M de EBITDA en 2030 y la acción volvió a 25 USD, el mínimo de un PER de 10 veces sobre un BPA de 2,5. El indicador que lo habría anticipado: el precio del cartón para cajas publicado por Fastmarkets en noviembre y diciembre de 2026 y la guía de 2027 de febrero, por debajo de 5.300 M.</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Neutral · </w:t>
      </w:r>
      <w:r>
        <w:rPr>
          <w:b/>
          <w:bCs/>
        </w:rPr>
        <w:t xml:space="preserve">Efecto en valor (3-5 años):</w:t>
      </w:r>
      <w:r>
        <w:t xml:space="preserve"> 0 % a 3-5 años en el valor del negocio; quizá +1-2 % por ahorro de costes en planificación y mantenimiento (estimación propia)</w:t>
      </w:r>
    </w:p>
    <w:p>
      <w:pPr>
        <w:spacing w:after="100"/>
      </w:pPr>
      <w:r>
        <w:t xml:space="preserve">La IA no sustituye una caja de cartón: el producto es físico y su coste es fibra, energía, mano de obra de planta y transporte, que la IA casi no toca. Puede ayudar en tres sitios: planificación de los molinos y de las rutas de camiones, mantenimiento predictivo y diseño de envases (la empresa ya usa herramientas digitales de diseño y datos de sus plantas) [1]. El comercio electrónico, que la IA puede impulsar, es favorable para las cajas. La demanda de centros de datos no cambia el negocio. La señal sería que un competidor bajase de forma visible su coste por tonelada gracias a la automatización, algo que no vemos en las cuentas de International Paper ni de PCA [19].</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Tres asuntos mueven las cifras. El coste de la energía y del CO₂ en los molinos: la energía subirá unos 220 M en 2026 y Europa está sometida al comercio de emisiones [1, 7]. La financiación verde: la mayor parte de los bonos (bonos verdes de 2030 a 2054) está ligada a proyectos de descarbonización, lo que abarata el coste [4]. Y la seguridad laboral en 450 plantas y 57 molinos con 97.000 empleados [1]. El paso del plástico al papel por regulación (PPWR) es la oportunidad comercial [1].</w:t>
      </w:r>
    </w:p>
    <w:p>
      <w:pPr>
        <w:pStyle w:val="Heading2"/>
      </w:pPr>
      <w:r>
        <w:t xml:space="preserve">Controversias</w:t>
      </w:r>
    </w:p>
    <w:p>
      <w:pPr>
        <w:spacing w:after="100"/>
      </w:pPr>
      <w:r>
        <w:t xml:space="preserve">Inspección del regulador del estado de Washington en un molino en julio de 2026 (titular de Seeking Alpha; sin sanción conocida) [37]. Multa de la autoridad italiana de la competencia de 2019 (124 M EUR) pagada en 2021, con un reembolso parcial de 18 M en 2024 [2, 3]. Sin otras sanciones relevantes encontradas en los 10-K.</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subida de 100 USD/t de septiembre se ha trasladado ya a las cajas y en cuántos meses llega el resto?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BPA de 2027e; en 2023 y 2025 se perdió parte [6, 17].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van los envíos de cajas por día en Norteamérica y Europa en el 3T26 frente al 3T25?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base del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sobrecoste de flete (~300 M) y energía (~220 M) de 2026 es permanente?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el recorte de guía de julio [7].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más capacidad queda por cerrar y cuánto costará en deterioros?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«no recurrentes» se repiten cada año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qué nivel de deuda empiezan las recompras y qué prioridad tienen frente a las compras como CMPC?</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promete recompras desde 2027 [10].</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Contabilidad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mejoran el flujo operativo la venta de cuentas a cobrar (659 M) y la financiación de proveedores, y van a crecer?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fuera de balance que sumamos al puente [1].</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($SW)</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Mensajes de corto plazo: opciones de compra a enero de 2027, el sector «subiendo» con las subidas de precio del cartón de PCA e IP, Morgan Stanley nombrando a SW su favorita del sector tras el 2T26; poca discusión de fondo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opinión)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piezas alcistas («el recorte de guía oculta un 2027 más fuerte», «inflexión de demanda y poder de precios», «mi favorita a largo plazo», «atractiva aunque se endeuda con otra compra») y una bajista («sobrevalorada por encima de 40 USD»)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TIKR (blog con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caída de mayo se atribuye a que los márgenes no se recuperan aunque la demanda mejore y a que la salida de Londres no es un catalizador [40].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Las subidas del cartón harán de 2027 un año muy bueno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subidas existen (100 USD/t en EE. UU. desde septiembre) pero el consenso ya pone un EBITDA de 6.007 M en 2027 (+22 %); nuestro caso base es más prudente [17, 28].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Recortes de guía y credibilidad de la dirección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recortes en nueve meses; el 2T26 cumplió el rango trimestral [6].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y nuevas 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de 2,9 veces el EBITDA ajustado; la compra chilena (420 M) es pequeña y se paga con caja [4, 38].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barata por EV/EBITDA o cara por beneficio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de ~7-8 veces, en línea con el sector, pero PER publicado alto por la amortización y los cierres [33].</w:t>
            </w:r>
          </w:p>
        </w:tc>
      </w:tr>
    </w:tbl>
    <w:p>
      <w:pPr>
        <w:spacing w:after="160" w:before="0"/>
      </w:pPr>
    </w:p>
    <w:p>
      <w:pPr>
        <w:spacing w:after="100"/>
      </w:pPr>
      <w:r>
        <w:t xml:space="preserve">Poco debate de particulares para una empresa de 21.000 M: el tono se reparte entre quienes esperan un 2027 fuerte por los precios del papel y quienes ven una empresa endeudada que recorta la guía. Coincide con los analistas (17 de 17 en comprar) en el optimismo sobre 2027, y no hay euforia ni capitulación. Lo que el informe añade es la distancia entre ese optimismo y el rendimiento del capital: el sentimiento no habla del ROIC por debajo del coste de capital. No cambia la decisión.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23 controles correctos y 3 explicados. Fuentes: 42 (25 primarias); citas distintas en el texto: 39.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43,0 %: explica la causa (créditos fiscales, regularizaciones, mezcla de países) y no lo proyectes en el DCF. Explicación: El 43 % de 2024 es del año de la fusión: costes de la operación y deterioros que no deducen y la mezcla de medio año de WestRock [2]. En 2025 fue del 27 % (260 M sobre 959 M) y la guía de 2026 es de ~29 % sobre el beneficio ajustado [7]. No se proyecta: el DCF usa el 28 % en 2026e y el 27 % después.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15,3 % en 2030e frente al 15,2 %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14,0 % frente a 14,0 % real: genera una variación de circulante de 110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v2 (historia al cierre) da Mantener con 12,1 %: para comprar o ampliar hace falta motivo de negocio propio; para mantener basta la vigente. Explicación: La regla v2 (PER de cierre: mediana de 14,35x, con 2024 excluido) da Mantener con un 12,1 % porque toma el PER de hoy sobre el BPA de 2028e; la v3 (vigente) da un 22,4 % ponderado y un 27,3 % en el base. Decide la v3; la compra no es robusta y lo decimos en la síntesis. El motivo de negocio propio son las subidas de precio del cartón de septiembre de 2026, que la guía de 2026 no incluye [7, 17].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(3,44) supone un 37,3 % anual desde 1,33 (2025): explícalo en valoracion.objetivo_12m.comentario o la confianza es baja. Explicación: El BPA publicado de 2025 (1,33 USD) está deprimido por 531 M de deterioros, cierres e integración [1]; el BPA ajustado de la empresa fue de 2,05 USD [9]. Desde nuestro 2026e (2,03) al 2028e (3,44) hay un +30 % anual que sale del margen (15,0 % → 16,9 %: subidas de 100 USD/t en Norteamérica y 80 EUR/t en Europa, capacidad cerrada y menos coste de energía) sobre unas ventas que solo crecen un 4,2 % al año. El consenso es más optimista (4,08 USD en 2028e) [28]. Es el supuesto que más pesa y lo tratamos como la objeción principal (robustez con BPA −10 %).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Comprar, rentabilidad del 31,7 %, asimetría de 3,03, bajista del -24,5 % y el precio descuenta 3,6 puntos menos de crecimiento que el caso base)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42 fuentes (25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 12, 14.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historico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Folleto 424B3: solo balances de Smurfit Kappa en US GAAP a 2022 y 2023; 2) 10-K 2024 y 2025: balances de 2023-2025; 3) informe anual 2021 de Smurfit Kappa: en NIIF y EUR, no comparable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15 del 10-K 2025: solo vencimientos; 2) 10-Q del 2T26: tabla por emisión sin vida media; 3) cálculo con el calendario: el tramo 2031+ (7.861 M) no se desglosa por año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anios_auditor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nombra a KPMG sin año de inicio; 2) DEF 14A 2026: ratificación sin antigüedad; 3) folleto de 2024: KPMG ya auditaba Smurfit Kappa, sin fecha de inicio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dpa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Folleto 424B3: dividendos pagados (365 M) sin DPA en USD; 2) 10-K 2024: DPA solo desde 2022; 3) cálculo: 365 M ÷ 259 M de acciones = 1,41 USD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 y 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Mordor Intelligence: solo «fragmentado» y previsión 2026-2031; 2) 10-K 2025, competencia: sin cuotas; 3) Grand View, IMARC y Fortune Business Insights: páginas sin cifras o no disponibles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sin calificaciones; 2) DEF 14A 2026: menciona evaluación de sostenibilidad sin notas; 3) búsqueda de MSCI y Sustainalytics: sin página abierta con la nota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(ficha): sin dato de cortos en la herramienta; 2) Stock Analysis: sin cifra en la página de previsiones; 3) FINRA: dato quincenal no descargado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de WestRock y DS Smith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2024 de Smurfit Westrock: contraprestación sin EBITDA de WestRock; 2) DEFM14A de International Paper: solo rango 6,2-13,1 veces de las operaciones del sector; 3) prensa: múltiplos con sinergias o mezclados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estados consolidados 2025-2023, segmentos, deuda (nota 15), venta de cuentas a cobrar (nota 14), deterioros y cierres (nota 5), contingencias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Smurfit Westrock plc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https://www.sec.gov/Archives/edgar/data/2005951/000162828026012555/smur-20251231.htm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2024: estados 2024-2022, conciliación del EBITDA ajustado y del BPA ajustado 2022-2024, combinación con WestRock (nota 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Smurfit Westrock plc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https://www.sec.gov/Archives/edgar/data/2005951/000200595125000005/smur-20241231.htm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Folleto de la combinación (424B3): estados de Smurfit Kappa en US GAAP y USD 2021-2023 (cuenta, flujos, balance 2022-2023)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Smurfit WestRock Ltd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https://www.sec.gov/Archives/edgar/data/2005951/000110465924052947/tm243828-17_424b3.htm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2T26: balance a 30-jun-2026, deuda por emisiones, acciones (524.522.908 a 24-jul-2026), BPA diluido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Smurfit Westrock plc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https://www.sec.gov/Archives/edgar/data/2005951/000162828026051195/smur-20260630.htm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Smurfit Westrock plc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https://www.sec.gov/Archives/edgar/data/2005951/000162828026029089/smur-20260331.htm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2T26 (8-K, anexo 99.1): cuenta, segmentos, balance, flujos y conciliación del EBITDA ajustado; guía del 3T y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Smurfit Westrock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https://www.sec.gov/Archives/edgar/data/2005951/000110465926087794/tm2621489d1_ex99-1.htm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2T26 (anexo 99.2): guía 2026 (amortización ~2.600 M, intereses ~700 M, impuesto ~29 %, inversión 2.400-2.500 M), puentes del EBITDA y volúmenes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Smurfit Westrock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https://www.sec.gov/Archives/edgar/data/2005951/000110465926087794/tm2621489d1_ex99-2.htm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1T26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Smurfit Westrock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https://www.sec.gov/Archives/edgar/data/2005951/000110465926052046/tm2613071d1_ex99-1.htm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4T25 y de 2025 (8-K, anexo 99.1): sinergias de más de 400 M, ~600.000 t cerradas, −3.000 empleos, guía 2026 de 5.000-5.300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Smurfit Westrock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https://www.sec.gov/Archives/edgar/data/2005951/000110465926012986/tm265780d1_ex99-1.htm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Medium-Term Investor Update (8-K, anexo 99.2): objetivos 2026-2030 (EBITDA ajustado ~7.000 M en 2030, +300 pb de margen, ~14.000 M de caja libre discrecional, dividendos ~5.000 M, recompras desde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Smurfit Westrock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https://www.sec.gov/Archives/edgar/data/2005951/000110465926012986/tm265780d1_ex99-2.htm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3T25 (recorte de la guía 2025 a 4.900-5.100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Smurfit Westrock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https://www.sec.gov/Archives/edgar/data/2005951/000110465925103425/tm2529644d1_ex99-1.htm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2T25 (guía 2025 de 5.000-5.200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Smurfit Westrock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https://www.sec.gov/Archives/edgar/data/2005951/000110465925071932/tm2521995d1_ex99-1.htm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4T24 y 2024 (EBITDA ajustado combinado de 4.706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Smurfit Westrock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https://www.sec.gov/Archives/edgar/data/2005951/000110465925011789/tm256218d1_ex99-1.htm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3T24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Smurfit Westrock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https://www.sec.gov/Archives/edgar/data/2005951/000110465924112399/tm2427058d1_ex99-1.htm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cierres: molino de cartón reciclado de St. Paul (Minnesota), producción de Forney (Texas) y dos plantas en Alemania (más de 500.000 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Smurfit Westrock plc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https://www.sec.gov/Archives/edgar/data/2005951/000110465925042628/tm2513671d1_ex99-1.htm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Hechos XBRL de Smurfit Westrock (companyfacts): cuenta trimestral 2024-2026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https://data.sec.gov/api/xbrl/companyfacts/CIK0002005951.json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del 2T26 (precios de +100 USD/t en EE. UU., +80 EUR/t en cartón reciclado europeo, flete +300 M, ratings)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https://www.webull.com/news/15364343857030144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Corrugated Board Packaging Market: tamaño 2026 y previsión 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Mordor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https://www.mordorintelligence.com/industry-reports/corrugated-board-packaging-market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Yahoo Finance de los competidores (ventas, EBIT y EBITDA de los últimos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https://finance.yahoo.com/quote/PKG/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PCA agrees deal to acquire Greif Containerboard for $1.8 bln in third major containerboard M&amp;A 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Fastmarkets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https://www.fastmarkets.com/insights/pca-acquire-greif-containerboard/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International Paper DEFM14A (compra de DS Smith): valor de empresa de DS Smith (~7.800 M GBP) y rango de múltiplos de operaciones del sector (6,2-13,1 veces)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International Paper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https://www.sec.gov/Archives/edgar/data/51434/000119312524217561/d820554ddefm14a.htm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comisiones, independencia, remuneración 2025, participaciones significativas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Smurfit Westrock plc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https://www.sec.gov/Archives/edgar/data/2005951/000110465926026094/sw-20260501xdef14a.htm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de la junta general del 1-may-2026 (8-K,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Smurfit Westrock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https://www.sec.gov/Archives/edgar/data/2005951/000110465926053535/tm2613273d1_8k.htm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de la junta general de 2025 (8-K,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Smurfit Westrock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https://www.sec.gov/Archives/edgar/data/2005951/000110465925043849/tm2513844d1_8k.htm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(19-oct-2025 a 19-oct-2026): 114 presentaciones, ventas en mercado de 3,36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https://www.sec.gov/cgi-bin/browse-edgar?action=getcompany&amp;CIK=0002005951&amp;type=4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Capital Research y otros (lista de presentaciones de EDGAR)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https://data.sec.gov/submissions/CIK0002005951.json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SW, SPY y XLB (precio, rango, volumen, rentabilidades, beta, cierres de ejercicio) con herramientas/bolsa.mjs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https://finance.yahoo.com/quote/SW/history/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Smurfit Westrock: estimaciones anuales 2026-2028 (ventas, EBITDA, EBIT, beneficio, BPA, DPA)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https://www.marketscreener.com/quote/stock/SMURFIT-WESTROCK-PLC-40311477/finances/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Smurfit Westrock: consenso (17 analistas, objetivo medio 56,47 USD, máximo 69, mínimo 46; RBC baja a 55 el 16-oct, Jefferies sube a 62 el 13-oct)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https://www.marketscreener.com/quote/stock/SMURFIT-WESTROCK-PLC-40311477/consensus/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 forecast: 17 analistas (12 compra fuerte, 5 compra), objetivos y estimaciones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https://stockanalysis.com/stocks/sw/forecast/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al 5,09 % el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prima implícita del S&amp;P 500 de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y consenso de Yahoo Finance de los comparables (IP, PKG, GPK, SON, GEF, MNDI.L, STERV.HE, KLBN11.SA, BILL.ST)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Movimiento del precio (herramientas/movimiento.mjs y movimiento-precio.mjs): 1-12 meses, máximos, medias, caídas de −5 %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Packaging Corporation of America Announces Agreement to Purchase Greif Containerboard Business (8-K, anexo 99.1): 1.800 M USD, 8,5 veces el EBITDA de 12 meses (212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Packaging Corporation of America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https://www.sec.gov/Archives/edgar/data/75677/000119312525153436/d864746dex991.htm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Smurfit Westrock Announces Intention to Delist from the LSE (y completion el 22-jun-2026)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Wire / Smurfit Westrock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https://www.businesswire.com/news/home/20260520081627/en/Smurfit-Westrock-Announces-Intention-to-Delist-from-the-LSE/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Noticias de SW (RSS): compra en Chile, inspección en Washington, guía del 2T26, salida de Londres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https://seekingalpha.com/symbol/SW/news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Smurfit Westrock to acquire CMPC Chile containerboard business (420 M USD, menos de 6 veces el EBITDA con sinergias; cierre previsto en el 1S27)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Packaging Gateway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https://www.packaging-gateway.com/news/smurfit-westrock-acquire-cmpc-chile/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Mondi to acquire Western Europe Packaging Assets of Schumacher Packaging (valor de empresa 634 M EUR; EBITDA ajustado 2023 de 66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Mondi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https://www.mondigroup.com/news-and-insight/2024/mondi-to-acquire-western-europe-packaging-assets-of-schumacher-packaging/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Smurfit Westrock fell 8% this week (semana del 21-may-2026: recortes de objetivos y salida de Londres)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https://www.tikr.com/blog/smurfit-westrock-fell-8-this-week-heres-what-investors-can-expect-in-2026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$SW (unos 30 mensajes de abr-oct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https://api.stocktwits.com/api/2/streams/symbol/SW.json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artículos de opinión de abr-sep 2026 (titulares y tesis del canal de SW)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https://seekingalpha.com/api/sa/combined/SW.xml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91,1 %</w:t>
      </w:r>
      <w:r>
        <w:t xml:space="preserve"> · Secciones con menos del 60 % de campos cubiertos: </w:t>
      </w:r>
      <w:r>
        <w:rPr>
          <w:b/>
          <w:bCs/>
        </w:rPr>
        <w:t xml:space="preserve">ninguna</w:t>
      </w:r>
      <w:r>
        <w:t xml:space="preserve"> · Generado el 19 oct 2026.</w:t>
      </w:r>
    </w:p>
    <w:p>
      <w:pPr>
        <w:pStyle w:val="Nota"/>
        <w:spacing w:after="100"/>
      </w:pPr>
      <w:r>
        <w:t xml:space="preserve">Cuentas en millones de USD y US GAAP. 2024-2026 salen de los 10-K y 10-Q de la SEC y del XBRL [1, 2, 4, 16]; 2021-2023 son de Smurfit Kappa sola (adquirente contable de la fusión del 5-jul-2024), en US GAAP y USD, del folleto 424B3 [3], porque el XBRL de la SEC empieza en 2022 y no trae el balance de ese año. No hay balance de 2021 comparable (el informe anual de Smurfit Kappa está en NIIF y euros). 2024 incluye WestRock solo desde el 5-jul: el crecimiento de 2024-2025 es de perímetro; el orgánico se lee con las cifras combinadas que publica la empresa (ventas pro forma de 32.511 M en 2023, 30.919 M en 2024 y 31.179 M en 2025; EBITDA ajustado combinado de 4.706 M en 2024 y 4.939 M en 2025) [2, 9, 13]. Los cierres de antes de 2024 son de Smurfit Kappa pasados a USD por Yahoo [27]. La cotización de Londres se canceló el 22-jun-2026: solo queda la de Nueva York [36].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Smurfit Westrock plc (SW)</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41,16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(32,73 – 52,65)</c:v>
                </c:pt>
                <c:pt idx="1">
                  <c:v>Precio objetivo de los analistas (46,00 – 69,00)</c:v>
                </c:pt>
                <c:pt idx="2">
                  <c:v>Comparables: PER NTM (34,85 – 55,13)</c:v>
                </c:pt>
                <c:pt idx="3">
                  <c:v>Transacciones precedentes (EV/EBITDA) (35,00 – 49,34)</c:v>
                </c:pt>
                <c:pt idx="4">
                  <c:v>DCF (WACC y g ± 0,5) (44,71 – 70,68)</c:v>
                </c:pt>
                <c:pt idx="5">
                  <c:v>Escenarios (bajista – alcista) (31,08 – 71,72)</c:v>
                </c:pt>
                <c:pt idx="6">
                  <c:v>DCF con la prima implícita del mercado (4,2 %)</c:v>
                </c:pt>
                <c:pt idx="7">
                  <c:v>Precio actual (41,16)</c:v>
                </c:pt>
              </c:strCache>
            </c:strRef>
          </c:cat>
          <c:val>
            <c:numRef>
              <c:f>Hoja1!$B$2:$B$9</c:f>
              <c:numCache>
                <c:formatCode>#,##0.0</c:formatCode>
                <c:ptCount val="8"/>
                <c:pt idx="0">
                  <c:v>32.73</c:v>
                </c:pt>
                <c:pt idx="1">
                  <c:v>46</c:v>
                </c:pt>
                <c:pt idx="2">
                  <c:v>34.85</c:v>
                </c:pt>
                <c:pt idx="3">
                  <c:v>35</c:v>
                </c:pt>
                <c:pt idx="4">
                  <c:v>44.71</c:v>
                </c:pt>
                <c:pt idx="5">
                  <c:v>31.08</c:v>
                </c:pt>
                <c:pt idx="6">
                  <c:v>59.36</c:v>
                </c:pt>
                <c:pt idx="7">
                  <c:v>40.95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(32,73 – 52,65)</c:v>
                </c:pt>
                <c:pt idx="1">
                  <c:v>Precio objetivo de los analistas (46,00 – 69,00)</c:v>
                </c:pt>
                <c:pt idx="2">
                  <c:v>Comparables: PER NTM (34,85 – 55,13)</c:v>
                </c:pt>
                <c:pt idx="3">
                  <c:v>Transacciones precedentes (EV/EBITDA) (35,00 – 49,34)</c:v>
                </c:pt>
                <c:pt idx="4">
                  <c:v>DCF (WACC y g ± 0,5) (44,71 – 70,68)</c:v>
                </c:pt>
                <c:pt idx="5">
                  <c:v>Escenarios (bajista – alcista) (31,08 – 71,72)</c:v>
                </c:pt>
                <c:pt idx="6">
                  <c:v>DCF con la prima implícita del mercado (4,2 %)</c:v>
                </c:pt>
                <c:pt idx="7">
                  <c:v>Precio actual (41,16)</c:v>
                </c:pt>
              </c:strCache>
            </c:strRef>
          </c:cat>
          <c:val>
            <c:numRef>
              <c:f>Hoja1!$C$2:$C$9</c:f>
              <c:numCache>
                <c:formatCode>#,##0.0</c:formatCode>
                <c:ptCount val="8"/>
                <c:pt idx="0">
                  <c:v>19.92</c:v>
                </c:pt>
                <c:pt idx="1">
                  <c:v>23</c:v>
                </c:pt>
                <c:pt idx="2">
                  <c:v>20.28</c:v>
                </c:pt>
                <c:pt idx="3">
                  <c:v>14.340000000000003</c:v>
                </c:pt>
                <c:pt idx="4">
                  <c:v>25.970000000000006</c:v>
                </c:pt>
                <c:pt idx="5">
                  <c:v>40.64</c:v>
                </c:pt>
                <c:pt idx="6">
                  <c:v>20.680000000000007</c:v>
                </c:pt>
                <c:pt idx="7">
                  <c:v>0.4199999999999946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Norteamérica</c:v>
                </c:pt>
              </c:strCache>
            </c:strRef>
          </c:tx>
          <c:spPr>
            <a:solidFill>
              <a:srgbClr val="2A78D6"/>
            </a:solidFill>
            <a:ln w="12700">
              <a:solidFill>
                <a:srgbClr val="FFFFFF"/>
              </a:solid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1720</c:v>
                </c:pt>
                <c:pt idx="1">
                  <c:v>1624</c:v>
                </c:pt>
                <c:pt idx="2">
                  <c:v>10092</c:v>
                </c:pt>
                <c:pt idx="3">
                  <c:v>18577</c:v>
                </c:pt>
              </c:numCache>
            </c:numRef>
          </c:val>
        </c:ser>
        <c:ser>
          <c:idx val="1"/>
          <c:order val="1"/>
          <c:tx>
            <c:strRef>
              <c:f>Hoja1!$C$1</c:f>
              <c:strCache>
                <c:ptCount val="1"/>
                <c:pt idx="0">
                  <c:v>Europa, MEA y APAC</c:v>
                </c:pt>
              </c:strCache>
            </c:strRef>
          </c:tx>
          <c:spPr>
            <a:solidFill>
              <a:srgbClr val="EB6834"/>
            </a:solidFill>
            <a:ln w="12700">
              <a:solidFill>
                <a:srgbClr val="FFFFFF"/>
              </a:solid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0">
                  <c:v>10451</c:v>
                </c:pt>
                <c:pt idx="1">
                  <c:v>9193</c:v>
                </c:pt>
                <c:pt idx="2">
                  <c:v>9577</c:v>
                </c:pt>
                <c:pt idx="3">
                  <c:v>10893</c:v>
                </c:pt>
              </c:numCache>
            </c:numRef>
          </c:val>
        </c:ser>
        <c:ser>
          <c:idx val="2"/>
          <c:order val="2"/>
          <c:tx>
            <c:strRef>
              <c:f>Hoja1!$D$1</c:f>
              <c:strCache>
                <c:ptCount val="1"/>
                <c:pt idx="0">
                  <c:v>Latinoamérica</c:v>
                </c:pt>
              </c:strCache>
            </c:strRef>
          </c:tx>
          <c:spPr>
            <a:solidFill>
              <a:srgbClr val="1BAF7A"/>
            </a:solidFill>
            <a:ln w="12700">
              <a:solidFill>
                <a:srgbClr val="FFFFFF"/>
              </a:solidFill>
            </a:ln>
          </c:spPr>
          <c:invertIfNegative val="0"/>
          <c:cat>
            <c:strRef>
              <c:f>Hoja1!$A$2:$A$5</c:f>
              <c:strCache>
                <c:ptCount val="4"/>
                <c:pt idx="0">
                  <c:v>2022</c:v>
                </c:pt>
                <c:pt idx="1">
                  <c:v>2023</c:v>
                </c:pt>
                <c:pt idx="2">
                  <c:v>2024</c:v>
                </c:pt>
                <c:pt idx="3">
                  <c:v>2025</c:v>
                </c:pt>
              </c:strCache>
            </c:strRef>
          </c:cat>
          <c:val>
            <c:numRef>
              <c:f>Hoja1!$D$2:$D$5</c:f>
              <c:numCache>
                <c:formatCode>#,##0</c:formatCode>
                <c:ptCount val="4"/>
                <c:pt idx="0">
                  <c:v>1397</c:v>
                </c:pt>
                <c:pt idx="1">
                  <c:v>1344</c:v>
                </c:pt>
                <c:pt idx="2">
                  <c:v>1711</c:v>
                </c:pt>
                <c:pt idx="3">
                  <c:v>2113</c:v>
                </c:pt>
              </c:numCache>
            </c:numRef>
          </c:val>
        </c:ser>
        <c:ser>
          <c:idx val="3"/>
          <c:order val="3"/>
          <c:tx>
            <c:strRef>
              <c:f>Hoja1!$E$1</c:f>
              <c:strCache>
                <c:ptCount val="1"/>
                <c:pt idx="0">
                  <c:v>Eliminaciones y corporativo</c:v>
                </c:pt>
              </c:strCache>
            </c:strRef>
          </c:tx>
          <c:spPr>
            <a:solidFill>
              <a:srgbClr val="EDA100"/>
            </a:solidFill>
            <a:ln w="12700">
              <a:solidFill>
                <a:srgbClr val="FFFFFF"/>
              </a:solidFill>
            </a:ln>
          </c:spPr>
          <c:invertIfNegative val="0"/>
          <c:cat>
            <c:strRef>
              <c:f>Hoja1!$A$2:$A$5</c:f>
              <c:strCache>
                <c:ptCount val="4"/>
                <c:pt idx="0">
                  <c:v>2022</c:v>
                </c:pt>
                <c:pt idx="1">
                  <c:v>2023</c:v>
                </c:pt>
                <c:pt idx="2">
                  <c:v>2024</c:v>
                </c:pt>
                <c:pt idx="3">
                  <c:v>2025</c:v>
                </c:pt>
              </c:strCache>
            </c:strRef>
          </c:cat>
          <c:val>
            <c:numRef>
              <c:f>Hoja1!$E$2:$E$5</c:f>
              <c:numCache>
                <c:formatCode>#,##0</c:formatCode>
                <c:ptCount val="4"/>
                <c:pt idx="0">
                  <c:v>-59</c:v>
                </c:pt>
                <c:pt idx="1">
                  <c:v>-68</c:v>
                </c:pt>
                <c:pt idx="2">
                  <c:v>-271</c:v>
                </c:pt>
                <c:pt idx="3">
                  <c:v>-404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Norteamérica</c:v>
                </c:pt>
                <c:pt idx="1">
                  <c:v>Europa, MEA y APAC</c:v>
                </c:pt>
                <c:pt idx="2">
                  <c:v>Latinoamérica</c:v>
                </c:pt>
                <c:pt idx="3">
                  <c:v>Eliminaciones y corporativo</c:v>
                </c:pt>
              </c:strCache>
            </c:strRef>
          </c:cat>
          <c:val>
            <c:numRef>
              <c:f>Hoja1!$B$2:$B$5</c:f>
              <c:numCache>
                <c:formatCode>General</c:formatCode>
                <c:ptCount val="4"/>
                <c:pt idx="0">
                  <c:v>59.6</c:v>
                </c:pt>
                <c:pt idx="1">
                  <c:v>34.9</c:v>
                </c:pt>
                <c:pt idx="2">
                  <c:v>6.8</c:v>
                </c:pt>
                <c:pt idx="3">
                  <c:v>-1.3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EE. UU.</c:v>
                </c:pt>
                <c:pt idx="1">
                  <c:v>Otros de Europa, MEA y APAC</c:v>
                </c:pt>
                <c:pt idx="2">
                  <c:v>Otros de América</c:v>
                </c:pt>
                <c:pt idx="3">
                  <c:v>México</c:v>
                </c:pt>
                <c:pt idx="4">
                  <c:v>Alemania</c:v>
                </c:pt>
                <c:pt idx="5">
                  <c:v>Francia</c:v>
                </c:pt>
                <c:pt idx="6">
                  <c:v>Irlanda</c:v>
                </c:pt>
              </c:strCache>
            </c:strRef>
          </c:cat>
          <c:val>
            <c:numRef>
              <c:f>Hoja1!$B$2:$B$8</c:f>
              <c:numCache>
                <c:formatCode>0"%"</c:formatCode>
                <c:ptCount val="7"/>
                <c:pt idx="0">
                  <c:v>46.4</c:v>
                </c:pt>
                <c:pt idx="1">
                  <c:v>23</c:v>
                </c:pt>
                <c:pt idx="2">
                  <c:v>10.8</c:v>
                </c:pt>
                <c:pt idx="3">
                  <c:v>8.1</c:v>
                </c:pt>
                <c:pt idx="4">
                  <c:v>6</c:v>
                </c:pt>
                <c:pt idx="5">
                  <c:v>5</c:v>
                </c:pt>
                <c:pt idx="6">
                  <c:v>0.7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2027e</c:v>
                </c:pt>
                <c:pt idx="2">
                  <c:v>2028e</c:v>
                </c:pt>
                <c:pt idx="3">
                  <c:v>2029e</c:v>
                </c:pt>
                <c:pt idx="4">
                  <c:v>2030e</c:v>
                </c:pt>
                <c:pt idx="5">
                  <c:v>2031e</c:v>
                </c:pt>
              </c:strCache>
            </c:strRef>
          </c:cat>
          <c:val>
            <c:numRef>
              <c:f>Hoja1!$B$2:$B$7</c:f>
              <c:numCache>
                <c:formatCode>#,##0</c:formatCode>
                <c:ptCount val="6"/>
                <c:pt idx="0">
                  <c:v>205740</c:v>
                </c:pt>
                <c:pt idx="1">
                  <c:v>213415</c:v>
                </c:pt>
                <c:pt idx="2">
                  <c:v>221376</c:v>
                </c:pt>
                <c:pt idx="3">
                  <c:v>229634</c:v>
                </c:pt>
                <c:pt idx="4">
                  <c:v>238200</c:v>
                </c:pt>
                <c:pt idx="5">
                  <c:v>247100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3</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Smurfit Westrock</c:v>
                </c:pt>
                <c:pt idx="1">
                  <c:v>International Paper</c:v>
                </c:pt>
                <c:pt idx="2">
                  <c:v>Packaging Corp. of America</c:v>
                </c:pt>
                <c:pt idx="3">
                  <c:v>Graphic Packaging</c:v>
                </c:pt>
                <c:pt idx="4">
                  <c:v>Mondi</c:v>
                </c:pt>
                <c:pt idx="5">
                  <c:v>Stora Enso</c:v>
                </c:pt>
                <c:pt idx="6">
                  <c:v>Klabin</c:v>
                </c:pt>
              </c:strCache>
            </c:strRef>
          </c:cat>
          <c:val>
            <c:numRef>
              <c:f>Hoja1!$B$2:$B$8</c:f>
              <c:numCache>
                <c:formatCode>0.0"%"</c:formatCode>
                <c:ptCount val="7"/>
                <c:pt idx="0">
                  <c:v>7.2</c:v>
                </c:pt>
                <c:pt idx="1">
                  <c:v>-11.3</c:v>
                </c:pt>
                <c:pt idx="2">
                  <c:v>10.9</c:v>
                </c:pt>
                <c:pt idx="3">
                  <c:v>5.8</c:v>
                </c:pt>
                <c:pt idx="4">
                  <c:v>-1.1</c:v>
                </c:pt>
                <c:pt idx="5">
                  <c:v>9.2</c:v>
                </c:pt>
                <c:pt idx="6">
                  <c:v>18.4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1</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11933</c:v>
                </c:pt>
                <c:pt idx="1">
                  <c:v>13509</c:v>
                </c:pt>
                <c:pt idx="2">
                  <c:v>12093</c:v>
                </c:pt>
                <c:pt idx="3">
                  <c:v>21109</c:v>
                </c:pt>
                <c:pt idx="4">
                  <c:v>31179</c:v>
                </c:pt>
                <c:pt idx="5">
                  <c:v>31958</c:v>
                </c:pt>
                <c:pt idx="6">
                  <c:v>33716</c:v>
                </c:pt>
                <c:pt idx="7">
                  <c:v>34728</c:v>
                </c:pt>
                <c:pt idx="8">
                  <c:v>35596</c:v>
                </c:pt>
                <c:pt idx="9">
                  <c:v>36486</c:v>
                </c:pt>
                <c:pt idx="10">
                  <c:v>37398</c:v>
                </c:pt>
                <c:pt idx="11">
                  <c:v>38333</c:v>
                </c:pt>
                <c:pt idx="12">
                  <c:v>39291</c:v>
                </c:pt>
                <c:pt idx="13">
                  <c:v>40273</c:v>
                </c:pt>
                <c:pt idx="14">
                  <c:v>41280</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1811</c:v>
                </c:pt>
                <c:pt idx="1">
                  <c:v>2322</c:v>
                </c:pt>
                <c:pt idx="2">
                  <c:v>2062</c:v>
                </c:pt>
                <c:pt idx="3">
                  <c:v>3180</c:v>
                </c:pt>
                <c:pt idx="4">
                  <c:v>4800</c:v>
                </c:pt>
                <c:pt idx="5">
                  <c:v>4794</c:v>
                </c:pt>
                <c:pt idx="6">
                  <c:v>5462</c:v>
                </c:pt>
                <c:pt idx="7">
                  <c:v>5869</c:v>
                </c:pt>
                <c:pt idx="8">
                  <c:v>6122</c:v>
                </c:pt>
                <c:pt idx="9">
                  <c:v>6349</c:v>
                </c:pt>
                <c:pt idx="10">
                  <c:v>6507</c:v>
                </c:pt>
                <c:pt idx="11">
                  <c:v>6670</c:v>
                </c:pt>
                <c:pt idx="12">
                  <c:v>6837</c:v>
                </c:pt>
                <c:pt idx="13">
                  <c:v>7008</c:v>
                </c:pt>
                <c:pt idx="14">
                  <c:v>7183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22.4</c:v>
                </c:pt>
                <c:pt idx="1">
                  <c:v>24.2</c:v>
                </c:pt>
                <c:pt idx="2">
                  <c:v>25.3</c:v>
                </c:pt>
                <c:pt idx="3">
                  <c:v>19.9</c:v>
                </c:pt>
                <c:pt idx="4">
                  <c:v>19.4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15.2</c:v>
                </c:pt>
                <c:pt idx="1">
                  <c:v>17.2</c:v>
                </c:pt>
                <c:pt idx="2">
                  <c:v>17.1</c:v>
                </c:pt>
                <c:pt idx="3">
                  <c:v>15.1</c:v>
                </c:pt>
                <c:pt idx="4">
                  <c:v>15.4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10.5</c:v>
                </c:pt>
                <c:pt idx="1">
                  <c:v>13</c:v>
                </c:pt>
                <c:pt idx="2">
                  <c:v>12.3</c:v>
                </c:pt>
                <c:pt idx="3">
                  <c:v>8.1</c:v>
                </c:pt>
                <c:pt idx="4">
                  <c:v>7.2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6.7</c:v>
                </c:pt>
                <c:pt idx="1">
                  <c:v>7.7</c:v>
                </c:pt>
                <c:pt idx="2">
                  <c:v>6.8</c:v>
                </c:pt>
                <c:pt idx="3">
                  <c:v>1.5</c:v>
                </c:pt>
                <c:pt idx="4">
                  <c:v>2.2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4">
                  <c:v>4.3</c:v>
                </c:pt>
                <c:pt idx="5">
                  <c:v>0.5</c:v>
                </c:pt>
                <c:pt idx="6">
                  <c:v>0.7</c:v>
                </c:pt>
                <c:pt idx="7">
                  <c:v>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2022</c:v>
                </c:pt>
                <c:pt idx="1">
                  <c:v>2023</c:v>
                </c:pt>
                <c:pt idx="2">
                  <c:v>2024</c:v>
                </c:pt>
                <c:pt idx="3">
                  <c:v>2025</c:v>
                </c:pt>
              </c:strCache>
            </c:strRef>
          </c:cat>
          <c:val>
            <c:numRef>
              <c:f>Hoja1!$B$2:$B$5</c:f>
              <c:numCache>
                <c:formatCode>0</c:formatCode>
                <c:ptCount val="4"/>
                <c:pt idx="0">
                  <c:v>55</c:v>
                </c:pt>
                <c:pt idx="1">
                  <c:v>55</c:v>
                </c:pt>
                <c:pt idx="2">
                  <c:v>71</c:v>
                </c:pt>
                <c:pt idx="3">
                  <c:v>50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2022</c:v>
                </c:pt>
                <c:pt idx="1">
                  <c:v>2023</c:v>
                </c:pt>
                <c:pt idx="2">
                  <c:v>2024</c:v>
                </c:pt>
                <c:pt idx="3">
                  <c:v>2025</c:v>
                </c:pt>
              </c:strCache>
            </c:strRef>
          </c:cat>
          <c:val>
            <c:numRef>
              <c:f>Hoja1!$C$2:$C$5</c:f>
              <c:numCache>
                <c:formatCode>0</c:formatCode>
                <c:ptCount val="4"/>
                <c:pt idx="0">
                  <c:v>48</c:v>
                </c:pt>
                <c:pt idx="1">
                  <c:v>49</c:v>
                </c:pt>
                <c:pt idx="2">
                  <c:v>77</c:v>
                </c:pt>
                <c:pt idx="3">
                  <c:v>54</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Hoja1!$A$2:$A$5</c:f>
              <c:strCache>
                <c:ptCount val="4"/>
                <c:pt idx="0">
                  <c:v>2022</c:v>
                </c:pt>
                <c:pt idx="1">
                  <c:v>2023</c:v>
                </c:pt>
                <c:pt idx="2">
                  <c:v>2024</c:v>
                </c:pt>
                <c:pt idx="3">
                  <c:v>2025</c:v>
                </c:pt>
              </c:strCache>
            </c:strRef>
          </c:cat>
          <c:val>
            <c:numRef>
              <c:f>Hoja1!$D$2:$D$5</c:f>
              <c:numCache>
                <c:formatCode>0</c:formatCode>
                <c:ptCount val="4"/>
                <c:pt idx="0">
                  <c:v>69</c:v>
                </c:pt>
                <c:pt idx="1">
                  <c:v>70</c:v>
                </c:pt>
                <c:pt idx="2">
                  <c:v>71</c:v>
                </c:pt>
                <c:pt idx="3">
                  <c:v>52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364</c:v>
                </c:pt>
                <c:pt idx="1">
                  <c:v>500</c:v>
                </c:pt>
                <c:pt idx="2">
                  <c:v>627</c:v>
                </c:pt>
                <c:pt idx="3">
                  <c:v>-5</c:v>
                </c:pt>
                <c:pt idx="4">
                  <c:v>1157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802</c:v>
                </c:pt>
                <c:pt idx="1">
                  <c:v>1034</c:v>
                </c:pt>
                <c:pt idx="2">
                  <c:v>825</c:v>
                </c:pt>
                <c:pt idx="3">
                  <c:v>319</c:v>
                </c:pt>
                <c:pt idx="4">
                  <c:v>699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1">
                  <c:v>15.6</c:v>
                </c:pt>
                <c:pt idx="2">
                  <c:v>12.6</c:v>
                </c:pt>
                <c:pt idx="3">
                  <c:v>5.3</c:v>
                </c:pt>
                <c:pt idx="4">
                  <c:v>5.3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7.9</c:v>
                </c:pt>
                <c:pt idx="1">
                  <c:v>7.9</c:v>
                </c:pt>
                <c:pt idx="2">
                  <c:v>7.9</c:v>
                </c:pt>
                <c:pt idx="3">
                  <c:v>7.9</c:v>
                </c:pt>
                <c:pt idx="4">
                  <c:v>7.9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1">
                  <c:v>19.4</c:v>
                </c:pt>
                <c:pt idx="2">
                  <c:v>14.4</c:v>
                </c:pt>
                <c:pt idx="3">
                  <c:v>2.7</c:v>
                </c:pt>
                <c:pt idx="4">
                  <c:v>3.9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2022</c:v>
                </c:pt>
                <c:pt idx="1">
                  <c:v>2023</c:v>
                </c:pt>
                <c:pt idx="2">
                  <c:v>2024</c:v>
                </c:pt>
                <c:pt idx="3">
                  <c:v>2025</c:v>
                </c:pt>
              </c:strCache>
            </c:strRef>
          </c:cat>
          <c:val>
            <c:numRef>
              <c:f>Hoja1!$B$2:$B$5</c:f>
              <c:numCache>
                <c:formatCode>0.0"x"</c:formatCode>
                <c:ptCount val="4"/>
                <c:pt idx="0">
                  <c:v>1.22</c:v>
                </c:pt>
                <c:pt idx="1">
                  <c:v>1.33</c:v>
                </c:pt>
                <c:pt idx="2">
                  <c:v>4.01</c:v>
                </c:pt>
                <c:pt idx="3">
                  <c:v>2.68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312</c:v>
                </c:pt>
                <c:pt idx="1">
                  <c:v>583</c:v>
                </c:pt>
                <c:pt idx="2">
                  <c:v>1101</c:v>
                </c:pt>
                <c:pt idx="3">
                  <c:v>2312</c:v>
                </c:pt>
                <c:pt idx="4">
                  <c:v>1150</c:v>
                </c:pt>
                <c:pt idx="5">
                  <c:v>7861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480</c:v>
                </c:pt>
                <c:pt idx="1">
                  <c:v>93</c:v>
                </c:pt>
                <c:pt idx="2">
                  <c:v>29</c:v>
                </c:pt>
                <c:pt idx="3">
                  <c:v>719</c:v>
                </c:pt>
                <c:pt idx="4">
                  <c:v>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365</c:v>
                </c:pt>
                <c:pt idx="1">
                  <c:v>350</c:v>
                </c:pt>
                <c:pt idx="2">
                  <c:v>391</c:v>
                </c:pt>
                <c:pt idx="3">
                  <c:v>650</c:v>
                </c:pt>
                <c:pt idx="4">
                  <c:v>900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28</c:v>
                </c:pt>
                <c:pt idx="1">
                  <c:v>74</c:v>
                </c:pt>
                <c:pt idx="2">
                  <c:v>30</c:v>
                </c:pt>
                <c:pt idx="3">
                  <c:v>27</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10</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The Vanguard Group</c:v>
                </c:pt>
                <c:pt idx="1">
                  <c:v>BlackRock</c:v>
                </c:pt>
                <c:pt idx="2">
                  <c:v>Capital Research Global Investors</c:v>
                </c:pt>
                <c:pt idx="3">
                  <c:v>Consejeros y directivos (18 personas)</c:v>
                </c:pt>
                <c:pt idx="4">
                  <c:v>Autocartera</c:v>
                </c:pt>
              </c:strCache>
            </c:strRef>
          </c:cat>
          <c:val>
            <c:numRef>
              <c:f>Hoja1!$B$2:$B$6</c:f>
              <c:numCache>
                <c:formatCode>0.0"%"</c:formatCode>
                <c:ptCount val="5"/>
                <c:pt idx="0">
                  <c:v>11.73</c:v>
                </c:pt>
                <c:pt idx="1">
                  <c:v>7.93</c:v>
                </c:pt>
                <c:pt idx="2">
                  <c:v>6.89</c:v>
                </c:pt>
                <c:pt idx="3">
                  <c:v>0.46</c:v>
                </c:pt>
                <c:pt idx="4">
                  <c:v>0.13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50.4</c:v>
                </c:pt>
                <c:pt idx="1">
                  <c:v>-20.6</c:v>
                </c:pt>
                <c:pt idx="2">
                  <c:v>50.4</c:v>
                </c:pt>
                <c:pt idx="3">
                  <c:v>31.8</c:v>
                </c:pt>
                <c:pt idx="4">
                  <c:v>17.3</c:v>
                </c:pt>
                <c:pt idx="5">
                  <c:v>-28</c:v>
                </c:pt>
                <c:pt idx="6">
                  <c:v>14.1</c:v>
                </c:pt>
                <c:pt idx="7">
                  <c:v>37.6</c:v>
                </c:pt>
                <c:pt idx="8">
                  <c:v>-26.2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21.7</c:v>
                </c:pt>
                <c:pt idx="1">
                  <c:v>-4.6</c:v>
                </c:pt>
                <c:pt idx="2">
                  <c:v>31.2</c:v>
                </c:pt>
                <c:pt idx="3">
                  <c:v>18.3</c:v>
                </c:pt>
                <c:pt idx="4">
                  <c:v>28.7</c:v>
                </c:pt>
                <c:pt idx="5">
                  <c:v>-18.2</c:v>
                </c:pt>
                <c:pt idx="6">
                  <c:v>26.2</c:v>
                </c:pt>
                <c:pt idx="7">
                  <c:v>24.9</c:v>
                </c:pt>
                <c:pt idx="8">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1">
                  <c:v>5.4</c:v>
                </c:pt>
                <c:pt idx="2">
                  <c:v>6.5</c:v>
                </c:pt>
                <c:pt idx="3">
                  <c:v>10.6</c:v>
                </c:pt>
                <c:pt idx="4">
                  <c:v>6.9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6.5</c:v>
                </c:pt>
                <c:pt idx="1">
                  <c:v>6.5</c:v>
                </c:pt>
                <c:pt idx="2">
                  <c:v>6.5</c:v>
                </c:pt>
                <c:pt idx="3">
                  <c:v>6.5</c:v>
                </c:pt>
                <c:pt idx="4">
                  <c:v>6.5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Smurfit Westrock</c:v>
                </c:pt>
                <c:pt idx="1">
                  <c:v>International Paper</c:v>
                </c:pt>
                <c:pt idx="2">
                  <c:v>Packaging Corp. of America</c:v>
                </c:pt>
                <c:pt idx="3">
                  <c:v>Graphic Packaging</c:v>
                </c:pt>
                <c:pt idx="4">
                  <c:v>Sonoco Products</c:v>
                </c:pt>
                <c:pt idx="5">
                  <c:v>Greif</c:v>
                </c:pt>
                <c:pt idx="6">
                  <c:v>Mondi</c:v>
                </c:pt>
                <c:pt idx="7">
                  <c:v>Stora Enso</c:v>
                </c:pt>
                <c:pt idx="8">
                  <c:v>Klabin</c:v>
                </c:pt>
                <c:pt idx="9">
                  <c:v>Billerud</c:v>
                </c:pt>
              </c:strCache>
            </c:strRef>
          </c:cat>
          <c:val>
            <c:numRef>
              <c:f>Hoja1!$B$2:$B$11</c:f>
              <c:numCache>
                <c:formatCode>0.0"x"</c:formatCode>
                <c:ptCount val="10"/>
                <c:pt idx="0">
                  <c:v>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WestRock (EE. UU.)</c:v>
                </c:pt>
                <c:pt idx="1">
                  <c:v>DS Smith (Reino Unido)</c:v>
                </c:pt>
                <c:pt idx="2">
                  <c:v>Negocio de cartón para cajas de Greif (EE. UU.)</c:v>
                </c:pt>
                <c:pt idx="3">
                  <c:v>Activos de Schumacher Packaging en Europa occidental</c:v>
                </c:pt>
                <c:pt idx="4">
                  <c:v>Negocio de cartón ondulado de CMPC en Chile</c:v>
                </c:pt>
              </c:strCache>
            </c:strRef>
          </c:cat>
          <c:val>
            <c:numRef>
              <c:f>Hoja1!$B$2:$B$6</c:f>
              <c:numCache>
                <c:formatCode>0.0"x"</c:formatCode>
                <c:ptCount val="5"/>
                <c:pt idx="1">
                  <c:v>7.5</c:v>
                </c:pt>
                <c:pt idx="2">
                  <c:v>8.5</c:v>
                </c:pt>
                <c:pt idx="3">
                  <c:v>9.6</c:v>
                </c:pt>
                <c:pt idx="4">
                  <c:v>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1605</c:v>
                </c:pt>
                <c:pt idx="1">
                  <c:v>1932</c:v>
                </c:pt>
                <c:pt idx="2">
                  <c:v>2304</c:v>
                </c:pt>
                <c:pt idx="3">
                  <c:v>2454</c:v>
                </c:pt>
                <c:pt idx="4">
                  <c:v>2559</c:v>
                </c:pt>
                <c:pt idx="5">
                  <c:v>2612</c:v>
                </c:pt>
                <c:pt idx="6">
                  <c:v>2667</c:v>
                </c:pt>
                <c:pt idx="7">
                  <c:v>2734</c:v>
                </c:pt>
                <c:pt idx="8">
                  <c:v>2792</c:v>
                </c:pt>
                <c:pt idx="9">
                  <c:v>2861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16326</c:v>
                </c:pt>
                <c:pt idx="1">
                  <c:v>26979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41,16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31.08</c:v>
                </c:pt>
                <c:pt idx="1">
                  <c:v>55.34</c:v>
                </c:pt>
                <c:pt idx="2">
                  <c:v>71.72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41,16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(32,73 – 52,65)</c:v>
                </c:pt>
                <c:pt idx="1">
                  <c:v>Precio objetivo de los analistas (46,00 – 69,00)</c:v>
                </c:pt>
                <c:pt idx="2">
                  <c:v>Comparables: PER NTM (34,85 – 55,13)</c:v>
                </c:pt>
                <c:pt idx="3">
                  <c:v>Transacciones precedentes (EV/EBITDA) (35,00 – 49,34)</c:v>
                </c:pt>
                <c:pt idx="4">
                  <c:v>DCF (WACC y g ± 0,5) (44,71 – 70,68)</c:v>
                </c:pt>
                <c:pt idx="5">
                  <c:v>Escenarios (bajista – alcista) (31,08 – 71,72)</c:v>
                </c:pt>
                <c:pt idx="6">
                  <c:v>DCF con la prima implícita del mercado (4,2 %)</c:v>
                </c:pt>
                <c:pt idx="7">
                  <c:v>Precio actual (41,16)</c:v>
                </c:pt>
              </c:strCache>
            </c:strRef>
          </c:cat>
          <c:val>
            <c:numRef>
              <c:f>Hoja1!$B$2:$B$9</c:f>
              <c:numCache>
                <c:formatCode>#,##0.0</c:formatCode>
                <c:ptCount val="8"/>
                <c:pt idx="0">
                  <c:v>32.73</c:v>
                </c:pt>
                <c:pt idx="1">
                  <c:v>46</c:v>
                </c:pt>
                <c:pt idx="2">
                  <c:v>34.85</c:v>
                </c:pt>
                <c:pt idx="3">
                  <c:v>35</c:v>
                </c:pt>
                <c:pt idx="4">
                  <c:v>44.71</c:v>
                </c:pt>
                <c:pt idx="5">
                  <c:v>31.08</c:v>
                </c:pt>
                <c:pt idx="6">
                  <c:v>59.36</c:v>
                </c:pt>
                <c:pt idx="7">
                  <c:v>40.95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(32,73 – 52,65)</c:v>
                </c:pt>
                <c:pt idx="1">
                  <c:v>Precio objetivo de los analistas (46,00 – 69,00)</c:v>
                </c:pt>
                <c:pt idx="2">
                  <c:v>Comparables: PER NTM (34,85 – 55,13)</c:v>
                </c:pt>
                <c:pt idx="3">
                  <c:v>Transacciones precedentes (EV/EBITDA) (35,00 – 49,34)</c:v>
                </c:pt>
                <c:pt idx="4">
                  <c:v>DCF (WACC y g ± 0,5) (44,71 – 70,68)</c:v>
                </c:pt>
                <c:pt idx="5">
                  <c:v>Escenarios (bajista – alcista) (31,08 – 71,72)</c:v>
                </c:pt>
                <c:pt idx="6">
                  <c:v>DCF con la prima implícita del mercado (4,2 %)</c:v>
                </c:pt>
                <c:pt idx="7">
                  <c:v>Precio actual (41,16)</c:v>
                </c:pt>
              </c:strCache>
            </c:strRef>
          </c:cat>
          <c:val>
            <c:numRef>
              <c:f>Hoja1!$C$2:$C$9</c:f>
              <c:numCache>
                <c:formatCode>#,##0.0</c:formatCode>
                <c:ptCount val="8"/>
                <c:pt idx="0">
                  <c:v>19.92</c:v>
                </c:pt>
                <c:pt idx="1">
                  <c:v>23</c:v>
                </c:pt>
                <c:pt idx="2">
                  <c:v>20.28</c:v>
                </c:pt>
                <c:pt idx="3">
                  <c:v>14.340000000000003</c:v>
                </c:pt>
                <c:pt idx="4">
                  <c:v>25.970000000000006</c:v>
                </c:pt>
                <c:pt idx="5">
                  <c:v>40.64</c:v>
                </c:pt>
                <c:pt idx="6">
                  <c:v>20.680000000000007</c:v>
                </c:pt>
                <c:pt idx="7">
                  <c:v>0.4199999999999946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