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Takasago Thermal Engineering Co., Ltd. (高砂熱学工業株式会社)</w:t>
      </w:r>
    </w:p>
    <w:p>
      <w:pPr>
        <w:spacing w:after="60"/>
        <w:rPr>
          <w:color w:val="52514E"/>
          <w:sz w:val="22"/>
          <w:szCs w:val="22"/>
        </w:rPr>
      </w:pPr>
      <w:r>
        <w:rPr>
          <w:color w:val="52514E"/>
          <w:sz w:val="22"/>
          <w:szCs w:val="22"/>
        </w:rPr>
        <w:t xml:space="preserve">1969.T · Bolsa de Tokio (Prime Market), JPY · ISIN JP3455200000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4.187,00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4.006,60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-1,6 % (base -0,6 %)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4.565,88 JPY · mercado 5.302,72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548.036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Takasago Thermal Engineering Co., Ltd. (高砂熱学工業株式会社)</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1969.T / JP3455200000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 Market),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Ingeniería e instalaciones (climatización y salas limpias)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(Shinjuku) · 1923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https://www.tte-net.com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4.187,00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3.985,00 – 5.749,00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548.036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490.484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2639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4.006,60 JPY</w:t>
      </w:r>
      <w:r>
        <w:t xml:space="preserve"> frente a 4.187,00 · Rentabilidad a 12 meses </w:t>
      </w:r>
      <w:r>
        <w:rPr>
          <w:b/>
          <w:bCs/>
        </w:rPr>
        <w:t xml:space="preserve">-1,6 % (base -0,6 %)</w:t>
      </w:r>
      <w:r>
        <w:t xml:space="preserve"> · Valor intrínseco 4.565,88 JPY · con la prima implícita del mercado: 5.302,72 (+26,6 %) · Alcista / bajista +17,6 % / -26,3 %</w:t>
      </w:r>
    </w:p>
    <w:p>
      <w:pPr>
        <w:spacing w:after="100"/>
      </w:pPr>
      <w:r>
        <w:rPr>
          <w:b/>
        </w:rPr>
        <w:t xml:space="preserve">La recomendación y por qué.</w:t>
      </w:r>
      <w:r>
        <w:t xml:space="preserve"> Mantener según la regla a 12 meses, con convicción baja; para quien no la tiene, no es compra, y la acción robusta de las pruebas es «No mantener» (no pasa el filtro de mantener). Nuestro objetivo a 12 meses es de 4.006,60 JPY: −1,6 % con dividendo (−0,6 % en el caso base), frente a un precio de 4.187 JPY (cierre del 19-oct-2026) [30]. Con la regla v2 de control la rentabilidad sería del 7,7 % (9,2 % en el base): tampoco llega al 15 %. El valor intrínseco (4.565,88 JPY) está un 9,0 % por encima del precio. El límite de compra es de 3.582 JPY (un 14 % por debajo) y el robusto, de 3.235 JPY. La convicción es baja porque la regla absoluta (Mantener) y la relativa (Comprar con la prima implícita del mercado) discrepan y la asimetría es desfavorable.</w:t>
      </w:r>
    </w:p>
    <w:p>
      <w:pPr>
        <w:spacing w:after="100"/>
      </w:pPr>
      <w:r>
        <w:rPr>
          <w:b/>
        </w:rPr>
        <w:t xml:space="preserve">El negocio.</w:t>
      </w:r>
      <w:r>
        <w:t xml:space="preserve"> Takasago es el mayor contratista independiente de climatización de Japón: diseña e instala salas limpias para fábricas de semiconductores, farmacia y baterías (climatización industrial, el 59 % de las ventas) y la climatización de oficinas, centros de datos y hospitales (39 %) [7]. El 79 % de las ventas es en Japón y el 21 % en el sudeste asiático, India y China [13]. Cobra por obra, cada vez más con contratos directos y a coste más margen, y trabaja con una red de unos 600 subcontratistas fieles [8]. Su foso es estrecho: escala, técnicos y tecnología de salas limpias en un mercado donde la capacidad de obra es el límite. </w:t>
      </w:r>
      <w:r>
        <w:rPr>
          <w:b/>
        </w:rPr>
        <w:t xml:space="preserve">Calidad: Sí</w:t>
      </w:r>
      <w:r>
        <w:t xml:space="preserve">: ROIC del 17,9 % en FY2025 frente a un WACC del 8,17 %, aunque es un ROIC de pico de ciclo (8,8 % en FY2021). La sostenibilidad del crecimiento es </w:t>
      </w:r>
      <w:r>
        <w:rPr>
          <w:b/>
        </w:rPr>
        <w:t xml:space="preserve">sí</w:t>
      </w:r>
      <w:r>
        <w:t xml:space="preserve">: proyectamos un 4,3 % anual frente al 8,8 % de FY2021-FY2025, con la cuota de mercado del 4,1 % al 4,4 %.</w:t>
      </w:r>
    </w:p>
    <w:p>
      <w:pPr>
        <w:spacing w:after="100"/>
      </w:pPr>
      <w:r>
        <w:rPr>
          <w:b/>
        </w:rPr>
        <w:t xml:space="preserve">Finanzas y el pico de margen.</w:t>
      </w:r>
      <w:r>
        <w:t xml:space="preserve"> Las ventas pasaron de 302.746 M JPY en FY2021 a 423.923 M en FY2025 y el beneficio de explotación se triplicó (47.745 M), con el margen del 4,8 % al 11,3 %, por la ola de fábricas de semiconductores en Japón y la escasez de capacidad de obra, que da poder de precio [1, 5]. FY2025 fue excepcional: cierres favorables de grandes obras; sin ellos, el margen bruto habría quedado en la zona del 21 % (22,1 %) [8]. El 1T FY2026 bajó (ventas −9,9 %, explotación −16,2 %) por la pausa prevista de la obra industrial; la cartera de pedidos sube un 12,2 % (433.250 M) [9, 10]. El circulante (32,5 % de las ventas) se come el flujo: en cinco años el flujo operativo fue 0,46 veces el beneficio [1]. La caja (42.125 M) cubre la deuda (40.593 M) y tiene 64.201 M de inversiones financieras, 45.407 M de ellas en participaciones cruzadas de 83 empresas que va vendiendo (22,6 % del patrimonio, objetivo ≤ 15 %) [9, 13].</w:t>
      </w:r>
    </w:p>
    <w:p>
      <w:pPr>
        <w:spacing w:after="100"/>
      </w:pPr>
      <w:r>
        <w:rPr>
          <w:b/>
        </w:rPr>
        <w:t xml:space="preserve">Equipo y gobierno.</w:t>
      </w:r>
      <w:r>
        <w:t xml:space="preserve"> Kazuhito Kojima preside desde 2020; Hiroshi Kubota es vicepresidente y consejero representante desde abril de 2026 [23, 26]. La empresa ha batido su guía inicial cuatro años seguidos [1, 29]. Sin accionista de control y con 7 independientes de 12 consejeros y un presidente del consejo externo [21]. El bonus depende del ordinario y el margen; las acciones, del ordinario, el ROE y la rentabilidad frente al TOPIX [21]. La reelección de Kojima bajó del 92,9 % al 88,7 % [24, 25].</w:t>
      </w:r>
    </w:p>
    <w:p>
      <w:pPr>
        <w:spacing w:after="100"/>
      </w:pPr>
      <w:r>
        <w:rPr>
          <w:b/>
        </w:rPr>
        <w:t xml:space="preserve">Valoración.</w:t>
      </w:r>
      <w:r>
        <w:t xml:space="preserve"> El DCF da 4.377,10 JPY (WACC 8,17 %, crecimiento terminal 1,5 %) y el precio equivale a crecer un 0,8 % al año o a un margen EBITDA del 11,2 % para siempre: el mercado paga el margen de hoy, no más. El objetivo a 12 meses aplica 11,8 veces (el PER de hoy, 13,0x, rebajado un 10 % hacia la mediana adelantada de 9,7x) a nuestro BPA de FY2028e (342,9 JPY), más el dividendo. Los analistas valoran la acción en 5.975 JPY [31], con un BPA un 10 % superior al nuestro y un múltiplo de 16-17 veces.</w:t>
      </w:r>
    </w:p>
    <w:p>
      <w:pPr>
        <w:spacing w:after="100"/>
      </w:pPr>
      <w:r>
        <w:rPr>
          <w:b/>
        </w:rPr>
        <w:t xml:space="preserve">Qué puede ir mal y qué vigilar.</w:t>
      </w:r>
      <w:r>
        <w:t xml:space="preserve"> Que el ciclo de fábricas de semiconductores en Japón se pare: el bajista del DCF es de 3.087 JPY (−26 %). Los resultados del 2T FY2026, hacia el 13-nov, dirán si la obra industrial vuelve a crecer en el 2S y si el margen bruto aguanta el 21-22 %. Veredicto de precio y noticias: </w:t>
      </w:r>
      <w:r>
        <w:rPr>
          <w:b/>
        </w:rPr>
        <w:t xml:space="preserve">no cambia</w:t>
      </w:r>
      <w:r>
        <w:t xml:space="preserve"> (sin hechos pendientes ajenos al análisis).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4.006,60 JPY</w:t>
      </w:r>
      <w:r>
        <w:t xml:space="preserve"> (rentabilidad -1,6 % (base -0,6 %)) · Valor intrínseco: 4.565,88 JPY (+9,0 % sobre 4.187,00) · con la prima implícita del mercado: 5.302,72 (+26,6 %)</w:t>
      </w:r>
    </w:p>
    <w:p>
      <w:pPr>
        <w:spacing w:after="100"/>
      </w:pPr>
      <w:r>
        <w:t xml:space="preserve">Takasago es un buen negocio en el mejor momento de su ciclo: ROIC del 18 %, poder de precio por la escasez de capacidad de obra en Japón y una cartera récord, con la caja y la cartera cruzada cubriendo el 10 % del precio. Pero el precio (13 veces nuestro BPA de FY2027e) ya paga ese margen: el DCF da un 4,5 % más y la regla a 12 meses, nada, porque el múltiplo de hoy está muy por encima de su historia (9,7x) y el margen de FY2025 tiene parte de pico. Se compraría por debajo de 3.582 JPY o si el margen demuestra en FY2026-FY2027 que no era un pico.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4.006,60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237,22 = 1.684,26 · 11,8x × 342,85 = 4.045,63 · 16,0x × 390,68 = 6.250,88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5.975,00 (nuestro base -32,3 %)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4.565,88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 -26,3 %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8,2 %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5.302,72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(4,3 % anual proyectado; financiable al ROIC actual: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3.584,00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3.584,00 y 4.579,56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4.579,56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3.582 JPY: la rentabilidad a 12 meses pasaría del 15 % (Comprar); la compra robusta, por debajo de 3.235 JPY.</w:t>
      </w:r>
    </w:p>
    <w:p>
      <w:pPr>
        <w:pStyle w:val="ListParagraph"/>
        <w:numPr>
          <w:ilvl w:val="0"/>
          <w:numId w:val="2"/>
        </w:numPr>
        <w:spacing w:after="60"/>
      </w:pPr>
      <w:r>
        <w:t xml:space="preserve">Precio por encima de 4.580 JPY: la ponderada bajaría del −10 % (Vender o reducir).</w:t>
      </w:r>
    </w:p>
    <w:p>
      <w:pPr>
        <w:pStyle w:val="ListParagraph"/>
        <w:numPr>
          <w:ilvl w:val="0"/>
          <w:numId w:val="2"/>
        </w:numPr>
        <w:spacing w:after="60"/>
      </w:pPr>
      <w:r>
        <w:t xml:space="preserve">Margen bruto por debajo del 21 % en un semestre o pedidos industriales en caída dos trimestres: bajaríamos el base hacia el bajista.</w:t>
      </w:r>
    </w:p>
    <w:p>
      <w:pPr>
        <w:pStyle w:val="ListParagraph"/>
        <w:numPr>
          <w:ilvl w:val="0"/>
          <w:numId w:val="2"/>
        </w:numPr>
        <w:spacing w:after="60"/>
      </w:pPr>
      <w:r>
        <w:t xml:space="preserve">Un FY2026 con margen de explotación del 12 % o más y pedidos de 520.000 M: subiríamos el BPA y la acción podría pasar a Comprar a precios cercanos al actual.</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 FY2025 se mantiene pero sin más crecimiento: el precio equivale a un crecimiento del 0,8 % anual o a un margen EBITDA final del 11,2 %.</w:t>
      </w:r>
    </w:p>
    <w:p>
      <w:pPr>
        <w:keepNext/>
        <w:spacing w:after="100"/>
      </w:pPr>
      <w:r>
        <w:rPr>
          <w:b/>
          <w:bCs/>
        </w:rPr>
        <w:t xml:space="preserve">Lo que creemos nosotros.</w:t>
      </w:r>
    </w:p>
    <w:p>
      <w:pPr>
        <w:spacing w:after="100"/>
      </w:pPr>
      <w:r>
        <w:t xml:space="preserve">El crecimiento sigue (4-8 % con la cartera actual) pero el margen toca techo en FY2028e y el múltiplo no tiene por qué subir: el negocio vale poco más que el precio.</w:t>
      </w:r>
    </w:p>
    <w:p>
      <w:pPr>
        <w:keepNext/>
        <w:spacing w:after="100"/>
      </w:pPr>
      <w:r>
        <w:rPr>
          <w:b/>
          <w:bCs/>
        </w:rPr>
        <w:t xml:space="preserve">Por qué podemos tener razón.</w:t>
      </w:r>
    </w:p>
    <w:p>
      <w:pPr>
        <w:spacing w:after="100"/>
      </w:pPr>
      <w:r>
        <w:t xml:space="preserve">La cartera crece un 12 % y la guía se ha batido cuatro años, pero el 59 % de las ventas depende del ciclo de inversión industrial y el margen de FY2025 tuvo cierres favorables de grandes obras [8, 10, 29].</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4.18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creciente</w:t>
      </w:r>
      <w:r>
        <w:t xml:space="preserve">: ROIC del 17,9 % y margen de explotación del 11,3 % en FY2025, frente al 8,8 % y el 4,8 % de FY2021 [1].</w:t>
      </w:r>
    </w:p>
    <w:p>
      <w:pPr>
        <w:pStyle w:val="ListParagraph"/>
        <w:numPr>
          <w:ilvl w:val="0"/>
          <w:numId w:val="2"/>
        </w:numPr>
        <w:spacing w:after="60"/>
      </w:pPr>
      <w:r>
        <w:rPr>
          <w:b/>
        </w:rPr>
        <w:t xml:space="preserve">Cartera récord</w:t>
      </w:r>
      <w:r>
        <w:t xml:space="preserve">: 433.250 M (+12,2 %) a jun-26 y objetivo de pedidos de 520.000 M en FY2026 [10].</w:t>
      </w:r>
    </w:p>
    <w:p>
      <w:pPr>
        <w:pStyle w:val="ListParagraph"/>
        <w:numPr>
          <w:ilvl w:val="0"/>
          <w:numId w:val="2"/>
        </w:numPr>
        <w:spacing w:after="60"/>
      </w:pPr>
      <w:r>
        <w:rPr>
          <w:b/>
        </w:rPr>
        <w:t xml:space="preserve">Balance con reservas</w:t>
      </w:r>
      <w:r>
        <w:t xml:space="preserve">: caja que cubre la deuda, 64.201 M de inversiones financieras (cartera cruzada que se va vendiendo) y superávit de pensiones; rating A+ [9].</w:t>
      </w:r>
    </w:p>
    <w:p>
      <w:pPr>
        <w:pStyle w:val="ListParagraph"/>
        <w:numPr>
          <w:ilvl w:val="0"/>
          <w:numId w:val="2"/>
        </w:numPr>
        <w:spacing w:after="60"/>
      </w:pPr>
      <w:r>
        <w:rPr>
          <w:b/>
        </w:rPr>
        <w:t xml:space="preserve">Dirección creíble</w:t>
      </w:r>
      <w:r>
        <w:t xml:space="preserve">: guía inicial batida cuatro años seguidos y dividendo progresivo con payout del 40 % [13, 29].</w:t>
      </w:r>
    </w:p>
    <w:p>
      <w:pPr>
        <w:pStyle w:val="Heading2"/>
      </w:pPr>
      <w:r>
        <w:t xml:space="preserve">En contra</w:t>
      </w:r>
    </w:p>
    <w:p>
      <w:pPr>
        <w:pStyle w:val="ListParagraph"/>
        <w:numPr>
          <w:ilvl w:val="0"/>
          <w:numId w:val="2"/>
        </w:numPr>
        <w:spacing w:after="60"/>
      </w:pPr>
      <w:r>
        <w:rPr>
          <w:b/>
        </w:rPr>
        <w:t xml:space="preserve">Margen de pico de ciclo</w:t>
      </w:r>
      <w:r>
        <w:t xml:space="preserve">: FY2025 tuvo cierres favorables de grandes obras; el 1T FY2026 bajó un 16 % en explotación [8, 9].</w:t>
      </w:r>
    </w:p>
    <w:p>
      <w:pPr>
        <w:pStyle w:val="ListParagraph"/>
        <w:numPr>
          <w:ilvl w:val="0"/>
          <w:numId w:val="2"/>
        </w:numPr>
        <w:spacing w:after="60"/>
      </w:pPr>
      <w:r>
        <w:rPr>
          <w:b/>
        </w:rPr>
        <w:t xml:space="preserve">Dependencia del ciclo de semiconductores</w:t>
      </w:r>
      <w:r>
        <w:t xml:space="preserve">: los pedidos industriales cayeron un 6,3 % en FY2025 y la cartera industrial un 20,7 % [7].</w:t>
      </w:r>
    </w:p>
    <w:p>
      <w:pPr>
        <w:pStyle w:val="ListParagraph"/>
        <w:numPr>
          <w:ilvl w:val="0"/>
          <w:numId w:val="2"/>
        </w:numPr>
        <w:spacing w:after="60"/>
      </w:pPr>
      <w:r>
        <w:rPr>
          <w:b/>
        </w:rPr>
        <w:t xml:space="preserve">El circulante se come el flujo</w:t>
      </w:r>
      <w:r>
        <w:t xml:space="preserve">: flujo operativo de 0,46 veces el beneficio en cinco años [1].</w:t>
      </w:r>
    </w:p>
    <w:p>
      <w:pPr>
        <w:pStyle w:val="ListParagraph"/>
        <w:numPr>
          <w:ilvl w:val="0"/>
          <w:numId w:val="2"/>
        </w:numPr>
        <w:spacing w:after="60"/>
      </w:pPr>
      <w:r>
        <w:rPr>
          <w:b/>
        </w:rPr>
        <w:t xml:space="preserve">Múltiplo exigente frente a su historia</w:t>
      </w:r>
      <w:r>
        <w:t xml:space="preserve">: 13,0x frente a una mediana adelantada de 9,7x [30].</w:t>
      </w:r>
    </w:p>
    <w:p>
      <w:pPr>
        <w:pStyle w:val="Heading2"/>
      </w:pPr>
      <w:r>
        <w:t xml:space="preserve">Qué tiene que pasar para que la tesis funcione</w:t>
      </w:r>
    </w:p>
    <w:p>
      <w:pPr>
        <w:spacing w:after="100"/>
      </w:pPr>
      <w:r>
        <w:t xml:space="preserve">El margen bruto del 2T FY2026 (13-nov) y del año: por encima del 21-22 % confirma el base; los pedidos industriales y la cartera de oportunidades de semiconductores; el circulante sobre ventas; las ventas de la cartera cruzada y posibles colocaciones de tenedores cruzados; el nuevo plan a medio plazo de mayo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consolidado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(1T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margen estructural del pico de FY2025.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climatización industrial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208.349 M en FY2025 (−6,3 %)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de semiconductores.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433.250 M (jun-26, +12,2 %)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 las ventas del año siguiente.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comercial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consume el flujo libre.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directos y a coste más margen (matriz)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 (1T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margen al contratar.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cruzada sobre patrimonio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bajar en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para recompras y gobierno.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Takasago se fundó en 1923 en Tokio como contratista de calefacción (高砂煖房工事) y fue pionera de la climatización en Japón [22]. Cotiza en la Bolsa de Tokio desde 1949. En los años ochenta y noventa se especializó en salas limpias para la industria electrónica y se expandió por Asia [13]. Entre FY2019 y FY2021 el margen de explotación estaba en el 4-5 %; el plan a medio plazo 2026 (lanzado en 2024, revisado en mayo de 2025) y la ola de fábricas de semiconductores en Japón lo llevaron al 11,3 % en FY2025 [4, 14 de A]. En 2023 celebró su centenario con un dividendo conmemorativo [22]. En febrero de 2025 tenedores cruzados (MUFG, Taiyo Life y otros) vendieron 3,1 millones de acciones en una colocación secundaria, y en octubre de 2025 hizo un split 1:2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Tokio como contratista de calefacción.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Tokio.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Kazuhito Kojima,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Centenario; arranque de la ola de fábricas de semiconductores (pedidos de 403.110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secundaria de tenedores cruzados (febrero), recompra de 8.000 M y split 1:2 (octubre).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beneficio de FY2025 (explotación 47.745 M); Hiroshi Kubota, vicepresidente y consejero representante (abril); rating JCR A+.</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Takasago Thermal Engineering diseña, instala y mantiene sistemas de climatización, ventilación y salas limpias. Es un contratista de instalaciones (設備工事, subcontratista o contratista directo de la constructora general o del cliente final) con dos grandes clientelas: la climatización industrial (58,6 % de las ventas en FY2025), sobre todo salas limpias para fábricas de semiconductores y electrónica (TSMC-JASM, Rapidus, Kioxia y otras), farmacia y baterías, y la climatización general (39,4 %): oficinas de los grandes redesarrollos de Tokio, centros de datos, hospitales y edificios públicos [7, 13]. Fabrica equipos en pequeña escala (2 %) y el 21 % de las ventas es fuera de Japón (sudeste asiático, India, China) [7, 13]. Trabaja con una red de unos 600 subcontratistas fieles (Kowakai) y 7.287 empleados, de los que 2.469 en la matriz [7, 13].</w:t>
      </w:r>
    </w:p>
    <w:p>
      <w:pPr>
        <w:pStyle w:val="Heading2"/>
      </w:pPr>
      <w:r>
        <w:t xml:space="preserve">Cómo gana dinero</w:t>
      </w:r>
    </w:p>
    <w:p>
      <w:pPr>
        <w:spacing w:after="100"/>
      </w:pPr>
      <w:r>
        <w:t xml:space="preserve">Cobra por obra: precio cerrado o, cada vez más, coste más margen y contrato directo con el cliente (61-64 % de los pedidos de la matriz), con cláusulas de revisión de precios [11]. El beneficio es el margen bruto de la obra (22 % en FY2025) menos los gastos generales (10,8 % de las ventas): el coste son subcontratistas, materiales (tubería, conductos, equipos) y su propia ingeniería [7, 13]. El margen depende de tres cosas: la escasez de capacidad de obra en Japón (que hoy da poder de precio a quien tiene técnicos y subcontratistas), la mezcla (las renovaciones y las salas limpias de semiconductores dejan más margen) y la ejecución (sobrecostes o mejoras al cerrar una obra grande) [11]. Las renovaciones y el mantenimiento (7,9 % de las ventas) son la parte recurrente [7].</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climatización general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climatización industrial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y venta de equipos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climatización general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climatización industrial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y venta de equipos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[13]. Los clientes son fabricantes de semiconductores y electrónica (que deciden por ciclos de inversión), promotores inmobiliarios y constructoras generales (Kajima, Obayashi, Shimizu, Taisei, Takenaka) y el sector público [7]. El poder de precio es hoy alto por la escasez de mano de obra: los clientes aceptan contratos a coste más margen que antes no aceptaban, y la empresa dice que la subida de costes podría frenar parte de la inversión de los clientes [11]. Una fábrica de baterías de unos 50.000 M cancelada en FY2025 muestra el riesgo de concentración por proyecto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consolidados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416.147 M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460.057 M (FY2025); 106.598 M en el 1T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+1,7 %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+30,4 % e industrial −6,3 % en FY2025 por una fábrica de baterías de unos 50.000 M cancelada; guía FY2026: 520.000 M [7,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375.440 M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411.573 M (mar-26); 433.250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+12,2 % interanual en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 1 año de ventas; la industrial bajó un 20,7 % en FY2025 (153.957 M) y repuntó a 160.973 M en jun-26 [7,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climatización industrial (peso)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 (FY2021)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Semiconductores, electrónica, farmacia y baterías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 (FY2025); 22,5 % en el 1T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21 % sin las mejoras al cierre de grandes obras [8,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directos y a coste más margen (matriz)</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 de los pedidos (FY2025); 63,8 % (1T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al alza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en torno al 65 %: mejor margen al contratar [8,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el exterior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50.631 M (FY2021)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90.756 M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 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Sobre todo sudeste asiático e India; la cartera exterior bajó un 25 % en FY2025 [5,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obra de climatización y fontanería (管工事業) en Japón según la estadística de obras del MLIT, porque es donde compite el 79 % de las ventas: 8.196.561 M JPY en el ejercicio fiscal 2020, 8.659.659 M en 2021 y 8.313.576 M en 2022 [17], y 10.315.700 M en 2024 según CREX citando la misma fuente [18]. Ojo: el salto 2022-2024 puede deberse en parte a cambios en la encuesta, y el mercado incluye fontanería y pequeñas obras donde Takasago no compite. Contraste: los 73 grandes contratistas del sector facturaron 1.238.800 M en 2021 (Yano) [19]; Takasago (302.746 M) era el mayor. La cuota sobre el mercado amplio es del 3-4 %; sobre los grandes, de alrededor del 20 %.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10.315.700 M JPY en el ejercicio fiscal 2024 (obras de climatización y fontanería en Japón, MLIT vía CREX) [17,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 madura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en el mercado amplio; concentrada en las grandes obras (cinco o seis contratistas de climatización y los grupos eléctricos)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JPY (obras de climatización y fontanería en Japó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Fábricas de semiconductores en Japón (subvenciones públicas a TSMC-JASM, Rapidus, Kioxia, Micron)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climatización industrial de Takasago pasó de 136.503 M (FY2021) a 248.606 M (FY2025); la cartera de oportunidades de semiconductores sube en 2026 [7,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técnicos y subcontratistas (envejecimiento, límite de horas extra desde abril de 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 poder de precio (más contratos a coste más margen) pero limita cuánta obra se puede hacer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Redesarrollos urbanos y renovación de edificios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redesarrollos de oficinas dan trabajo estable hasta 2029 según la empresa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dedicado y más volumen que antes, pero los pedidos se retrasan al año siguiente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y eficiencia energética (renovación de equipos, bombas de calor, hidrógeno)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negocio de neutralidad de carbono del plan a medio plazo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subida de costes puede frenar decisiones de inversión de los clientes, según la propia empresa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o seis grandes de climatización (Takasago, Sanki, Taikisha, Dai-Dan, Shinryo privada) y los grupos eléctricos (Kinden, Kandenko); hoy hay más obra que capacidad [11,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fabricantes y constructoras generales; hoy aceptan contratos a coste más margen por la escasez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subcontratistas especializados escasean; materiales con cláusulas de revisión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licencias, técnicos certificados, historial de obras de salas limpias y una red de subcontratistas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climatización y las salas limpias no tienen sustituto; la prefabricación (T-Base) cambia cómo se hace, no si se hace [7].</w:t>
            </w:r>
          </w:p>
        </w:tc>
      </w:tr>
    </w:tbl>
    <w:p>
      <w:pPr>
        <w:spacing w:after="160" w:before="0"/>
      </w:pPr>
    </w:p>
    <w:p>
      <w:pPr>
        <w:pStyle w:val="Heading2"/>
      </w:pPr>
      <w:r>
        <w:t xml:space="preserve">Ciclo</w:t>
      </w:r>
    </w:p>
    <w:p>
      <w:pPr>
        <w:spacing w:after="100"/>
      </w:pPr>
      <w:r>
        <w:t xml:space="preserve">El ciclo de inversión en fábricas de semiconductores en Japón vivió su pico de obra nueva en FY2023-FY2025 [7]. En FY2025 los pedidos industriales de Takasago cayeron un 6,3 % y la cartera industrial un 20,7 %, compensados por la general (+30,4 %); en 2026 la cartera de oportunidades de semiconductores vuelve a subir, ahora sobre todo en ampliaciones (94 % de renovación en los pedidos industriales del 1T) [7, 11]. El sector de obra japonés no cae desde 2011 porque la oferta (técnicos) es el límite, no la demanda. Un parón de inversión en semiconductores sí se notaría: en FY2019-FY2021 el margen de explotación de Takasago estaba en el 4-5 %.</w:t>
      </w:r>
    </w:p>
    <w:p>
      <w:pPr>
        <w:pStyle w:val="Heading2"/>
      </w:pPr>
      <w:r>
        <w:t xml:space="preserve">Regulación</w:t>
      </w:r>
    </w:p>
    <w:p>
      <w:pPr>
        <w:spacing w:after="100"/>
      </w:pPr>
      <w:r>
        <w:t xml:space="preserve">Licencia de contratista (建設業法) y la ley de subcontratación, que obliga a pagar antes y mejor a los subcontratistas (por eso bajaron los proveedores) [13]. El límite de horas extra en la construcción desde abril de 2024 reduce la capacidad de obra [11]. Normas de eficiencia energética de edificios (ZEB) y la política industrial de semiconductores (subvenciones de METI a Rapidus y TSMC) empujan la demanda [7]. Precios públicos de mano de obra (公共工事設計労務単価) suben cada año.</w:t>
      </w:r>
    </w:p>
    <w:p>
      <w:pPr>
        <w:pStyle w:val="Heading2"/>
      </w:pPr>
      <w:r>
        <w:t xml:space="preserve">Tendencias y disrupción</w:t>
      </w:r>
    </w:p>
    <w:p>
      <w:pPr>
        <w:spacing w:after="100"/>
      </w:pPr>
      <w:r>
        <w:t xml:space="preserve">Tres tendencias: (1) prefabricación y digitalización de la obra (T-Base de Takasago, BIM) para hacer más con menos técnicos, con una contribución que la empresa cifra en 13.000 M de obra en FY2026 y 50.000 M en FY2030 [7, 11]; (2) contratos directos con el cliente y a coste más margen, que suben el margen al contratar [11]; (3) internacionalización al sudeste asiático e India siguiendo a los fabricantes japoneses y a los centros de datos [7]. Takasago gana con las tres; la amenaza es que el ciclo de semiconductores se enfríe a la vez que se normaliza la escasez.</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contratista independiente de climatización de Japón por ventas (423.923 M en FY2025, frente a 286.127 M de Taikisha, 254.673 M de Sanki y 256.228 M de Dai-Dan); los grupos eléctricos Kinden y Kandenko son mayores pero hacen sobre todo instalación eléctrica [20]. Cuota del 4,1 % del mercado amplio de climatización y fontanería (estimación propia: 423.923 / 10.315.700)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Taikisha Ltd.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1979.T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salas limpias industriales (automóvil y semiconductores) y pintura; más peso exterior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Sanki Engineering Co., Ltd.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y fontanería de edificios; más peso de climatización general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Dai-Dan Co., Ltd.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1980.T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y electricidad de edificios; margen alto con renovaciones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Kinden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1944.T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instalaciones eléctricas y de climatización ligado a Kansai Electric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Kandenko Co.,Ltd.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instalaciones eléctricas ligado a TEPCO; centros de datos y redes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United Integrated Services Co., Ltd.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2404.TW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420.232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Contratista taiwanés de salas limpias para TSMC; compite en las fábricas de TSMC fuera de Taiwán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cada obra es independiente.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ampliaciones de una fábrica las suele hacer quien la construyó (renovaciones del 94 % de los pedidos industriales en el 1T FY2026)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salas limpias TCR-SWIT y historial de obras de semiconductores; marca de referencia en Japón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prefabricación (T-Base); margen similar al de los rivales (11,3 % frente al 9-15 %)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unos 600 subcontratistas fieles y 2.469 técnicos de la matriz en un mercado donde la capacidad es el límite [4, 5].</w:t>
            </w:r>
          </w:p>
        </w:tc>
      </w:tr>
    </w:tbl>
    <w:p>
      <w:pPr>
        <w:spacing w:after="160" w:before="0"/>
      </w:pPr>
    </w:p>
    <w:p>
      <w:pPr>
        <w:pStyle w:val="Heading2"/>
      </w:pPr>
      <w:r>
        <w:t xml:space="preserve">Amenazas</w:t>
      </w:r>
    </w:p>
    <w:p>
      <w:pPr>
        <w:spacing w:after="100"/>
      </w:pPr>
      <w:r>
        <w:t xml:space="preserve">Taikisha y UIS en salas limpias de semiconductores, y los grupos eléctricos (Kinden, Kandenko) en centros de datos [20]. La mayor amenaza no es un competidor sino el ciclo: si las grandes inversiones en fábricas se frenan, todos los contratistas se disputarán menos obra y los márgenes volverán hacia el 5-8 %.</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FY2021-FY2025: ingresos </w:t>
      </w:r>
      <w:r>
        <w:rPr>
          <w:b/>
          <w:bCs/>
        </w:rPr>
        <w:t xml:space="preserve">8,8 %</w:t>
      </w:r>
      <w:r>
        <w:t xml:space="preserve">, EBITDA </w:t>
      </w:r>
      <w:r>
        <w:rPr>
          <w:b/>
          <w:bCs/>
        </w:rPr>
        <w:t xml:space="preserve">33,3 %</w:t>
      </w:r>
      <w:r>
        <w:t xml:space="preserve">, BPA </w:t>
      </w:r>
      <w:r>
        <w:rPr>
          <w:b/>
          <w:bCs/>
        </w:rPr>
        <w:t xml:space="preserve">35,5 %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Takasago es el mayor contratista independiente de climatización de Japón. Las ventas pasaron de 302.746 M en FY2021 a 423.923 M en FY2025 (+8,8 % anual) y el beneficio de explotación se triplicó, de 14.383 M a 47.745 M: el margen de explotación pasó del 4,8 % al 11,3 % [1, 5, 6]. El salto vino de tres cosas: la ola de fábricas de semiconductores en Japón (TSMC-JASM en Kumamoto, Rapidus, Kioxia), que llevó la climatización industrial de 136.503 M a 248.606 M; precios mejores al contratar (más contratos directos con el cliente y a coste más margen: el 61,2 % de los pedidos de la matriz en FY2025) y la escasez de capacidad de obra en Japón, que da poder de precio a quien tiene técnicos [7, 8]. FY2025 fue excepcional: grandes obras de semiconductores se cerraron con mejora de margen al terminar, y la propia empresa dice que sin ellas el margen bruto habría quedado «en la zona del 21 %» (22,1 % publicado) [8]. El 1T FY2026 bajó (ventas −9,9 %, explotación −16,2 %) porque la obra industrial se concentra en el 2S, según la empresa en línea con su plan [9, 11]. Los resultados son muy estacionales: el 3T y el 4T suman más de la mitad de las ventas y del beneficio [12].</w:t>
      </w:r>
    </w:p>
    <w:p>
      <w:pPr>
        <w:pStyle w:val="Heading2"/>
      </w:pPr>
      <w:r>
        <w:t xml:space="preserve">Ajustes y partidas no recurrentes</w:t>
      </w:r>
    </w:p>
    <w:p>
      <w:pPr>
        <w:spacing w:after="100"/>
      </w:pPr>
      <w:r>
        <w:t xml:space="preserve">Cifras publicadas (J-GAAP), sin ajustes. EBITDA = beneficio de explotación + amortización + amortización del fondo de comercio (314 M en FY2025). El resultado financiero (BAI − beneficio de explotación) recoge dividendos de la cartera de acciones e intereses netos (no operativo neto de 2.897 M en FY2025) y extraordinarios: plusvalías de venta de acciones de la cartera cruzada (1.161 / 270 / 1.295 / 2.712 / 799 M en FY2021-FY2025) y de inmovilizado (1.517 M en FY2025), deterioro de 288 M en FY2023 [1, 3, 4, 5]. Esas plusvalías se repiten cada año porque la empresa vende su cartera cruzada por plan; en el BPA propio solo cuento una parte decreciente. BPA y DPA de todos los años en base posterior al split 1:2 del 1-oct-2025 [16]. El DPA de FY2023 incluye 5 JPY (10 antes del split) conmemorativos del centenario [4]. El flujo operativo de FY2025 es el corregido el 12-jun-2026 (29.725 M)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 FY2026 (5-ago-2026) los analistas preguntaron por la caída de ventas (−9,9 %) y por el margen bruto del 22,5 % [11]. La dirección dijo que la pausa en la obra industrial era la prevista, que el beneficio superó su plan interno por las renovaciones y las filiales de Singapur y Tailandia, y que las ventas volverán a crecer en el 2S [11]. Mantuvo la guía (ventas 440.000 M, explotación 50.000 M, neto 40.000 M) citando el terremoto de Kumamoto y Oriente Medio [9, 11]. La cartera de oportunidades de semiconductores crece (inversiones anunciadas y ampliaciones en fábricas que ya hizo Takasago, con obras de 2-3 meses), la de centros de datos se retrasa al año siguiente y los redesarrollos de oficinas dan trabajo estable hasta 2029 [10, 11]. Frente a mayo, el tono pasó de explicar la pérdida de unos 50.000 M de pedidos por una fábrica de baterías cancelada [8] a destacar que la cartera total subió un 12,2 % hasta 433.250 M y que el 94 % de los pedidos industriales de la matriz son renovaciones [10, 11]. Sobre recompras, «flexible y oportuna» según las inversiones de crecimiento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340.106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209.889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Entrada en el perímetro de THS Innovations y Prompt Techno Service (Tailandia, gestión energética y mantenimiento de instalaciones; 1.287 empleados) desde el 3T FY2025; compras por 3.220 M [7, 13].).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un contratista japonés: el circulante es grande y es lo que consume el flujo. Clientes y obra ejecutada pendiente de facturar suman 203.174 M (el 48 % de las ventas) frente a 51.481 M de proveedores; el circulante comercial neto pasó del 19 % de las ventas en FY2021 al 32 % en FY2025 [1, 5]. La razón es doble: la ley japonesa de subcontratación y la presión pública para pagar antes a los subcontratistas (los proveedores cayeron de 87.393 M en FY2022 a 49.713 M en FY2024) y las grandes obras de semiconductores que se facturan al final [3, 4]. La caja neta de deuda bajó de 42.502 M (FY2022) a 5.822 M (FY2025) mientras el patrimonio subía de 142.470 M a 209.889 M: el crecimiento lo pagó el balance y no el flujo [1, 5]. La cartera cruzada (22,6 % del patrimonio, objetivo ≤ 15 % a mar-27) es una reserva de valor que se va vendiendo [8, 13].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26.319</w:t>
      </w:r>
      <w:r>
        <w:t xml:space="preserve">, conversión </w:t>
      </w:r>
      <w:r>
        <w:rPr>
          <w:b/>
          <w:bCs/>
        </w:rPr>
        <w:t xml:space="preserve">24 %</w:t>
      </w:r>
      <w:r>
        <w:t xml:space="preserve"> del beneficio neto; adquisiciones 10.587, dividendos 36.003, recompras 16.506.</w:t>
      </w:r>
    </w:p>
    <w:p>
      <w:pPr>
        <w:spacing w:after="100"/>
      </w:pPr>
      <w:r>
        <w:t xml:space="preserve">La conversión del beneficio en caja es irregular y baja: en cinco años el flujo operativo sumó 49.522 M frente a 108.475 M de beneficio neto (0,46 veces), porque el circulante absorbió unos 70.000 M [1, 3, 4, 5]. El año malo fue FY2023 (−13.100 M) por las grandes obras de semiconductores y el pago anticipado a subcontratistas; FY2025 (29.725 M) se recuperó con los cobros al terminar esas obras [2, 7]. El capex es bajo (1,2 % de las ventas): es un negocio de personas, no de fábricas [1]. Dividendos y recompras (12.634 M y 8.209 M en FY2025) superaron el flujo libre, y se pagaron con caja y con la venta de la cartera cruzada [1, 14]. Mientras las ventas crezcan, el flujo libre seguirá por debajo del beneficio; si se estancan, el circulante se liberará.</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AZSA LLC</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FY2025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de un contratista dependen del reconocimiento por grado de avance: el beneficio de una obra se estima con su coste total previsto, y un cambio de estimación al terminar mueve el margen (como en FY2025, donde grandes obras de semiconductores cerraron con mejora) [8]. La empresa lo explica y separa ese efecto (margen bruto «en la zona del 21 %» sin él) [8]. Las plusvalías de venta de la cartera cruzada (799-2.712 M al año) y del inmovilizado (1.517 M en FY2025) inflan el beneficio neto entre un 2 % y un 10 % según el año [1, 3]. No hay capitalización de gastos ni pagos en acciones relevantes. Corrigió el estado de flujos de FY2025 un mes después de publicarlo (reclasificación dentro del operativo)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acumulado de 5 años = 0,46 veces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 en un contratista que crece (obra ejecutada pendiente de cobro) y con pagos más rápidos a subcontratistas; vigilar los activos de contrato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FY2025 ayudado por cierres de grandes obras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estima el margen bruto subyacente en la zona del 21 % frente al 22,1 % publicado; el 4T FY2025 ya bajó al 7,3 % de margen de explotación [8,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Corrección del estado de flujos de FY2025 (12-jun-2026)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Reclasificación dentro del flujo operativo, sin cambio en cuenta ni balance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2.696 M en FY2025 (el 1 % del capital invertido medio); ha subido más de un 5 % en 1 de 4 años: compra única grande. ROIC publicado 17,9 %; sin fondo de comercio, 18,1 %.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31,0 % · </w:t>
      </w:r>
      <w:r>
        <w:rPr>
          <w:b/>
          <w:bCs/>
        </w:rPr>
        <w:t xml:space="preserve">WACC</w:t>
      </w:r>
      <w:r>
        <w:t xml:space="preserve">: 8,2 %.</w:t>
      </w:r>
    </w:p>
    <w:p>
      <w:pPr>
        <w:spacing w:after="100"/>
      </w:pPr>
      <w:r>
        <w:t xml:space="preserve">Takasago crea valor desde FY2023: el ROIC pasó del 8,8 % en FY2021 (por debajo del WACC del 8,2 %) al 17,9 % en FY2025, y el ROE al 19,2 % [1]. El salto viene del margen (NOPAT del 8,1 % de las ventas frente al 3,3 %), no de la rotación, que se mantiene en 2,2 veces el capital invertido. El ROIC incremental de FY2021-FY2025 fue del 31 %: cada yen de capital nuevo (sobre todo circulante) rindió mucho porque coincidió con la mejora de precios. Es un ROIC de pico de ciclo: con el margen de FY2021-FY2022 estaría en el 9-11 %, en torno al WACC. El capital invertido no incluye la cartera cruzada ni las demás inversiones financieras (64.000 M), que van en el puente.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-44.032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42.125 M a 30-jun-2026 frente a 40.593 M de deuda financiera (préstamos a corto 25.593 M, bono con vencimiento a menos de un año 10.000 M y otro bono 5.000 M): caja neta de deuda de unos 1.500 M [9]. A eso se suman 64.201 M de inversiones financieras, de las que 45.407 M (a mar-26) son la cartera de acciones cruzadas de 83 empresas, y 9.726 M de superávit neto de pensiones [9, 13]. Rating A+ (estable) de JCR, subido el 15-abr-2026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(JCR, estable)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que importa es comercial: proveedores y subcontratistas (51.481 M) y anticipos de clientes (17.993 M) a mar-26 [1]. El fondo de pensiones tiene superávit (activo 11.495 M frente a pasivo 1.769 M a jun-26) [9]. El riesgo contable típico del contratista es el reconocimiento de ingresos por grado de avance: las provisiones por pérdidas en obra son pequeñas y no hay litigios relevantes publicados [13]. Avales y garantías a filiales y a terceros por importes menores [13].</w:t>
      </w:r>
    </w:p>
    <w:p>
      <w:pPr>
        <w:pStyle w:val="Heading1"/>
      </w:pPr>
      <w:r>
        <w:t xml:space="preserve">12. Asignación de capital</w:t>
      </w:r>
    </w:p>
    <w:p>
      <w:pPr>
        <w:pStyle w:val="Confianza"/>
        <w:spacing w:after="100"/>
      </w:pPr>
      <w:r>
        <w:t xml:space="preserve">Confianza: Alta</w:t>
      </w:r>
    </w:p>
    <w:p>
      <w:pPr>
        <w:spacing w:after="100"/>
      </w:pPr>
      <w:r>
        <w:t xml:space="preserve">Dividendo progresivo con un payout objetivo del 40 % desde FY2023 [13]: DPA de 115 JPY en FY2025 (43 a cuenta y 72 final) y guía de 123 JPY en FY2026 (61 + 62) [1, 9]. Recompras «flexibles»: unos 8.000 M en abril-junio de 2025 [15]. Plan a medio plazo 2026 (FY2024-FY2026): más de 90.000 M en crecimiento (I+D, neutralidad de carbono, compras de unos 7.500 M, personas) y más de 58.000 M de remuneración al accionista, financiados en parte con la venta de 20.000 M de la cartera cruzada [7,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THS Innovations y Prompt Techno Service (Tailandia): gestión energética y mantenimiento de instalaciones, 1.287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Consolidadas desde el 3T FY2025; demasiado pronto para juzgar [7,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minoritarios de filiales consolidadas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minoritarios del balance bajaron de 4.694 M a 2.875 M [4].</w:t>
            </w:r>
          </w:p>
        </w:tc>
      </w:tr>
    </w:tbl>
    <w:p>
      <w:pPr>
        <w:spacing w:after="160" w:before="0"/>
      </w:pPr>
    </w:p>
    <w:p>
      <w:pPr>
        <w:spacing w:after="100"/>
      </w:pPr>
      <w:r>
        <w:t xml:space="preserve">La dirección asigna el capital con disciplina y en línea con el código de gobierno japonés: subió el payout del 35 % al 40 %, recompró el 6 % del capital en FY2021 y FY2025 a precios muy por debajo del actual (FY2025: a unos 2.900 JPY en base posterior al split), y reduce la cartera cruzada [1, 14, 15]. Las compras son pequeñas y de servicios en el sudeste asiático [7]. Lo discutible: la caja neta casi desapareció porque el circulante creció, y aun así se repartió más que el flujo libre; con 64.000 M de inversiones financieras no hay tensión, pero el margen para recompras grandes depende de vender la cartera cruzada [9].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Kazuhito Kojima (小島和人)</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(代表取締役社長)</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su carrera en Takasago; consejero desde 2019 y presidente desde abril de 2020. Con él el margen de explotación pasó del 4,8 % al 11,3 % y lanzó el plan a medio plazo 2026 y T-Base. 193.478 acciones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Kubota (久保田浩司)</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consejero representante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2022; representante desde el 1-abr-2026, lo que lo sitúa como posible sucesor. 57.673 acciones [23,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Tadashi Kamiya (神谷忠史)</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ejecutivo sénior (ingeniería y obra)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técnica en la empresa; 79.817 acciones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Ichiro Yamamoto (山本一郎)</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director ejecutivo (finanzas y relación con inversores)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consejero en junio de 2026, sustituye en la práctica a Masatoshi Morino (finanzas, retirado el 31-mar-2026). 21.823 acciones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311.000 / explotación 13.100 / neto 10.800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338.831 / explotación 15.326 / neto 12.227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359.000 / explotación 15.500 / neto 12.700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363.366 / explotación 24.192 / neto 19.612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370.000 / explotación 25.700 / neto 21.400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381.661 / explotación 32.415 / neto 27.631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410.000 / explotación 36.000 / neto 28.700 (subida a 43.300 y 47.100 de explotación en oct-25 y feb-26)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423.923 / explotación 47.745 / neto 37.470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la casa, como es norma en Japón: el presidente lleva 6 años en el cargo y toda su carrera en la empresa [23]. La credibilidad es alta y medible: la guía inicial se ha superado los cuatro últimos años, y por mucho en beneficio (FY2025: explotación 47.745 M frente a 36.000 M de la guía inicial) [1, 29]. Eso también significa que la guía es conservadora por costumbre: la de FY2026 (explotación 50.000 M, +4,7 %) seguramente esconde margen. La sucesión parece encauzada (Kubota, representante desde abril de 2026) y el relevo en finanzas (Yamamoto por Morino) fue ordenado [26]. Los directivos tienen pocas acciones (menos del 0,3 % entre todos), pero cobran en acciones a través del plan BIP [21].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Shuma Uchino (内野州馬)</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(externo, ex-Mitsubishi Corporation)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Kazuhito Kojima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Kubota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vicepresidente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Tadashi Kamiya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ejecutivo sénior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Ichiro Yamamoto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Atsushi Takagi (髙木敦)</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remuneraciones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Yoko Seki (関葉子)</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Hideka Morimoto (森本英香)</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(ex-viceministro de Medio Ambiente)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Hirotaka Yamada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de la comisión de auditoría (interno)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Sakakibara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Hioka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Wakamatsu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88,7 %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FY2025 [13]</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(fideicomiso)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índice e 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Life Insurance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Tenedor cruzado (aseguradora)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(custodio)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inversores extranjeros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Asociación de empleados de Takasago (持株会)</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Takasago Kyoeikai (asociación de subcontratistas y proveedores)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(estable)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(fideicomiso)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(Capital Group)</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participación de mayo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Dai-ichi Life Insurance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Tenedor cruzado (aseguradora)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Kazuhito Kojima cobró 159 M JPY en FY2025: 56 M fijos, 68 M de bonus y 34 M en acciones (plan BIP) [13]. Los cuatro consejeros internos sumaron 389 M (153 fijos, 155 de bonus, 80 en acciones) [13]. Estructura objetivo del consejero representante: 40 % fijo, 30 % bonus y 30 % acciones [21]. El bonus (0-200 %) depende en un 50 % del beneficio ordinario consolidado, un 20 % del margen bruto y un 30 % de la evaluación individual; las acciones, en un 60 % de objetivos del plan a medio plazo (ordinario 30 %, ROE 20 %, rentabilidad total frente al TOPIX 30 %, CO2 y compromiso de la plantilla) [21]. La remuneración no se vota cada año en Japón; la reelección de Kojima obtuvo el 88,7 % en junio de 2026 (92,9 % en 2024), con un 11,2 % en contra probablemente por las recomendaciones de los asesores de voto sobre la cartera cruzada [24, 25]. El sueldo del presidente equivale a 12,8 veces el salario medio de la matriz (12,46 M) [13].</w:t>
      </w:r>
    </w:p>
    <w:p>
      <w:pPr>
        <w:pStyle w:val="Heading2"/>
      </w:pPr>
      <w:r>
        <w:t xml:space="preserve">Operaciones vinculadas, estructura de control y defensas</w:t>
      </w:r>
    </w:p>
    <w:p>
      <w:pPr>
        <w:spacing w:after="100"/>
      </w:pPr>
      <w:r>
        <w:t xml:space="preserve">Sin accionista de control: el mayor es un custodio (10,6 %), y entre aseguradoras, bancos y socios comerciales (tenedores cruzados), la asociación de empleados y la de subcontratistas suman cerca de una cuarta parte del capital; el flotante libre según la empresa es del 53,1 % [13]. Sin medidas antiOPA [21]. Una acción, un voto. Sociedad con comisión de auditoría y supervisión: 12 consejeros, 7 externos independientes, y el presidente del consejo es externo (Shuma Uchino) [21, 23]. Los tenedores cruzados siguen vendiendo (colocación secundaria de 3,1 millones de acciones en febrero de 2025), lo que da estabilidad de voto decreciente y oferta de acciones latente [27]. Japón no tiene un registro público de operaciones de directivos; sus acciones aparecen en la convocatoria de cada junta [23].</w:t>
      </w:r>
    </w:p>
    <w:p>
      <w:pPr>
        <w:pStyle w:val="Heading2"/>
      </w:pPr>
      <w:r>
        <w:t xml:space="preserve">Señales de alerta</w:t>
      </w:r>
    </w:p>
    <w:p>
      <w:pPr>
        <w:pStyle w:val="ListParagraph"/>
        <w:numPr>
          <w:ilvl w:val="0"/>
          <w:numId w:val="2"/>
        </w:numPr>
        <w:spacing w:after="60"/>
      </w:pPr>
      <w:r>
        <w:t xml:space="preserve">Ventas de tenedores cruzados (colocación secundaria de feb-2025) que pueden repetirse y pesar sobre el precio [27].</w:t>
      </w:r>
    </w:p>
    <w:p>
      <w:pPr>
        <w:pStyle w:val="ListParagraph"/>
        <w:numPr>
          <w:ilvl w:val="0"/>
          <w:numId w:val="2"/>
        </w:numPr>
        <w:spacing w:after="60"/>
      </w:pPr>
      <w:r>
        <w:t xml:space="preserve">La reelección del presidente bajó del 92,9 % (2024) al 88,7 % (2026) [24,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FY2026 (12-may-2026, mantenida el 5-ago): ventas 440.000 M (+3,8 %), beneficio de explotación 50.000 M (+4,7 %), ordinario 52.000 M, neto 40.000 M (BPA 305,63 JPY), pedidos 520.000 M y DPA 123 JPY [7, 9]. La empresa ha superado su guía inicial los cuatro últimos años [C]. Los resultados del 2T FY2026 se esperan hacia el 13-nov-2026 (el año pasado, el 14-nov; fecha exacta sin publicar al corte)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54.564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475.235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5.250,00 – 6.900,00</w:t>
            </w:r>
          </w:p>
        </w:tc>
      </w:tr>
    </w:tbl>
    <w:p>
      <w:pPr>
        <w:spacing w:after="160" w:before="0"/>
      </w:pPr>
    </w:p>
    <w:p>
      <w:pPr>
        <w:pStyle w:val="Heading2"/>
      </w:pPr>
      <w:r>
        <w:t xml:space="preserve">Revisiones de estimaciones</w:t>
      </w:r>
    </w:p>
    <w:p>
      <w:pPr>
        <w:spacing w:after="100"/>
      </w:pPr>
      <w:r>
        <w:t xml:space="preserve">El consenso está por encima de la guía (BPA FY2026e 327 frente a 305,63) porque los analistas descuentan que la empresa la vuelva a batir [9, 31]. Movimientos recientes: Nomura subió a «comprar» el 27-may-2026 (objetivo 5.500); un gran bróker japonés mantuvo «comprar» y bajó el objetivo a 5.400 el 26-ago tras el 1T; Morgan Stanley MUFG subió de neutral a sobreponderar el 14-sep (4.900 → 5.900) [37]. El objetivo medio (5.975 JPY) queda un 43 % por encima del precio. Uso solo ventas y BPA del consenso: su EBIT de FY2026e (53.960 M) parece incluir partidas no operativas, como el de Yahoo para las japonesas [31].</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por cinco su precio entre marzo de 2023 y febrero de 2026 (+85,9 % en 2023, +103,6 % en 2024 y +43,6 % en 2025, frente al +20-28 % del TOPIX) al subir el beneficio y el múltiplo a la vez [30]. Desde el máximo de 5.749 JPY del 13-feb-2026 cae un 27 %: ese día bajó un 9,4 % pese a subir la guía, y luego vinieron los resultados de mayo con una guía modesta (−7,3 % y −5,7 %) y un 1T flojo en agosto [30, 37]. En el último año gana un 3,9 % con dividendos frente al +31 % del TOPIX y el +19 % del sector de construcción [30]. Beta de 1,08 mensual a 5 años frente al ETF del TOPIX (ajustada 1,05; semanal a 2 años 0,95); volatilidad del 41 % y caída máxima del −28,8 % (mayo-agosto de 2024)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 -9,5 % / -7,8 % / +5,0 %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 / +5,0 %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17 % en febrero hasta el máximo de 5.749 JPY del 13-feb, día en que la empresa subió la guía de FY2025 (explotación a 47.100 M) y el dividendo; ese mismo día la acción cayó un 9,4 % desde el máximo, sin causa confirmada (recogida de beneficios tras la noticia)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16,8 % en marzo, con −6,2 % el 9-mar y −5,3 % el 19-mar, sin hecho propio publicado; coincide con la tensión en Oriente Medio que la empresa cita después como riesgo de retrasos en obra (2-3 % del beneficio de explotación de la matriz) [8,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FY2025 el 12-may con récord pero guía modesta para FY2026 (explotación +4,7 %): −7,3 % el 14-may y −5,7 % el 18-may; rebote de tres días tras la subida de Nomura a «comprar» el 27-may [7,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16,1 % en julio (−18,5 % en un mes hasta el 29-jul, con −5,5 % ese día) sin hecho propio publicado; el 5-ago el ordinario del 1T bajó un 12 %, que la empresa atribuyó a la pausa prevista de la obra industrial [9, 11,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11,1 % en octubre hasta el 19 (−5,2 % el 15-oct) sin hecho propio publicado; la acción vuelve cerca del mínimo de agosto (3.985) y un 9 % bajo su media de 200 sesiones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hacia el 13-nov (el año pasado, el 14-nov; fecha exacta sin publicar al corte) [9]. Dirán si la obra industrial vuelve a crecer en el 2S como dice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MUFG sube de neutral a sobreponderar y el objetivo de 4.900 a 5.900 JPY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gran bróker japonés mantiene «comprar» y baja el objetivo a 5.400 JPY tras el 1T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FY2026: ventas −9,9 %, explotación −16,2 %, pedidos +1,7 % y cartera +12,2 %; guía mantenida [9,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reelección del presidente con el 88,7 % (92,9 % en 2024) y nuevo consejero de finanzas (Yamamoto)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Nomura sube a «comprar» con objetivo de 5.500 JPY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récord (explotación 47.745 M, +47 %) y guía FY2026 de explotación de 50.000 M (+4,7 %), pedidos de 520.000 M y DPA de 123 JPY [1,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Hiroshi Kubota, vicepresidente y consejero representante desde el 1-abr-2026; el presidente sigue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secundaria de 3.106.800 acciones (6,2 M después del split) de tenedores cruzados (MUFG, Taiyo Life y otros) [27]. Puede repetirse, pero no hay ninguna anunciada al corte.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26 % desde el máximo de febrero y un 9 % bajo su media de 200 sesiones (tendencia bajista), pero gana un 5 % en 12 meses. Las caídas fuertes (marzo, julio, octubre) no tienen un hecho propio publicado y las de mayo y agosto son de resultados ya en la tesis: guía modesta y un 1T flojo por la pausa prevista de la obra industrial [7, 9]. Lo que explica el movimiento es que el mercado duda de que el margen de FY2025 se mantenga, la misma duda del informe. No hay ningún hecho pendiente ajeno al análisis que pueda mover el precio más de un 5 % en contra: no hay colocaciones de tenedores cruzados anunciadas, ni cambios de cúpula, ni litigios. Los resultados del 2T (13-nov) son el examen de la tesis y por la regla 11 no retrasan.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Takasago cotiza a 13,0 veces nuestro BPA de FY2027e, frente a una mediana de 9,7 veces el beneficio del año siguiente en los cierres de marzo de FY2021-FY2025 (mínimo 7,1 en FY2022, máximo 14,6 en FY2025) [1, 2, 3, 4, 5, 6, 30]. Con el PER de los últimos 12 meses (15,7x) está en el percentil 80 de su historia de cinco años. Ha cambiado algo de verdad: el margen de explotación pasó del 4-5 % al 11 % y el ROIC del 9 % al 18 %, y el mercado japonés paga más por los contratistas con poder de precio (los comparables cotizan a 13-18 veces). Por eso no esperamos que vuelva a la mediana de 9,7x; la regla v3 lleva el base solo un 10 % por debajo del PER actual (11,8x).</w:t>
      </w:r>
    </w:p>
    <w:p>
      <w:pPr>
        <w:pStyle w:val="Heading1"/>
      </w:pPr>
      <w:r>
        <w:t xml:space="preserve">18. Comparables cotizados</w:t>
      </w:r>
    </w:p>
    <w:p>
      <w:pPr>
        <w:pStyle w:val="Confianza"/>
        <w:spacing w:after="100"/>
      </w:pPr>
      <w:r>
        <w:t xml:space="preserve">Confianza: Media</w:t>
      </w:r>
    </w:p>
    <w:p>
      <w:pPr>
        <w:spacing w:after="100"/>
      </w:pPr>
      <w:r>
        <w:t xml:space="preserve">Seis contratistas japoneses de instalaciones (cuatro de climatización y dos grupos eléctricos con climatización) y tres extranjeros de salas limpias e instalaciones (UIS de Taiwán, Comfort Systems y EMCOR de EE. UU.). Para las japonesas, el PER es el de la previsión de la propia empresa para el ejercicio a marzo de 2027 (Yahoo! Japan, 19-oct-2026), y el EV/EBITDA y el margen EBITDA van vacíos porque el EBITDA de Yahoo para Japón incluye partidas no operativas (Takasago: 57.007 M frente a 51.503 M propios); para las extranjeras, el PER adelantado de Yahoo [34, 35]. Takasago: PER de 13,7 con su propia guía.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Takasago Thermal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Kinden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1.064.855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Sanki Engineering Co., Ltd.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Taikisha Ltd.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Dai-Dan Co., Ltd.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Kandenko Co.,Ltd.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1.038.853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Hibiya Engineering, Ltd.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Integrated Services Co., Ltd.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Comfort Systems USA,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8.015.461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EMCOR Group,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5.037.820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14,5x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5.166,55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16,0x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6.044,44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414.640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1,4x / 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4.399,51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4.716,30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5.761,69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spacing w:after="100"/>
      </w:pPr>
      <w:r>
        <w:t xml:space="preserve">Takasago cotiza a 13,7 veces el beneficio que prevé para FY2026 (12,2 veces nuestro BPA de los próximos 12 meses) frente a una mediana de 16,0 veces de los nueve comparables y de 15,6 de los seis japoneses, con más crecimiento (+11,1 % en FY2025) y un ROIC (17,9 %) en la parte alta del grupo [34, 35]. El descuento frente a Kinden (17,5x) y Kandenko (16,0x) se explica por su mayor peso del ciclo de semiconductores y el pico de margen de FY2025; Taikisha (12,9x), el rival más parecido en salas limpias industriales, cotiza igual. Comfort Systems (23,9x) y EMCOR (19,3x) muestran lo que paga EE. UU. por contratistas de centros de datos; UIS (9,9x), lo que paga Taiwán por el de TSMC.</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hay compras de contratistas de climatización comparables con múltiplos públicos: las compras del sector en Japón son pequeñas y entre grupos (sin cifras) y las de EE. UU. son de empresas privadas sin EBITDA publicado. Peso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8,8 % anual entre FY2021 y FY2025 (302.746 → 423.923 M) con la ola de fábricas de semiconductores [1, 5]. Proyectamos un 3,8 % en FY2026e (la guía: 440.000 M; el 1T bajó un 9,9 % y la empresa espera recuperar en el 2S [9, 11]), un 8 % en FY2027e (cartera de 433.250 M, +12,2 %, y objetivo de pedidos de 520.000 M) y un 6 % en FY2028e, bajando al 2 % en FY2032e [10]. El mercado de obras de climatización en Japón creció un 5,9 % anual en 2020-2024 con la inflación de la obra; suponemos un 3 % adelante, y la cuota de Takasago pasa del 4,1 % al 4,4 % [17, 18].</w:t>
      </w:r>
    </w:p>
    <w:p>
      <w:pPr>
        <w:keepNext/>
        <w:spacing w:after="100"/>
      </w:pPr>
      <w:r>
        <w:rPr>
          <w:b/>
          <w:bCs/>
        </w:rPr>
        <w:t xml:space="preserve">Márgenes.</w:t>
      </w:r>
    </w:p>
    <w:p>
      <w:pPr>
        <w:spacing w:after="100"/>
      </w:pPr>
      <w:r>
        <w:t xml:space="preserve">El margen EBITDA pasó del 5,4 % en FY2021 al 12,1 % en FY2025, por mejores precios al contratar (contratos directos y a coste más margen: 61-64 % de los pedidos de la matriz), la mezcla industrial y cierres favorables de grandes obras [1, 8]. La empresa dice que sin esos cierres el margen bruto de FY2025 habría estado en la zona del 21 % [8]. Proyectamos un 12,4 % en FY2026e (la guía de explotación: 50.000 M), un máximo del 13,0 % en FY2028e por los contratos ya firmados con mejor margen y una bajada lenta al 11,7 % en FY2032e, cuando la escasez de capacidad de obra se normalice. El margen del último trimestre (4T FY2025: 8,2 %; 1T FY2026: 11,3 %) muestra la volatilidad [12].</w:t>
      </w:r>
    </w:p>
    <w:p>
      <w:pPr>
        <w:keepNext/>
        <w:spacing w:after="100"/>
      </w:pPr>
      <w:r>
        <w:rPr>
          <w:b/>
          <w:bCs/>
        </w:rPr>
        <w:t xml:space="preserve">Inversión y circulante.</w:t>
      </w:r>
    </w:p>
    <w:p>
      <w:pPr>
        <w:spacing w:after="100"/>
      </w:pPr>
      <w:r>
        <w:t xml:space="preserve">El capex es pequeño (1,2 % de las ventas, 5.066 M en FY2025) y lo proyectamos en el 1,15-1,3 %: es un negocio de personas y subcontratistas [1]. Lo que consume caja es el circulante: lo mantenemos en el 32,5 % de las ventas (FY2025), el máximo de la serie, de modo que cada yen de ventas nuevas exige 0,33 yenes de capital [1].</w:t>
      </w:r>
    </w:p>
    <w:p>
      <w:pPr>
        <w:keepNext/>
        <w:spacing w:after="100"/>
      </w:pPr>
      <w:r>
        <w:rPr>
          <w:b/>
          <w:bCs/>
        </w:rPr>
        <w:t xml:space="preserve">Coste del capital.</w:t>
      </w:r>
    </w:p>
    <w:p>
      <w:pPr>
        <w:spacing w:after="100"/>
      </w:pPr>
      <w:r>
        <w:t xml:space="preserve">Tasa libre del bono japonés a 10 años (2,958 % el 16-oct-2026, Ministerio de Hacienda [32]); beta de 1,05 (mensual de 5 años frente al ETF del TOPIX, ajustada; bruta 1,08, semanal de 2 años 0,95) [30]; prima de mercado del 5,5 % y sin prima adicional (Japón, rating A+, caja neta). Coste de la deuda del 1,0 % (intereses de 423 M sobre unos 40.000 M de deuda) con un peso del 7 %. WACC del 8,17 %. Con la prima implícita del S&amp;P 500 (4,2 %) el WACC sería del 6,9 % [33].</w:t>
      </w:r>
    </w:p>
    <w:p>
      <w:pPr>
        <w:keepNext/>
        <w:spacing w:after="100"/>
      </w:pPr>
      <w:r>
        <w:rPr>
          <w:b/>
          <w:bCs/>
        </w:rPr>
        <w:t xml:space="preserve">Valor terminal.</w:t>
      </w:r>
    </w:p>
    <w:p>
      <w:pPr>
        <w:spacing w:after="100"/>
      </w:pPr>
      <w:r>
        <w:t xml:space="preserve">Gordon con un crecimiento del 1,5 %, por debajo de la tasa libre menos un punto: la obra en Japón crece con la inflación y la población baja. El valor terminal es el 68 % del valor; el múltiplo EV/EBITDA implícito de salida es de 8,7x, por debajo de los 9-10 veces de los comparables japoneses.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4.377,10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4.211,74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5.390,76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54.208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(ROIC 17,9 %)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frente al 4,3 %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(histórico: 31,0 %)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(hoy: 4,1 %)</w:t>
            </w:r>
          </w:p>
        </w:tc>
      </w:tr>
    </w:tbl>
    <w:p>
      <w:pPr>
        <w:spacing w:after="160" w:before="0"/>
      </w:pPr>
    </w:p>
    <w:p>
      <w:pPr>
        <w:spacing w:after="100"/>
      </w:pPr>
      <w:r>
        <w:t xml:space="preserve">La proyección reinvierte el 19 % del NOPAT. Con el ROIC del último ejercicio (17,9 %), eso financia un crecimiento del 3,4 % anual, frente al 4,3 % de ingresos proyectado. Supone que el capital nuevo rinde un 14,0 %, frente a un ROIC incremental histórico del 31,0 %; la cuota de mercado pasaría al 4,4 % desde el 4,1 %.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+1,3 % (el 1T bajó un 9,9 % por la pausa de la obra industrial y el 2S debe recuperar; la cartera de 433.250 M cubre el año [9, 10]) y precio del +2,5 % (inflación de la obra y cláusulas de revisión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+5,5 % (pedidos de 520.000 M en FY2026e, ampliaciones de fábricas de semiconductores y redesarrollos de oficinas hasta 2029 [11])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precio del +2 % y 0,5 puntos del exterior (sudeste asiático e India).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+1,5 % y precio del +2 %. Ventas de 544.842 M: el 4,4 % del mercado de obras de climatización y fontanería en Japón de FY2032e (13,07 billones), frente al 4,1 % de hoy [18]: la cuota apenas sube.</w:t>
            </w:r>
          </w:p>
        </w:tc>
      </w:tr>
    </w:tbl>
    <w:p>
      <w:pPr>
        <w:spacing w:after="160" w:before="0"/>
      </w:pPr>
    </w:p>
    <w:p>
      <w:pPr>
        <w:spacing w:after="100"/>
      </w:pPr>
      <w:r>
        <w:t xml:space="preserve">Sí. La proyección crece un 4,3 % al año, la mitad del 8,8 % de FY2021-FY2025, y la cuota de mercado solo pasa del 4,1 % al 4,4 % [1, 18]. El ROIC es del 17,9 % y el incremental de FY2021-FY2025 fue del 31 %; con la reinversión que suponemos (19 % del NOPAT), el ROIC actual financia un 3,4 % al año, algo menos que el 4,3 % proyectado: la diferencia se cubre con la caja y las inversiones financieras (64.000 M), sin deuda nueva [9]. El foso es estrecho (escala, red de subcontratistas, técnicos y tecnología de salas limpias) y el poder de precio de hoy depende de la escasez de capacidad de obra en Japón, que es estructural (envejecimiento y límite de horas extra) [11]. Lo que puede fallar no es la calidad sino el ciclo de inversión de los clientes.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 (base: 11,7 %)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8,2 %)</w:t>
            </w:r>
          </w:p>
        </w:tc>
      </w:tr>
    </w:tbl>
    <w:p>
      <w:pPr>
        <w:spacing w:after="160" w:before="0"/>
      </w:pPr>
    </w:p>
    <w:p>
      <w:pPr>
        <w:spacing w:after="100"/>
      </w:pPr>
      <w:r>
        <w:t xml:space="preserve">El DCF da 4.377,10 JPY por acción, un 4,5 % por encima del precio, con un WACC del 8,17 % y un crecimiento terminal del 1,5 %; el valor terminal es el 68 % del total y el puente suma 428 JPY por acción de inversiones financieras y pensiones. El DCF inverso dice que el precio equivale a un crecimiento del 0,8 % anual en FY2026e-FY2032e (frente al 4,3 % proyectado) o a un margen EBITDA final del 11,2 % (frente al 11,7 %), y a una rentabilidad anual del 8,5 %, apenas por encima del WACC. El mercado paga lo que vale el negocio si el margen se mantiene cerca del de FY2025: no descuenta un retorno al 5 % de FY2021-FY2022, pero tampoco más crecimiento. Con el bajista (ciclo de semiconductores parado y 2,5 puntos menos de margen) el valor cae a 3.087,33 (−26,3 %); con el alcista sube a 4.923,56 (+17,6 %).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fábricas de semiconductores en Japón se para en 2027 (Rapidus retrasa su segunda fase, TSMC no hace la segunda planta de Kumamoto) y los centros de datos no compensan: las ventas caen un 2 % en FY2027e (10 puntos menos de crecimiento que el base), crecen 3 puntos menos los demás años y el margen EBITDA vuelve 2,5 puntos atrás, a la zona del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al 4-8 % con la cartera actual, las ampliaciones de fábricas y los redesarrollos; el margen toca techo en el 13 % en FY2028e y baja despacio al 11,7 %; dividendo del 40 %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grandes fábricas (Rapidus, Micron, Kioxia, segunda planta de TSMC) y centros de datos a la vez, con la escasez de técnicos sosteniendo el precio: 2 puntos más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JPY) · precio actual 4.18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4.191,27 JPY (+0,1 %).</w:t>
      </w:r>
    </w:p>
    <w:p>
      <w:pPr>
        <w:spacing w:after="100"/>
      </w:pPr>
      <w:r>
        <w:t xml:space="preserve">Probabilidades del 25/50/25. La asimetría es desfavorable (0,67x): el bajista (−26,3 %) pesa más que el alcista (+17,6 %), porque el margen actual es el mejor de la historia de la empresa y el ciclo de semiconductores es el que más pesa en él. El negocio aguanta un mal ciclo sin problema financiero (caja e inversiones de 106.000 M frente a 40.593 M de deuda [9]), pero el beneficio de un contratista cae rápido: en FY2019-FY2022 el margen de explotación estuvo en el 4-5 %. A 12 meses el bajista es más duro (−57 %, 7,1x × 237,2), porque la regla aplica el mínimo histórico del PER al BPA bajista.</w:t>
      </w:r>
    </w:p>
    <w:p>
      <w:pPr>
        <w:pStyle w:val="Heading1"/>
      </w:pPr>
      <w:r>
        <w:t xml:space="preserve">22. Suma de partes</w:t>
      </w:r>
    </w:p>
    <w:p>
      <w:pPr>
        <w:pStyle w:val="Confianza"/>
        <w:spacing w:after="100"/>
      </w:pPr>
      <w:r>
        <w:t xml:space="preserve">Confianza: Media</w:t>
      </w:r>
    </w:p>
    <w:p>
      <w:pPr>
        <w:spacing w:after="100"/>
      </w:pPr>
      <w:r>
        <w:t xml:space="preserve">No aplica: un solo negocio de instalaciones (el 98 % de las ventas); la cartera cruzada y las demás inversiones financieras se suman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JPY) · precio actual 4.18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6.044,44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4.207,93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4.565,88 JPY (+9,0 % sobre 4.187,00).</w:t>
      </w:r>
    </w:p>
    <w:p>
      <w:pPr>
        <w:spacing w:after="100"/>
      </w:pPr>
      <w:r>
        <w:t xml:space="preserve">El valor intrínseco (4.565,88 JPY) sale en un 60 % del DCF (4.377,10), un 20 % de los escenarios (media ponderada de 4.191) y un 20 % de los comparables por PER (5.506,85). Está un 9,0 % por encima del precio: la acción no está cara, pero tampoco barata para un negocio cíclico en su mejor margen de la historia. El puente suma 56.020 M al valor de la empresa: la cartera cruzada a valor de mercado neta de impuestos (35.750 M), el resto de inversiones financieras (18.794 M) y el superávit de pensiones (6.750 M), menos los minoritarios (5.274 M); la caja y la deuda casi se compensan (deuda neta de 1.532 M) [9, 13]. Esos 56.020 M son 428 JPY por acción, el 10 % del precio. Con la prima implícita del mercado (4,2 % en vez de 5,5 %), el valor sería de 5.302,72 JPY (+26,6 %).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(13x) ÷ 1.1 (tope: la mediana de 5 años, 9.7x,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4.045,63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6.250,88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r>
    </w:tbl>
    <w:p>
      <w:pPr>
        <w:spacing w:after="160" w:before="0"/>
      </w:pPr>
    </w:p>
    <w:p>
      <w:pPr>
        <w:spacing w:after="100"/>
      </w:pPr>
      <w:r>
        <w:rPr>
          <w:b/>
          <w:bCs/>
        </w:rPr>
        <w:t xml:space="preserve">Objetivo a 12 meses (ponderado):</w:t>
      </w:r>
      <w:r>
        <w:t xml:space="preserve"> 4.006,60 JPY · rentabilidad -1,6 % (base -0,6 %) · señal Mantener.</w:t>
      </w:r>
    </w:p>
    <w:p>
      <w:pPr>
        <w:spacing w:after="100"/>
      </w:pPr>
      <w:r>
        <w:t xml:space="preserve">Para comparar, con la regla v2 (historia al cierre, mismo precio): 10,2x / 13,0x / 16,0x, 7,7 % Mantener; con el tope anterior del base (×1,3, 14-oct mediodía): -5,5 %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FY2026e (293,7 JPY) está por debajo de la guía (305,6) y del consenso (327, 6 analistas [31]), y el de FY2027e (321,3) un 10 % por debajo del consenso (358,8). La diferencia no está en el negocio (nuestro beneficio de explotación de FY2026e, 50.400 M, es el de la guía) sino en dos cosas: suponemos solo 2.000 M de plusvalías por venta de la cartera cruzada (la guía de neto, 40.000 M sobre 52.000 M de ordinario, implica unos 5.500 M de extraordinarios) y un margen que deja de subir en FY2028e. Los analistas cuentan con que la empresa vuelva a batir su guía, como en los cuatro últimos años [1, 29]. Nuestro precio base a 12 meses (4.045,63) queda un 32 % por debajo de su objetivo medio (5.975): ellos aplican 16-17 veces el beneficio, el múltiplo de los comparables; nosotros, el PER de hoy rebajado un 10 % por la regla v3.</w:t>
      </w:r>
    </w:p>
    <w:p>
      <w:pPr>
        <w:keepNext/>
        <w:spacing w:after="100"/>
      </w:pPr>
      <w:r>
        <w:rPr>
          <w:b/>
          <w:bCs/>
        </w:rPr>
        <w:t xml:space="preserve">Del valor intrínseco al objetivo a 12 meses.</w:t>
      </w:r>
    </w:p>
    <w:p>
      <w:pPr>
        <w:spacing w:after="100"/>
      </w:pPr>
      <w:r>
        <w:t xml:space="preserve">El objetivo a 12 meses (4.006,60 JPY) da un −1,6 % con dividendo (−0,6 % en el caso base): Mantener. El base aplica 11,8 veces (el PER de hoy, 13,0x, rebajado un 10 % hacia la mediana adelantada de 9,7x) a nuestro BPA de FY2028e (342,9), más un 2,7 % de dividendo. El BPA crece un 7 % al año desde FY2026e, pero la regla supone que el múltiplo se acerca a su historia, y eso se lo come. El bajista (7,1x, el mínimo de FY2022, × 237,2 = 1.684) es muy duro porque la historia incluye años de margen del 4-5 %; el alcista (16,0x, la mediana de los comparables, × 390,7 = 6.251) supone que el mercado la valora como a Kinden. Con la regla v2 (historia al cierre, de control) la ponderada sería del 7,7 % y la del base del 9,2 %: también Mantener.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(fecha estimada)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Muestran si la obra industrial vuelve a crecer en el 2S y si el margen bruto se mantiene en el 22 %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 y posible subida de la guía, como en feb-2026 [29]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batió su guía inicial cuatro años seguidos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nuevo plan a medio plazo (el actual acaba en FY2026)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de ROE, asignación de capital y reducción de la cartera cruzada; posible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inversión en fábricas de semiconductores en Japón (Rapidus fase 2, TSMC Kumamoto 2, Kioxia, Micron)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Marcan los pedidos industriales de FY2027-FY2028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cartera cruzada ≤ 15 % del patrimonio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unos 15.000 M más: caja para recompras y menos tenedores cruzados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inversión en fábricas de semiconductores en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DCF de 3.087 (−26 %) en el bajista; −57 % a 12 meses con el PER mínimo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ampliaciones y renovaciones de las fábricas ya hechas (94 % de los pedidos industriales del 1T) y los redesarrollos de oficinas hasta 2029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industriales en caída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FY2025 como pico (cierres favorables de grandes obras)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EBITDA ≈ 400 JPY por acción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contratos directos y a coste más margen (61-64 %) y precios al alza por la escasez [8,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21 %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acciones de tenedores cruzados (aseguradoras y bancos)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temporal sobre el precio (colocaciones con descuento del 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la empresa y entrada de inversores extranjeros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secundaria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obra: sobrecostes, retrasos (Oriente Medio, terremoto de Kumamoto) y escasez de subcontratistas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Retrasos del 20-30 % en obras afectadas ≈ 2-3 % del beneficio de explotación de la matriz según la empresa [7, 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revisión de precios y red de 600 subcontratistas fieles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pérdidas en obra o caída del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el crecimiento consume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Flujo libre por debajo del beneficio mientras crezca; recogido en el DCF (circulante del 32,5 %)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 inversiones financieras de 106.000 M y rating A+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por encima del 35 %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exposición media y positiva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 por demanda de refrigeración de centros de datos; el riesgo es que esos pedidos se retrasen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no sustituye la obra física; la empresa la usa en diseño y prefabricación (T-Base, BIM)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Cancelaciones de centros de datos en Japón y Asia</w:t>
            </w:r>
          </w:p>
        </w:tc>
      </w:tr>
    </w:tbl>
    <w:p>
      <w:pPr>
        <w:spacing w:after="160" w:before="0"/>
      </w:pPr>
    </w:p>
    <w:p>
      <w:pPr>
        <w:pStyle w:val="Heading2"/>
      </w:pPr>
      <w:r>
        <w:t xml:space="preserve">Pre-mortem</w:t>
      </w:r>
    </w:p>
    <w:p>
      <w:pPr>
        <w:spacing w:after="100"/>
      </w:pPr>
      <w:r>
        <w:t xml:space="preserve">Es octubre de 2029 y la acción ha perdido un 40 %. Lo que pasó: el ciclo de fábricas de semiconductores en Japón tocó techo en 2025-2026. Rapidus retrasó su segunda fase, TSMC aplazó Kumamoto 2 y Kioxia redujo inversión con la caída de la memoria. Los pedidos industriales de Takasago cayeron un 25 % en FY2027 y la competencia por la obra que quedaba (con Taikisha y los grupos eléctricos con técnicos libres) bajó los precios. Los centros de datos se retrasaron por falta de electricidad. El margen de explotación volvió del 11 % al 7 %, el BPA bajó a 200 JPY y el mercado volvió a pagar 9-10 veces el beneficio, como en FY2021-FY2024. Los tenedores cruzados aprovecharon para vender. Lo habrían anticipado los pedidos industriales de dos trimestres seguidos en caída y el margen bruto por debajo del 21 %.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Positivo · </w:t>
      </w:r>
      <w:r>
        <w:rPr>
          <w:b/>
          <w:bCs/>
        </w:rPr>
        <w:t xml:space="preserve">Efecto en valor (3-5 años):</w:t>
      </w:r>
      <w:r>
        <w:t xml:space="preserve"> +0-5 % a 3-5 años en el valor del negocio por la demanda de refrigeración de centros de datos y fábricas de chips de IA; sin riesgo de sustitución</w:t>
      </w:r>
    </w:p>
    <w:p>
      <w:pPr>
        <w:spacing w:after="100"/>
      </w:pPr>
      <w:r>
        <w:t xml:space="preserve">La IA empuja la demanda de Takasago por dos vías: los centros de datos, que necesitan climatización y refrigeración de alta densidad (la empresa creó un equipo dedicado y tiene más volumen que antes, aunque los pedidos se retrasan al año siguiente) y las fábricas de semiconductores avanzados (Rapidus, TSMC), que necesitan salas limpias [8, 11]. No puede sustituir su trabajo, que es obra física con técnicos y subcontratistas; sí lo hace más productivo (diseño con BIM, prefabricación con T-Base), lo que ayuda con la escasez de técnicos [7]. El riesgo es indirecto: que la inversión en centros de datos de IA se frene o se retrase por falta de electricidad, como ya pasa en parte. Señal: pedidos de centros de datos en la cartera de oportunidades que publica la empresa.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seguridad en obra, el capital humano (escasez de técnicos: la plantilla de la matriz pasó de 2.131 a 2.469 y el salario medio subió un 10,3 % en FY2025 hasta 12,46 M JPY) y la eficiencia energética que instala en los edificios de sus clientes [13, 21]. Su propio impacto ambiental es pequeño (no fabrica), pero la climatización es el mayor consumo de energía de un edificio y de una fábrica de semiconductores: la descarbonización es una oportunidad de negocio [7]. Mujeres directivas: 3,5 % (objetivo 10 % hacia 2030) [21].</w:t>
      </w:r>
    </w:p>
    <w:p>
      <w:pPr>
        <w:pStyle w:val="Heading2"/>
      </w:pPr>
      <w:r>
        <w:t xml:space="preserve">Controversias</w:t>
      </w:r>
    </w:p>
    <w:p>
      <w:pPr>
        <w:spacing w:after="100"/>
      </w:pPr>
      <w:r>
        <w:t xml:space="preserve">No constan sanciones, accidentes graves publicados ni litigios relevantes en los últimos tres años [13].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bruto al contratar de los pedidos de FY2026 frente a los ejecutados en FY2025, sin los cierres de grandes obras?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margen estructural del pico; la empresa da «la zona del 21 %» para FY2025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oportunidades industrial es de proyectos nuevos y cuál de ampliaciones, y cuánto depende de Rapidus y de TSMC Kumamoto 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del bajista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dónde puede bajar el circulante (32,5 % de las ventas) cuando terminen las grandes obras, y cuánto se debe a pagar antes a los subcontratistas?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el beneficio del flujo libre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cartera cruzada (45.407 M) venderán hasta marzo de 2027 y se destinará a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8 % de la capitalización y el objetivo del 15 % del patrimonio no se ha alcanzado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 guía de FY2026 (explotación +4,7 %) es tan prudente si la cartera crece un 12 %?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batió su guía cuatro años seguidos; el consenso ya lo descuenta [29].</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Yahoo! Japan Finance (1969)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pequeños accionistas a largo plazo («ガチホ», mantener pase lo que pase) inquietos por la caída desde febrero; unos esperan el 2T para comprar más, otros culpan a la venta de los tenedores cruzados y al fin del ciclo de semiconductores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financiera japonesa (kabutan, Nikkei)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sobre el ordinario del 1T (−12 %), la subida de Morgan Stanley MUFG a sobreponderar (14-sep) y la rotación del mercado japonés hacia otros valores de semiconductores y centros de datos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 en las conferencias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sobre el margen sin las grandes obras, la caída de pedidos industriales, el retraso de los centros de datos y la recompra; tono técnico y sin alarma [11].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Artículo que ve la acción infravalorada frente a su flujo descontado y a sus rivales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ciclo de semiconductores ha tocado techo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medias: los pedidos industriales cayeron un 6,3 % en FY2025, pero la cartera industrial repuntó en el 1T FY2026 y la cartera de oportunidades sube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los tenedores cruzados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colocación de 3,1 millones de acciones en feb-2025 y presión de los inversores para deshacer la cartera cruzada en todo Japón [C].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empresa siempre bate su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los cuatro últimos años [C]; el consenso ya lo descuenta (BPA 327 frente a 305,6).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progresivo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Payout del 40 % con DPA de 123 JPY en FY2026 (rentabilidad del 2,9 %) [A].</w:t>
            </w:r>
          </w:p>
        </w:tc>
      </w:tr>
    </w:tbl>
    <w:p>
      <w:pPr>
        <w:spacing w:after="160" w:before="0"/>
      </w:pPr>
    </w:p>
    <w:p>
      <w:pPr>
        <w:spacing w:after="100"/>
      </w:pPr>
      <w:r>
        <w:t xml:space="preserve">El tono es el de una acción que fue favorita y se ha enfriado: los particulares aguantan pero sin convicción, y la prensa ha dejado de hablar de ella mientras los analistas mantienen objetivos de 5.400-6.900 JPY [37, 38]. No hay euforia ni capitulación. La duda que mueve el precio (si el margen de FY2025 fue un pico) es la misma del informe, y la resolverá el 2T del 13-nov. Ningún dato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39 (26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14,0 % frente a un ROIC de 17,9 % y un incremental histórico de 31,0 %: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4,4 % en FY2032e frente al 4,1 %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32,5 % frente a 32,5 % real: genera una variación de circulante de 5.149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28.640 M de flujo libre medio en sus tres primeros años, frente a 2.747 M de media real en los tres últimos: justifica el salto (circulante, inversión, márgenes) o ajusta los supuestos. Explicación: El flujo libre real de FY2023-FY2025 fue bajo (−16.447, +1.548 y +24.659 M antes de arrendamientos) porque el circulante comercial pasó del 15 % al 32,5 % de las ventas: pagos más rápidos a subcontratistas por la ley y la presión pública, y grandes obras de semiconductores que se cobran al terminar [1, 3, 4]. El DCF no supone que eso se deshaga: mantiene el circulante en el 32,5 % de las ventas (el nivel de FY2025, el más alto de la serie) y solo deja de crecer. Con un margen EBIT del 11-12 % y un capex del 1,2 % de las ventas, el flujo libre sale de ≈ 26.000-31.000 M en FY2027e-FY2028e, cerca del 55-60 % del beneficio de explotación, mientras el circulante sigue absorbiendo 9.000-11.000 M al año. FY2025 (29.725 M de flujo operativo) ya mostró ese orden de magnitud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Estudio 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estimaciones anuales; 2) kabutan e irbank: 403; 3) prensa (Nikkei, kabutan en Yahoo Japón): sin consenso trimestral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del 1T FY2026: las empresas japonesas no publican estado de flujos en el 1T y el 3T; 2) presentación del 1T: sin flujos; 3) yuho semestral: aún no publicado (noviembre)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Yuho FY2025: no da el año de inicio en el texto extraído; 2) informe de gobierno 2026: sin dato; 3) tanshin: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Sustainalytics: ficha sin cifra pública; 2) informe de gobierno 2026: no cita calificaciones; 3) web de RI (sostenibilidad): bloqueada por el proxy (502)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MLIT: no publica cuotas; 2) Yano: solo total de los 73 grandes; 3) presentaciones de la empresa: comparan con rivales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Japón no tiene registro público de operaciones de directivos; 2) convocatorias de 2025 y 2026: solo saldos de acciones; 3) informes de grandes participaciones (EDINET): solo accionistas de más del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informe extraordinario de junio de 2025 en EDINET (disclosure2dl): no localizado; 2) web de RI: bloqueada;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de los consejeros de la comisión de auditoría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2026: nombres sin fecha de entrada; 2) convocatoria 2026: solo los candidatos de ese año; 3) yuho: lista en japonés sin año en el texto extraído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JPX publica solo posiciones de más del 0,5 % por gestora, sin total; 2) Yahoo! Japan: margen de crédito, no corto total; 3) karauri.net: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contratistas de instalaciones en Japón (Kinden-Tokyo Electrical, Kandenko): sin múltiplos publicados; 2) Shinryo, Taikisha: compras pequeñas sin cifras; 3) EE. UU. (Comfort Systems, EMCOR): compras de empresas privadas sin EBITDA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por tipo y EBITDA/EBIT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media «comprar» sin desglose y EBIT con no operativos; 2) Yahoo! Japan (コンセンサス): 403 en la página de consenso; 3) Yahoo Finance: 6 analistas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the Fiscal Year Ended March 31, 2026 (kessan tanshin FY2025, J-GAAP): cuenta, balance y flujos de FY2025 y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https://ssl4.eir-parts.net/doc/1969/ir_material2/277982/00.pdf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del tanshin FY2025 (estado de flujos: flujo operativo corregido a 29.725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https://ssl4.eir-parts.net/doc/1969/ir_material2/280514/00.pdf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FY2024 (ejercicio a marzo de 2025): cuenta, balance y flujos de FY2024 y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https://ssl4.eir-parts.net/doc/1969/ir_material2/250365/00.pdf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FY2023 (ejercicio a marzo de 2024): estados de FY2023 y FY2022 e información por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https://ssl4.eir-parts.net/doc/1969/ir_material2/228919/00.pdf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FY2022 (ejercicio a marzo de 2023): estados de FY2022 y FY2021, pedidos, ventas y cartera por línea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https://ssl4.eir-parts.net/doc/1969/ir_material2/215940/00.pdf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FY2021 (ejercicio a marzo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https://ssl4.eir-parts.net/doc/1969/ir_material2/215939/00.pdf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Presentation (pedidos, ventas y cartera por sector, matriz y filiales, plan a medio plazo, asignación de capital y guía FY2026); corrección del 12-jun-2026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https://ssl4.eir-parts.net/doc/1969/ir_material2/277981/00.pdf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Full-Year Results Briefing: Key Points from the Q&amp;A Session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https://ssl4.eir-parts.net/doc/1969/ir_material2/278602/00.pdf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1T FY2026 (abril-junio de 2026): cuenta trimestral y balance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https://ssl4.eir-parts.net/doc/1969/ir_material2/283591/00.pdf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First-Quarter Results Presentation (pedidos, cartera, cartera de oportunidades por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https://ssl4.eir-parts.net/doc/1969/ir_material2/283592/00.pdf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First-Quarter Results Briefing: Key Points from the Q&amp;A Session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https://ssl4.eir-parts.net/doc/1969/ir_material2/284223/00.pdf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trimestrales 1T, 2T y 3T de FY2024 y FY2025 (cifras acumuladas de las que salen los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https://ssl4.eir-parts.net/doc/1969/ir_material2/273345/00.pdf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有価証券報告書 第146期 (yuho FY2025): segmentos, ventas por país del cliente, remuneración, plantilla y cartera de participaciones cruzadas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https://ssl4.eir-parts.net/doc/1969/yuho_pdf/S100YDOU/00.pdf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plan a medio plazo 2026 (objetivos de ordinario y ROE, asignación de capital y reducción de participaciones cruzadas)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https://ssl4.eir-parts.net/doc/1969/ir_material2/250366/00.pdf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Acquisition of Own Shares (recompra de abril-junio de 2025, unos 8.000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https://ssl4.eir-parts.net/doc/1969/ir_material2/254043/00.pdf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Stock Split (1:2, efectivo el 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https://ssl4.eir-parts.net/doc/1969/ir_material2/257121/00.pdf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建設工事施工統計調査報告 令和4年度実績 (estadística de obras de construcción, ejercicio fiscal 2022): obras de climatización y fontanería (管工事業)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Tierra, Infraestructura y Transporte (MLIT)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https://www.mlit.go.jp/report/press/content/001734639.pdf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obras de climatización y fontanería en Japón: 10.315.700 M JPY en el ejercicio fiscal 2024 (+2,8 %), citando la estadística del MLIT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CREX (vía búsqueda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https://crex-group.com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空調・衛生設備工事市場に関する調査 (Yano Research: 73 grandes contratistas de climatización y fontanería, 1.238.800 M JPY en el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Yano Research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https://www.yano.co.jp/press-release/show/press_id/3150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Kinden, Sanki Engineering, Taikisha, Dai-Dan, Kandenko, Hibiya Engineering, United Integrated Services, Comfort Systems USA y EMCOR (cuentas del último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(junio de 2026): sostenibilidad, capital humano, política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https://ssl4.eir-parts.net/doc/1969/ir_material3/281378/00.pdf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FY2023 (centenario, historia y objetivos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https://ssl4.eir-parts.net/doc/1969/ir_material2/229728/00.pdf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146th Annual General Meeting (candidatos, trayectoria y acciones de cada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https://ssl4.eir-parts.net/doc/1969/announcement1/121429/00.pdf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las votaciones de la junta del 25-jun-2026: reelección de Kazuhito Kojima con el 88,7 %)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https://disclosure2dl.edinet-fsa.go.jp/searchdocument/pdf/S100YM7V.pdf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(votaciones de la junta del 19-jun-2024: reelección de Kojima con el 92,9 %)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https://disclosure2dl.edinet-fsa.go.jp/searchdocument/pdf/S100TO7S.pdf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Change in Representative Directors (Hiroshi Kubota, vicepresidente y consejero representante desde el 1-abr-2026)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https://ssl4.eir-parts.net/doc/1969/ir_material2/271965/00.pdf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Secondary Offering of Shares (venta de 3.106.800 acciones de tenedores cruzados) y fijación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https://ssl4.eir-parts.net/doc/1969/tdnet/2565677/00.pdf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Resolutions of the 146th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https://ssl4.eir-parts.net/doc/1969/announcement/122691/00.pdf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la guía (29-oct-2025 y 13-feb-2026) y guías iniciales de FY2022-FY2025 en los tanshin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(TDnet /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https://ssl4.eir-parts.net/doc/1969/ir_material2/273347/00.pdf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1969.T, 1306.T (ETF del TOPIX) y 1619.T (ETF de construcción y materiales TOPIX-17)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https://finance.yahoo.com/quote/1969.T/history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estimaciones FY2026-FY2027 (6 analistas), objetivo medio 5.975 JPY (5.250-6.900)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https://www.marketscreener.com/quote/stock/TAKASAGO-THERMAL-ENGINEE-6492012/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(jgbcme.csv): bono del Estado japonés a 10 años, 2,958 % el 16-oct-2026 (último publicado al corte)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Hacienda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(capitalización, valor empresa, ventas, flujo libre, PER adelantado) de nueve contratistas de instalaciones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con la previsión de la propia empresa (会社予想PER) de Kinden, Sanki, Taikisha, Dai-Dan, Kandenko, Hibiya y Takasago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Japan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https://finance.yahoo.co.jp/quote/1969.T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 movimiento del precio (movimiento.mjs) de 1969.T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https://finance.yahoo.com/quote/1969.T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kabutan y Nikkei sobre Takasago (revisión de guía de feb-2026, resultados de mayo y agosto de 2026, cambios de recomendación de Nomura y Morgan Stanley MUFG)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Japan Finance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https://finance.yahoo.co.jp/quote/1969.T/news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Yahoo! Japan Finance (掲示板) de 1969: unos 50 comentarios de septiembre y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Japan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https://finance.yahoo.co.jp/quote/1969.T/forum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Takasago Thermal Engineering: análisis de valoración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https://simplywall.st/stocks/jp/capital-goods/tse-1969/takasago-thermal-engineering-shares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86,3 %</w:t>
      </w:r>
      <w:r>
        <w:t xml:space="preserve"> · Secciones con menos del 60 % de campos cubiertos: </w:t>
      </w:r>
      <w:r>
        <w:rPr>
          <w:b/>
          <w:bCs/>
        </w:rPr>
        <w:t xml:space="preserve">ninguna</w:t>
      </w:r>
      <w:r>
        <w:t xml:space="preserve"> · Generado el 19 oct 2026.</w:t>
      </w:r>
    </w:p>
    <w:p>
      <w:pPr>
        <w:pStyle w:val="Nota"/>
        <w:spacing w:after="100"/>
      </w:pPr>
      <w:r>
        <w:t xml:space="preserve">Cuentas en millones de JPY, en normas japonesas (J-GAAP), de los kessan tanshin FY2021-FY2025 y del 1T FY2026 y del yuho FY2025 [1, 2, 3, 4, 5, 6, 9, 13]. Japón no tiene XBRL en herramientas/cuentas.mjs; EDINET pide clave en su API y la web de RI de la empresa no abre desde el proxy, así que los documentos salen del canal de TDnet de eir-parts y de disclosure2dl (EDINET). Ejercicio a marzo etiquetado por el año en que empieza, como la empresa: FY2025 = abril 2025-marzo 2026. BPA, DPA y acciones en base posterior al split 1:2 del 1-oct-2025, como los precios de Yahoo [16]. Sin NIIF 16: no hay arrendamientos en balance. EBITDA = beneficio de explotación + amortización + amortización del fondo de comercio; el resultado financiero incluye dividendos de la cartera cruzada, plusvalías por su venta y otros extraordinarios. Clientes incluye los activos de contrato (obra ejecutada pendiente de facturar). Los trimestres salen de restar acumulados de los tanshin; el 1T y el 3T no tienen estado de flujos, así que no hay flujo libre de los últimos 12 meses. El bono a 10 años es el del 16-oct-2026 (2,958 %), el último publicado por el Ministerio de Hacienda al corte [32]. El EBITDA de Yahoo para empresas japonesas incluye partidas no operativas: en los comparables japoneses se deja vacío y el PER es el de la previsión de cada empresa (Yahoo! Japan) [34, 35].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Takasago Thermal Engineering Co., Ltd. (高砂熱学工業株式会社) (1969.T)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4.187,00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(3.985,00 – 5.749,00)</c:v>
                </c:pt>
                <c:pt idx="1">
                  <c:v>Precio objetivo de los analistas (5.250,00 – 6.900,00)</c:v>
                </c:pt>
                <c:pt idx="2">
                  <c:v>Comparables: PER NTM (5.048,52 – 6.044,44)</c:v>
                </c:pt>
                <c:pt idx="3">
                  <c:v>DCF (WACC y g ± 0,5) (3.932,04 – 4.977,20)</c:v>
                </c:pt>
                <c:pt idx="4">
                  <c:v>Escenarios (bajista – alcista) (3.087,33 – 4.923,56)</c:v>
                </c:pt>
                <c:pt idx="5">
                  <c:v>DCF con la prima implícita del mercado (4,2 %)</c:v>
                </c:pt>
                <c:pt idx="6">
                  <c:v>Precio actual (4.187,00)</c:v>
                </c:pt>
              </c:strCache>
            </c:strRef>
          </c:cat>
          <c:val>
            <c:numRef>
              <c:f>Hoja1!$B$2:$B$8</c:f>
              <c:numCache>
                <c:formatCode>#,##0</c:formatCode>
                <c:ptCount val="7"/>
                <c:pt idx="0">
                  <c:v>3985</c:v>
                </c:pt>
                <c:pt idx="1">
                  <c:v>5250</c:v>
                </c:pt>
                <c:pt idx="2">
                  <c:v>5048.52</c:v>
                </c:pt>
                <c:pt idx="3">
                  <c:v>3932.04</c:v>
                </c:pt>
                <c:pt idx="4">
                  <c:v>3087.33</c:v>
                </c:pt>
                <c:pt idx="5">
                  <c:v>4896.01</c:v>
                </c:pt>
                <c:pt idx="6">
                  <c:v>4166.06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(3.985,00 – 5.749,00)</c:v>
                </c:pt>
                <c:pt idx="1">
                  <c:v>Precio objetivo de los analistas (5.250,00 – 6.900,00)</c:v>
                </c:pt>
                <c:pt idx="2">
                  <c:v>Comparables: PER NTM (5.048,52 – 6.044,44)</c:v>
                </c:pt>
                <c:pt idx="3">
                  <c:v>DCF (WACC y g ± 0,5) (3.932,04 – 4.977,20)</c:v>
                </c:pt>
                <c:pt idx="4">
                  <c:v>Escenarios (bajista – alcista) (3.087,33 – 4.923,56)</c:v>
                </c:pt>
                <c:pt idx="5">
                  <c:v>DCF con la prima implícita del mercado (4,2 %)</c:v>
                </c:pt>
                <c:pt idx="6">
                  <c:v>Precio actual (4.187,00)</c:v>
                </c:pt>
              </c:strCache>
            </c:strRef>
          </c:cat>
          <c:val>
            <c:numRef>
              <c:f>Hoja1!$C$2:$C$8</c:f>
              <c:numCache>
                <c:formatCode>#,##0</c:formatCode>
                <c:ptCount val="7"/>
                <c:pt idx="0">
                  <c:v>1764</c:v>
                </c:pt>
                <c:pt idx="1">
                  <c:v>1650</c:v>
                </c:pt>
                <c:pt idx="2">
                  <c:v>995.9199999999992</c:v>
                </c:pt>
                <c:pt idx="3">
                  <c:v>1045.1599999999999</c:v>
                </c:pt>
                <c:pt idx="4">
                  <c:v>1836.2300000000005</c:v>
                </c:pt>
                <c:pt idx="5">
                  <c:v>919.8899999999994</c:v>
                </c:pt>
                <c:pt idx="6">
                  <c:v>41.86999999999989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Instalaciones: climatización general</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160202</c:v>
                </c:pt>
                <c:pt idx="1">
                  <c:v>158194</c:v>
                </c:pt>
                <c:pt idx="2">
                  <c:v>161961</c:v>
                </c:pt>
                <c:pt idx="3">
                  <c:v>163170</c:v>
                </c:pt>
                <c:pt idx="4">
                  <c:v>166776</c:v>
                </c:pt>
              </c:numCache>
            </c:numRef>
          </c:val>
        </c:ser>
        <c:ser>
          <c:idx val="1"/>
          <c:order val="1"/>
          <c:tx>
            <c:strRef>
              <c:f>Hoja1!$C$1</c:f>
              <c:strCache>
                <c:ptCount val="1"/>
                <c:pt idx="0">
                  <c:v>Instalaciones: climatización industrial</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136503</c:v>
                </c:pt>
                <c:pt idx="1">
                  <c:v>173822</c:v>
                </c:pt>
                <c:pt idx="2">
                  <c:v>193532</c:v>
                </c:pt>
                <c:pt idx="3">
                  <c:v>210512</c:v>
                </c:pt>
                <c:pt idx="4">
                  <c:v>248606</c:v>
                </c:pt>
              </c:numCache>
            </c:numRef>
          </c:val>
        </c:ser>
        <c:ser>
          <c:idx val="2"/>
          <c:order val="2"/>
          <c:tx>
            <c:strRef>
              <c:f>Hoja1!$D$1</c:f>
              <c:strCache>
                <c:ptCount val="1"/>
                <c:pt idx="0">
                  <c:v>Fabricación y venta de equipos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5953</c:v>
                </c:pt>
                <c:pt idx="1">
                  <c:v>6722</c:v>
                </c:pt>
                <c:pt idx="2">
                  <c:v>7782</c:v>
                </c:pt>
                <c:pt idx="3">
                  <c:v>7859</c:v>
                </c:pt>
                <c:pt idx="4">
                  <c:v>8414</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86</c:v>
                </c:pt>
                <c:pt idx="1">
                  <c:v>91</c:v>
                </c:pt>
                <c:pt idx="2">
                  <c:v>90</c:v>
                </c:pt>
                <c:pt idx="3">
                  <c:v>119</c:v>
                </c:pt>
                <c:pt idx="4">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Instalaciones: climatización general</c:v>
                </c:pt>
                <c:pt idx="1">
                  <c:v>Instalaciones: climatización industrial</c:v>
                </c:pt>
                <c:pt idx="2">
                  <c:v>Fabricación y venta de equipos</c:v>
                </c:pt>
                <c:pt idx="3">
                  <c:v>Otros</c:v>
                </c:pt>
              </c:strCache>
            </c:strRef>
          </c:cat>
          <c:val>
            <c:numRef>
              <c:f>Hoja1!$B$2:$B$5</c:f>
              <c:numCache>
                <c:formatCode>General</c:formatCode>
                <c:ptCount val="4"/>
                <c:pt idx="0">
                  <c:v>39.3</c:v>
                </c:pt>
                <c:pt idx="1">
                  <c:v>58.6</c:v>
                </c:pt>
                <c:pt idx="2">
                  <c:v>2</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Japón</c:v>
                </c:pt>
                <c:pt idx="1">
                  <c:v>Sudeste asiático (Tailandia, Singapur, Malasia, Vietnam, Myanmar)</c:v>
                </c:pt>
                <c:pt idx="2">
                  <c:v>Otros (India, China, EE. UU. y otros)</c:v>
                </c:pt>
              </c:strCache>
            </c:strRef>
          </c:cat>
          <c:val>
            <c:numRef>
              <c:f>Hoja1!$B$2:$B$4</c:f>
              <c:numCache>
                <c:formatCode>0"%"</c:formatCode>
                <c:ptCount val="3"/>
                <c:pt idx="0">
                  <c:v>78.6</c:v>
                </c:pt>
                <c:pt idx="1">
                  <c:v>12</c:v>
                </c:pt>
                <c:pt idx="2">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JPY (obras de climatización y fontanería en Japón))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2021</c:v>
                </c:pt>
                <c:pt idx="2">
                  <c:v>2022</c:v>
                </c:pt>
                <c:pt idx="3">
                  <c:v>2024</c:v>
                </c:pt>
              </c:strCache>
            </c:strRef>
          </c:cat>
          <c:val>
            <c:numRef>
              <c:f>Hoja1!$B$2:$B$5</c:f>
              <c:numCache>
                <c:formatCode>#,##0</c:formatCode>
                <c:ptCount val="4"/>
                <c:pt idx="0">
                  <c:v>8196561</c:v>
                </c:pt>
                <c:pt idx="1">
                  <c:v>8659659</c:v>
                </c:pt>
                <c:pt idx="2">
                  <c:v>8313576</c:v>
                </c:pt>
                <c:pt idx="3">
                  <c:v>10315700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Takasago Thermal</c:v>
                </c:pt>
                <c:pt idx="1">
                  <c:v>Taikisha Ltd.</c:v>
                </c:pt>
                <c:pt idx="2">
                  <c:v>Sanki Engineering Co., Ltd.</c:v>
                </c:pt>
                <c:pt idx="3">
                  <c:v>Dai-Dan Co., Ltd.</c:v>
                </c:pt>
                <c:pt idx="4">
                  <c:v>Kinden Corporation</c:v>
                </c:pt>
                <c:pt idx="5">
                  <c:v>Kandenko Co.,Ltd.</c:v>
                </c:pt>
                <c:pt idx="6">
                  <c:v>United Integrated Services Co., Ltd.</c:v>
                </c:pt>
              </c:strCache>
            </c:strRef>
          </c:cat>
          <c:val>
            <c:numRef>
              <c:f>Hoja1!$B$2:$B$8</c:f>
              <c:numCache>
                <c:formatCode>0.0"%"</c:formatCode>
                <c:ptCount val="7"/>
                <c:pt idx="0">
                  <c:v>11.3</c:v>
                </c:pt>
                <c:pt idx="1">
                  <c:v>9</c:v>
                </c:pt>
                <c:pt idx="2">
                  <c:v>12.9</c:v>
                </c:pt>
                <c:pt idx="3">
                  <c:v>14.7</c:v>
                </c:pt>
                <c:pt idx="4">
                  <c:v>13</c:v>
                </c:pt>
                <c:pt idx="5">
                  <c:v>12.4</c:v>
                </c:pt>
                <c:pt idx="6">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strCache>
            </c:strRef>
          </c:cat>
          <c:val>
            <c:numRef>
              <c:f>Hoja1!$B$2:$B$13</c:f>
              <c:numCache>
                <c:formatCode>#,##0</c:formatCode>
                <c:ptCount val="12"/>
                <c:pt idx="0">
                  <c:v>302746</c:v>
                </c:pt>
                <c:pt idx="1">
                  <c:v>338831</c:v>
                </c:pt>
                <c:pt idx="2">
                  <c:v>363366</c:v>
                </c:pt>
                <c:pt idx="3">
                  <c:v>381661</c:v>
                </c:pt>
                <c:pt idx="4">
                  <c:v>423923</c:v>
                </c:pt>
                <c:pt idx="5">
                  <c:v>440032</c:v>
                </c:pt>
                <c:pt idx="6">
                  <c:v>475235</c:v>
                </c:pt>
                <c:pt idx="7">
                  <c:v>503749</c:v>
                </c:pt>
                <c:pt idx="8">
                  <c:v>526417</c:v>
                </c:pt>
                <c:pt idx="9">
                  <c:v>544842</c:v>
                </c:pt>
                <c:pt idx="10">
                  <c:v>558463</c:v>
                </c:pt>
                <c:pt idx="11">
                  <c:v>569632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strCache>
            </c:strRef>
          </c:cat>
          <c:val>
            <c:numRef>
              <c:f>Hoja1!$C$2:$C$13</c:f>
              <c:numCache>
                <c:formatCode>#,##0</c:formatCode>
                <c:ptCount val="12"/>
                <c:pt idx="0">
                  <c:v>16324</c:v>
                </c:pt>
                <c:pt idx="1">
                  <c:v>17807</c:v>
                </c:pt>
                <c:pt idx="2">
                  <c:v>26924</c:v>
                </c:pt>
                <c:pt idx="3">
                  <c:v>35707</c:v>
                </c:pt>
                <c:pt idx="4">
                  <c:v>51503</c:v>
                </c:pt>
                <c:pt idx="5">
                  <c:v>54564</c:v>
                </c:pt>
                <c:pt idx="6">
                  <c:v>60830</c:v>
                </c:pt>
                <c:pt idx="7">
                  <c:v>65487</c:v>
                </c:pt>
                <c:pt idx="8">
                  <c:v>66855</c:v>
                </c:pt>
                <c:pt idx="9">
                  <c:v>67016</c:v>
                </c:pt>
                <c:pt idx="10">
                  <c:v>67016</c:v>
                </c:pt>
                <c:pt idx="11">
                  <c:v>66647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13.7</c:v>
                </c:pt>
                <c:pt idx="1">
                  <c:v>13.7</c:v>
                </c:pt>
                <c:pt idx="2">
                  <c:v>16.5</c:v>
                </c:pt>
                <c:pt idx="3">
                  <c:v>18.8</c:v>
                </c:pt>
                <c:pt idx="4">
                  <c:v>22.1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5.4</c:v>
                </c:pt>
                <c:pt idx="1">
                  <c:v>5.3</c:v>
                </c:pt>
                <c:pt idx="2">
                  <c:v>7.4</c:v>
                </c:pt>
                <c:pt idx="3">
                  <c:v>9.4</c:v>
                </c:pt>
                <c:pt idx="4">
                  <c:v>12.1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4.8</c:v>
                </c:pt>
                <c:pt idx="1">
                  <c:v>4.5</c:v>
                </c:pt>
                <c:pt idx="2">
                  <c:v>6.7</c:v>
                </c:pt>
                <c:pt idx="3">
                  <c:v>8.5</c:v>
                </c:pt>
                <c:pt idx="4">
                  <c:v>11.3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3.8</c:v>
                </c:pt>
                <c:pt idx="1">
                  <c:v>3.6</c:v>
                </c:pt>
                <c:pt idx="2">
                  <c:v>5.4</c:v>
                </c:pt>
                <c:pt idx="3">
                  <c:v>7.2</c:v>
                </c:pt>
                <c:pt idx="4">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Hoja1!$A$2:$A$10</c:f>
              <c:strCache>
                <c:ptCount val="9"/>
                <c:pt idx="0">
                  <c:v>1T FY2024</c:v>
                </c:pt>
                <c:pt idx="1">
                  <c:v>2T FY2024</c:v>
                </c:pt>
                <c:pt idx="2">
                  <c:v>3T FY2024</c:v>
                </c:pt>
                <c:pt idx="3">
                  <c:v>4T FY2024</c:v>
                </c:pt>
                <c:pt idx="4">
                  <c:v>1T FY2025</c:v>
                </c:pt>
                <c:pt idx="5">
                  <c:v>2T FY2025</c:v>
                </c:pt>
                <c:pt idx="6">
                  <c:v>3T FY2025</c:v>
                </c:pt>
                <c:pt idx="7">
                  <c:v>4T FY2025</c:v>
                </c:pt>
                <c:pt idx="8">
                  <c:v>1T FY2026</c:v>
                </c:pt>
              </c:strCache>
            </c:strRef>
          </c:cat>
          <c:val>
            <c:numRef>
              <c:f>Hoja1!$B$2:$B$10</c:f>
              <c:numCache>
                <c:formatCode>0.0"%"</c:formatCode>
                <c:ptCount val="9"/>
                <c:pt idx="0">
                  <c:v>-10</c:v>
                </c:pt>
                <c:pt idx="1">
                  <c:v>3.9</c:v>
                </c:pt>
                <c:pt idx="2">
                  <c:v>6</c:v>
                </c:pt>
                <c:pt idx="3">
                  <c:v>16.9</c:v>
                </c:pt>
                <c:pt idx="4">
                  <c:v>33.8</c:v>
                </c:pt>
                <c:pt idx="5">
                  <c:v>12.1</c:v>
                </c:pt>
                <c:pt idx="6">
                  <c:v>5.9</c:v>
                </c:pt>
                <c:pt idx="7">
                  <c:v>1.2</c:v>
                </c:pt>
                <c:pt idx="8">
                  <c:v>-9.9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192</c:v>
                </c:pt>
                <c:pt idx="1">
                  <c:v>160</c:v>
                </c:pt>
                <c:pt idx="2">
                  <c:v>187</c:v>
                </c:pt>
                <c:pt idx="3">
                  <c:v>178</c:v>
                </c:pt>
                <c:pt idx="4">
                  <c:v>175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5</c:v>
                </c:pt>
                <c:pt idx="1">
                  <c:v>4</c:v>
                </c:pt>
                <c:pt idx="2">
                  <c:v>5</c:v>
                </c:pt>
                <c:pt idx="3">
                  <c:v>5</c:v>
                </c:pt>
                <c:pt idx="4">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120</c:v>
                </c:pt>
                <c:pt idx="1">
                  <c:v>109</c:v>
                </c:pt>
                <c:pt idx="2">
                  <c:v>93</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-2235</c:v>
                </c:pt>
                <c:pt idx="1">
                  <c:v>20314</c:v>
                </c:pt>
                <c:pt idx="2">
                  <c:v>-16912</c:v>
                </c:pt>
                <c:pt idx="3">
                  <c:v>1037</c:v>
                </c:pt>
                <c:pt idx="4">
                  <c:v>24115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11535</c:v>
                </c:pt>
                <c:pt idx="1">
                  <c:v>12227</c:v>
                </c:pt>
                <c:pt idx="2">
                  <c:v>19612</c:v>
                </c:pt>
                <c:pt idx="3">
                  <c:v>27631</c:v>
                </c:pt>
                <c:pt idx="4">
                  <c:v>37470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8.8</c:v>
                </c:pt>
                <c:pt idx="1">
                  <c:v>10.6</c:v>
                </c:pt>
                <c:pt idx="2">
                  <c:v>14</c:v>
                </c:pt>
                <c:pt idx="3">
                  <c:v>14.8</c:v>
                </c:pt>
                <c:pt idx="4">
                  <c:v>17.9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8.2</c:v>
                </c:pt>
                <c:pt idx="1">
                  <c:v>8.2</c:v>
                </c:pt>
                <c:pt idx="2">
                  <c:v>8.2</c:v>
                </c:pt>
                <c:pt idx="3">
                  <c:v>8.2</c:v>
                </c:pt>
                <c:pt idx="4">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8.7</c:v>
                </c:pt>
                <c:pt idx="1">
                  <c:v>8.9</c:v>
                </c:pt>
                <c:pt idx="2">
                  <c:v>12.8</c:v>
                </c:pt>
                <c:pt idx="3">
                  <c:v>16</c:v>
                </c:pt>
                <c:pt idx="4">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-1.46</c:v>
                </c:pt>
                <c:pt idx="1">
                  <c:v>-2.39</c:v>
                </c:pt>
                <c:pt idx="2">
                  <c:v>-0.53</c:v>
                </c:pt>
                <c:pt idx="3">
                  <c:v>-0.28</c:v>
                </c:pt>
                <c:pt idx="4">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FY2026 (≤ 12 meses)</c:v>
                </c:pt>
                <c:pt idx="1">
                  <c:v>FY2027 o después</c:v>
                </c:pt>
              </c:strCache>
            </c:strRef>
          </c:cat>
          <c:val>
            <c:numRef>
              <c:f>Hoja1!$B$2:$B$3</c:f>
              <c:numCache>
                <c:formatCode>#,##0</c:formatCode>
                <c:ptCount val="2"/>
                <c:pt idx="0">
                  <c:v>35593</c:v>
                </c:pt>
                <c:pt idx="1">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97</c:v>
                </c:pt>
                <c:pt idx="1">
                  <c:v>2908</c:v>
                </c:pt>
                <c:pt idx="2">
                  <c:v>4330</c:v>
                </c:pt>
                <c:pt idx="3">
                  <c:v>32</c:v>
                </c:pt>
                <c:pt idx="4">
                  <c:v>3220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3985</c:v>
                </c:pt>
                <c:pt idx="1">
                  <c:v>4102</c:v>
                </c:pt>
                <c:pt idx="2">
                  <c:v>4774</c:v>
                </c:pt>
                <c:pt idx="3">
                  <c:v>10508</c:v>
                </c:pt>
                <c:pt idx="4">
                  <c:v>12634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6356</c:v>
                </c:pt>
                <c:pt idx="1">
                  <c:v>0</c:v>
                </c:pt>
                <c:pt idx="2">
                  <c:v>2</c:v>
                </c:pt>
                <c:pt idx="3">
                  <c:v>1939</c:v>
                </c:pt>
                <c:pt idx="4">
                  <c:v>8209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7</c:v>
                </c:pt>
                <c:pt idx="1">
                  <c:v>4</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The Master Trust Bank of Japan (fideicomiso)</c:v>
                </c:pt>
                <c:pt idx="1">
                  <c:v>Nippon Life Insurance</c:v>
                </c:pt>
                <c:pt idx="2">
                  <c:v>State Street Bank and Trust (custodio)</c:v>
                </c:pt>
                <c:pt idx="3">
                  <c:v>Asociación de empleados de Takasago (持株会)</c:v>
                </c:pt>
                <c:pt idx="4">
                  <c:v>Takasago Kyoeikai (asociación de subcontratistas y proveedores)</c:v>
                </c:pt>
                <c:pt idx="5">
                  <c:v>Custody Bank of Japan (fideicomiso)</c:v>
                </c:pt>
                <c:pt idx="6">
                  <c:v>Capital Research and Management</c:v>
                </c:pt>
                <c:pt idx="7">
                  <c:v>Dai-ichi Life Insurance</c:v>
                </c:pt>
              </c:strCache>
            </c:strRef>
          </c:cat>
          <c:val>
            <c:numRef>
              <c:f>Hoja1!$B$2:$B$9</c:f>
              <c:numCache>
                <c:formatCode>0.0"%"</c:formatCode>
                <c:ptCount val="8"/>
                <c:pt idx="0">
                  <c:v>10.64</c:v>
                </c:pt>
                <c:pt idx="1">
                  <c:v>6.83</c:v>
                </c:pt>
                <c:pt idx="2">
                  <c:v>5.47</c:v>
                </c:pt>
                <c:pt idx="3">
                  <c:v>4.71</c:v>
                </c:pt>
                <c:pt idx="4">
                  <c:v>4.03</c:v>
                </c:pt>
                <c:pt idx="5">
                  <c:v>3.97</c:v>
                </c:pt>
                <c:pt idx="6">
                  <c:v>3.74</c:v>
                </c:pt>
                <c:pt idx="7">
                  <c:v>3.17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-13.6</c:v>
                </c:pt>
                <c:pt idx="1">
                  <c:v>40.3</c:v>
                </c:pt>
                <c:pt idx="2">
                  <c:v>-10.7</c:v>
                </c:pt>
                <c:pt idx="3">
                  <c:v>12.8</c:v>
                </c:pt>
                <c:pt idx="4">
                  <c:v>-17.3</c:v>
                </c:pt>
                <c:pt idx="5">
                  <c:v>24.8</c:v>
                </c:pt>
                <c:pt idx="6">
                  <c:v>-2.6</c:v>
                </c:pt>
                <c:pt idx="7">
                  <c:v>85.9</c:v>
                </c:pt>
                <c:pt idx="8">
                  <c:v>103.6</c:v>
                </c:pt>
                <c:pt idx="9">
                  <c:v>43.6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22.1</c:v>
                </c:pt>
                <c:pt idx="2">
                  <c:v>-15.8</c:v>
                </c:pt>
                <c:pt idx="3">
                  <c:v>17.7</c:v>
                </c:pt>
                <c:pt idx="4">
                  <c:v>7.4</c:v>
                </c:pt>
                <c:pt idx="5">
                  <c:v>12.7</c:v>
                </c:pt>
                <c:pt idx="6">
                  <c:v>-2.4</c:v>
                </c:pt>
                <c:pt idx="7">
                  <c:v>28.2</c:v>
                </c:pt>
                <c:pt idx="8">
                  <c:v>20.3</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6</c:v>
                </c:pt>
                <c:pt idx="1">
                  <c:v>5.7</c:v>
                </c:pt>
                <c:pt idx="2">
                  <c:v>11.6</c:v>
                </c:pt>
                <c:pt idx="3">
                  <c:v>10.1</c:v>
                </c:pt>
                <c:pt idx="4">
                  <c:v>10.9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10.1</c:v>
                </c:pt>
                <c:pt idx="1">
                  <c:v>10.1</c:v>
                </c:pt>
                <c:pt idx="2">
                  <c:v>10.1</c:v>
                </c:pt>
                <c:pt idx="3">
                  <c:v>10.1</c:v>
                </c:pt>
                <c:pt idx="4">
                  <c:v>10.1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FY2026e</c:v>
                </c:pt>
                <c:pt idx="1">
                  <c:v>FY2027e</c:v>
                </c:pt>
                <c:pt idx="2">
                  <c:v>FY2028e</c:v>
                </c:pt>
                <c:pt idx="3">
                  <c:v>FY2029e</c:v>
                </c:pt>
                <c:pt idx="4">
                  <c:v>FY2030e</c:v>
                </c:pt>
                <c:pt idx="5">
                  <c:v>FY2031e</c:v>
                </c:pt>
                <c:pt idx="6">
                  <c:v>FY2032e</c:v>
                </c:pt>
              </c:strCache>
            </c:strRef>
          </c:cat>
          <c:val>
            <c:numRef>
              <c:f>Hoja1!$B$2:$B$8</c:f>
              <c:numCache>
                <c:formatCode>#,##0</c:formatCode>
                <c:ptCount val="7"/>
                <c:pt idx="0">
                  <c:v>28327</c:v>
                </c:pt>
                <c:pt idx="1">
                  <c:v>26107</c:v>
                </c:pt>
                <c:pt idx="2">
                  <c:v>31486</c:v>
                </c:pt>
                <c:pt idx="3">
                  <c:v>34385</c:v>
                </c:pt>
                <c:pt idx="4">
                  <c:v>35795</c:v>
                </c:pt>
                <c:pt idx="5">
                  <c:v>37515</c:v>
                </c:pt>
                <c:pt idx="6">
                  <c:v>38050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166423</c:v>
                </c:pt>
                <c:pt idx="1">
                  <c:v>348944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4.187,00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3087.33</c:v>
                </c:pt>
                <c:pt idx="1">
                  <c:v>4377.1</c:v>
                </c:pt>
                <c:pt idx="2">
                  <c:v>4923.56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4.187,00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(3.985,00 – 5.749,00)</c:v>
                </c:pt>
                <c:pt idx="1">
                  <c:v>Precio objetivo de los analistas (5.250,00 – 6.900,00)</c:v>
                </c:pt>
                <c:pt idx="2">
                  <c:v>Comparables: PER NTM (5.048,52 – 6.044,44)</c:v>
                </c:pt>
                <c:pt idx="3">
                  <c:v>DCF (WACC y g ± 0,5) (3.932,04 – 4.977,20)</c:v>
                </c:pt>
                <c:pt idx="4">
                  <c:v>Escenarios (bajista – alcista) (3.087,33 – 4.923,56)</c:v>
                </c:pt>
                <c:pt idx="5">
                  <c:v>DCF con la prima implícita del mercado (4,2 %)</c:v>
                </c:pt>
                <c:pt idx="6">
                  <c:v>Precio actual (4.187,00)</c:v>
                </c:pt>
              </c:strCache>
            </c:strRef>
          </c:cat>
          <c:val>
            <c:numRef>
              <c:f>Hoja1!$B$2:$B$8</c:f>
              <c:numCache>
                <c:formatCode>#,##0</c:formatCode>
                <c:ptCount val="7"/>
                <c:pt idx="0">
                  <c:v>3985</c:v>
                </c:pt>
                <c:pt idx="1">
                  <c:v>5250</c:v>
                </c:pt>
                <c:pt idx="2">
                  <c:v>5048.52</c:v>
                </c:pt>
                <c:pt idx="3">
                  <c:v>3932.04</c:v>
                </c:pt>
                <c:pt idx="4">
                  <c:v>3087.33</c:v>
                </c:pt>
                <c:pt idx="5">
                  <c:v>4896.01</c:v>
                </c:pt>
                <c:pt idx="6">
                  <c:v>4166.06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(3.985,00 – 5.749,00)</c:v>
                </c:pt>
                <c:pt idx="1">
                  <c:v>Precio objetivo de los analistas (5.250,00 – 6.900,00)</c:v>
                </c:pt>
                <c:pt idx="2">
                  <c:v>Comparables: PER NTM (5.048,52 – 6.044,44)</c:v>
                </c:pt>
                <c:pt idx="3">
                  <c:v>DCF (WACC y g ± 0,5) (3.932,04 – 4.977,20)</c:v>
                </c:pt>
                <c:pt idx="4">
                  <c:v>Escenarios (bajista – alcista) (3.087,33 – 4.923,56)</c:v>
                </c:pt>
                <c:pt idx="5">
                  <c:v>DCF con la prima implícita del mercado (4,2 %)</c:v>
                </c:pt>
                <c:pt idx="6">
                  <c:v>Precio actual (4.187,00)</c:v>
                </c:pt>
              </c:strCache>
            </c:strRef>
          </c:cat>
          <c:val>
            <c:numRef>
              <c:f>Hoja1!$C$2:$C$8</c:f>
              <c:numCache>
                <c:formatCode>#,##0</c:formatCode>
                <c:ptCount val="7"/>
                <c:pt idx="0">
                  <c:v>1764</c:v>
                </c:pt>
                <c:pt idx="1">
                  <c:v>1650</c:v>
                </c:pt>
                <c:pt idx="2">
                  <c:v>995.9199999999992</c:v>
                </c:pt>
                <c:pt idx="3">
                  <c:v>1045.1599999999999</c:v>
                </c:pt>
                <c:pt idx="4">
                  <c:v>1836.2300000000005</c:v>
                </c:pt>
                <c:pt idx="5">
                  <c:v>919.8899999999994</c:v>
                </c:pt>
                <c:pt idx="6">
                  <c:v>41.86999999999989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