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Wasion Holdings Limited (威勝控股有限公司)</w:t>
      </w:r>
    </w:p>
    <w:p>
      <w:pPr>
        <w:spacing w:after="60"/>
        <w:rPr>
          <w:color w:val="52514E"/>
          <w:sz w:val="22"/>
          <w:szCs w:val="22"/>
        </w:rPr>
      </w:pPr>
      <w:r>
        <w:rPr>
          <w:color w:val="52514E"/>
          <w:sz w:val="22"/>
          <w:szCs w:val="22"/>
        </w:rPr>
        <w:t xml:space="preserve">3393.HK · Bolsa de Hong Kong (Main Board); en el Stock Connect desde marzo de 2026 · ISIN KYG9463P1081 · Tecnología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19 oct 2026</w:t>
      </w:r>
      <w:r>
        <w:rPr>
          <w:color w:val="52514E"/>
          <w:sz w:val="18"/>
          <w:szCs w:val="18"/>
        </w:rPr>
        <w:t xml:space="preserve"> · Divisa: </w:t>
      </w:r>
      <w:r>
        <w:rPr>
          <w:b/>
          <w:bCs/>
          <w:color w:val="52514E"/>
          <w:sz w:val="18"/>
          <w:szCs w:val="18"/>
        </w:rPr>
        <w:t xml:space="preserve">CNY</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10,46 CNY (12,28 HKD)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10,68 CNY (12,54 HKD)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+6,1 % (base +6,2 %)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18,09 CNY (21,23 HKD) · mercado 21,43</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10.810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0,0x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Wasion Holdings Limited (威勝控股有限公司)</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3393.HK / KYG9463P1081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Hong Kong (Main Board); en el Stock Connect desde marzo de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Hang Seng (^HSI; ETF 2800.HK)</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 de la información / Equipos electrónicos e instrumentos (medición y distribución de energía)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Changsha (Hunan) y Hong Kong · 2000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5.442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https://www.wasion.com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10,46 (16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10,08 – 28,80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1.033,5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10.810 M CNY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15.654 M CNY</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60 M HKD/día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mar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10,68 CNY (12,54 HKD)</w:t>
      </w:r>
      <w:r>
        <w:t xml:space="preserve"> frente a 10,46 (12,28 HKD) · Rentabilidad a 12 meses </w:t>
      </w:r>
      <w:r>
        <w:rPr>
          <w:b/>
          <w:bCs/>
        </w:rPr>
        <w:t xml:space="preserve">+6,1 % (base +6,2 %)</w:t>
      </w:r>
      <w:r>
        <w:t xml:space="preserve"> · Valor intrínseco 18,09 CNY (21,23 HKD) · con la prima implícita del mercado: 21,43 (25,15 HKD) (+104,9 %) · Alcista / bajista +129,8 % / +13,8 %</w:t>
      </w:r>
    </w:p>
    <w:p>
      <w:pPr>
        <w:spacing w:after="100"/>
      </w:pPr>
      <w:r>
        <w:rPr>
          <w:b/>
        </w:rPr>
        <w:t xml:space="preserve">La recomendación y por qué.</w:t>
      </w:r>
      <w:r>
        <w:t xml:space="preserve"> Mantener, con convicción media. El objetivo a 12 meses es de 10,68 CNY ponderado (12,54 HKD) y 10,69 CNY en el caso base, frente a un precio de 10,46 CNY (12,28 HKD, cierre del 16-oct): la rentabilidad a 12 meses, con el dividendo del 4 %, es del 6,1 % ponderada y del 6,2 % en el base, lejos del 15 % que pide comprar. El valor intrínseco es mucho mayor (18,09 CNY, +72,9 %): el DCF (19,72 CNY) y la suma de partes (14,83 CNY) dicen que la acción está barata, pero el mercado nunca ha pagado a Wasion más de 9 veces el beneficio de forma sostenida, y la regla común no supone que lo haga en un año. La tesis de valor es a 2-3 años. La convicción es media porque la regla a 12 meses (v3) da Mantener lejos de los umbrales, mientras que las reglas del valor intrínseco (absoluta y relativa) y la v2 de control (19,2 %) dicen comprar; subiría con un 2S26 que cobre (flujo operativo positivo y clientes de más de 180 días a la baja) y bajaría si el deterioro de clientes pasa de 150 M al año. Los analistas (objetivo medio de 20,30 CNY) quedan fuera de nuestro rango a 12 meses (4,31-17,01 CNY).</w:t>
      </w:r>
    </w:p>
    <w:p>
      <w:pPr>
        <w:spacing w:after="100"/>
      </w:pPr>
      <w:r>
        <w:rPr>
          <w:b/>
        </w:rPr>
        <w:t xml:space="preserve">La caída del 64 %.</w:t>
      </w:r>
      <w:r>
        <w:t xml:space="preserve"> Es cierta (de 33,80 a 12,28 HKD desde el 17-abr) y tiene causas conocidas: la acción se multiplicó por 4,7 en 16 meses con la euforia de la energía para centros de datos, el accionista de control colocó 50 M de acciones a 30 HKD en abril, la solicitud de salida a bolsa de Wayon caducó en julio, Willfar gana un 33,7 % menos y el 1S26 trajo un beneficio plano con el margen bruto 3,9 puntos más bajo y los clientes de 181-365 días doblados [11, 14, 15, 33]. Con todo, el PER de los próximos 12 meses (7,8 veces) está cerca de su historia, no en mínimos.</w:t>
      </w:r>
    </w:p>
    <w:p>
      <w:pPr>
        <w:spacing w:after="100"/>
      </w:pPr>
      <w:r>
        <w:rPr>
          <w:b/>
        </w:rPr>
        <w:t xml:space="preserve">El negocio.</w:t>
      </w:r>
      <w:r>
        <w:t xml:space="preserve"> Fabricante chino de contadores inteligentes (red china y exterior), comunicaciones y chips (Willfar, cotizada en Shanghái, 59,55 %) y equipos de distribución y energía para centros de datos (Wayon, ≈ 60 %) [1]. Las ventas se duplicaron en 2021-2025 (de 4.591 a 10.074 M CNY) y el beneficio se cuadruplicó (de 268 a 1.058 M); el ROIC pasó del 7,0 % al 20,2 % frente a un WACC del 7,78 % [1, 5]. La sostenibilidad del crecimiento es «Sí»: el capital nuevo solo tiene que rendir un 14,1 %.</w:t>
      </w:r>
    </w:p>
    <w:p>
      <w:pPr>
        <w:spacing w:after="100"/>
      </w:pPr>
      <w:r>
        <w:rPr>
          <w:b/>
        </w:rPr>
        <w:t xml:space="preserve">Finanzas.</w:t>
      </w:r>
      <w:r>
        <w:t xml:space="preserve"> Caja neta de ≈ 1.650 M a junio de 2026, pero el circulante es el punto débil: 8.893 M de clientes brutos (43 % del activo) y flujo operativo negativo en el 1S26 (−161 M) [11, 12]. Los minoritarios se llevan el 31 % del beneficio, y las opciones de venta de Wayon (1.437 M) son deuda.</w:t>
      </w:r>
    </w:p>
    <w:p>
      <w:pPr>
        <w:spacing w:after="100"/>
      </w:pPr>
      <w:r>
        <w:rPr>
          <w:b/>
        </w:rPr>
        <w:t xml:space="preserve">Equipo y gobierno.</w:t>
      </w:r>
      <w:r>
        <w:t xml:space="preserve"> Control familiar del 52,4 %, padre presidente e hijo consejero delegado. A favor, compras del presidente y recompras; en contra, la colocación en máximos [1, 30].</w:t>
      </w:r>
    </w:p>
    <w:p>
      <w:pPr>
        <w:spacing w:after="100"/>
      </w:pPr>
      <w:r>
        <w:rPr>
          <w:b/>
        </w:rPr>
        <w:t xml:space="preserve">Valoración.</w:t>
      </w:r>
      <w:r>
        <w:t xml:space="preserve"> EV/EBITDA de 7,1 veces y PER de 7,8 veces frente a medianas de 8,6-17 y 13,8 de los comparables; Willfar cotiza a 14,4 veces y la participación vale el 64 % de la capitalización [20, 40]. Nuestro BPA de 2027e (1,22) queda un 12 % por debajo del consenso (1,38) porque bajamos el margen [35]. La regla v2, de control, daría comprar (19,2 %): la diferencia es que la v3 compara el PER actual con la mediana adelantada (6,3 veces), más baja.</w:t>
      </w:r>
    </w:p>
    <w:p>
      <w:pPr>
        <w:spacing w:after="100"/>
      </w:pPr>
      <w:r>
        <w:rPr>
          <w:b/>
        </w:rPr>
        <w:t xml:space="preserve">Riesgos y catalizadores.</w:t>
      </w:r>
      <w:r>
        <w:t xml:space="preserve"> El riesgo dominante es el cobro: un deterioro de 1.000-2.000 M quitaría un 10-20 % al valor. Le siguen el margen, Willfar y otra colocación. La IA empuja la demanda de Wayon, pero es un ciclo de inversión. Catalizadores: Willfar del 3T26 (hasta el 31-oct), licitaciones de la red china y resultados de 2026 (≈ 26-mar-2027). Regla 13: no cambia.</w:t>
      </w:r>
    </w:p>
    <w:p>
      <w:pPr>
        <w:spacing w:after="100"/>
      </w:pPr>
      <w:r>
        <w:rPr>
          <w:b/>
        </w:rPr>
        <w:t xml:space="preserve">Qué cambiaría la decisión.</w:t>
      </w:r>
      <w:r>
        <w:t xml:space="preserve"> Compraríamos por debajo de 9,65 CNY (11,33 HKD) y venderíamos por encima de 12,33 CNY (14,47 HKD). Revisaríamos al alza si el 2S26 recupera el margen bruto por encima del 33 % con flujo operativo positivo, y a la baja si los clientes de más de 180 días pasan de 3.000 M.</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para la señal; la tesis de valor (DCF y suma de partes) es a 2-3 años · Objetivo a 12 meses: </w:t>
      </w:r>
      <w:r>
        <w:rPr>
          <w:b/>
          <w:bCs/>
        </w:rPr>
        <w:t xml:space="preserve">10,68 CNY (12,54 HKD)</w:t>
      </w:r>
      <w:r>
        <w:t xml:space="preserve"> (rentabilidad +6,1 % (base +6,2 %)) · Valor intrínseco: 18,09 CNY (21,23 HKD) (+72,9 % sobre 10,46) · con la prima implícita del mercado: 21,43 (25,15 HKD) (+104,9 %)</w:t>
      </w:r>
    </w:p>
    <w:p>
      <w:pPr>
        <w:spacing w:after="100"/>
      </w:pPr>
      <w:r>
        <w:t xml:space="preserve">Wasion es uno de los cinco mayores fabricantes chinos de contadores inteligentes y se ha convertido en un grupo de tres negocios: contadores para la red china y el exterior, comunicaciones y chips (Willfar, cotizada en Shanghái) y equipos de distribución y energía para centros de datos (Wayon) [1]. En cinco años duplicó ventas y multiplicó por cuatro el beneficio, con un ROIC que pasó del 7 % al 20 % [1, 5].</w:t>
      </w:r>
    </w:p>
    <w:p>
      <w:pPr>
        <w:spacing w:after="100"/>
      </w:pPr>
      <w:r>
        <w:t xml:space="preserve">El precio (12,28 HKD) ha caído un 64 % desde abril y cotiza a 7,8 veces el beneficio de los próximos 12 meses, la mitad que los comparables, y la filial Willfar vale el 64 % de la capitalización [40]. El mercado duda de la calidad del beneficio de 2026: margen bruto −3,9 puntos, clientes de 181-365 días doblados y flujo operativo negativo en el 1S26 [11].</w:t>
      </w:r>
    </w:p>
    <w:p>
      <w:pPr>
        <w:spacing w:after="100"/>
      </w:pPr>
      <w:r>
        <w:t xml:space="preserve">El mercado tiene razón a medias. El negocio vale más que el precio (DCF de 19,72 CNY), pero a 12 meses la acción solo rinde un 6 % porque nunca ha cotizado a un múltiplo de calidad y el cobro está por demostrar. Para invertir hay que creer que los clientes pagarán y que el margen tocó fondo.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 CNY (12,54 HKD)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 × 0,98 = 4,31 · 7,8x × 1,37 = 10,69 · 10,5x × 1,62 = 17,01</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 / 6,2 %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20,30 (nuestro base -47,3 %)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18,09 CNY (21,23 HKD)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 (HKD al tipo de 0,8519 CNY por HKD)</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10,46 CNY (12,28 HKD)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129,8 % / 13,8 %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 frente a 7,8 % y 6,6 %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21,43 CNY (25,15 HKD)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(11,8 % anual proyectado; financiable al ROIC actual: 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9,65 (11,33 HKD)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9,65 y 12,33 (11,33 y 14,47 HKD)</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12,33 (14,47 HKD)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9,65 CNY (11,33 HKD): pasaría a Comprar (ponderada a 12 meses ≥ 15 %).</w:t>
      </w:r>
    </w:p>
    <w:p>
      <w:pPr>
        <w:pStyle w:val="ListParagraph"/>
        <w:numPr>
          <w:ilvl w:val="0"/>
          <w:numId w:val="2"/>
        </w:numPr>
        <w:spacing w:after="60"/>
      </w:pPr>
      <w:r>
        <w:t xml:space="preserve">Precio por encima de 12,33 CNY (14,47 HKD): pasaría a Vender.</w:t>
      </w:r>
    </w:p>
    <w:p>
      <w:pPr>
        <w:pStyle w:val="ListParagraph"/>
        <w:numPr>
          <w:ilvl w:val="0"/>
          <w:numId w:val="2"/>
        </w:numPr>
        <w:spacing w:after="60"/>
      </w:pPr>
      <w:r>
        <w:t xml:space="preserve">Clientes de más de 180 días por encima de 3.000 M o deterioro anual por encima de 150 M: bajaríamos el caso base.</w:t>
      </w:r>
    </w:p>
    <w:p>
      <w:pPr>
        <w:pStyle w:val="ListParagraph"/>
        <w:numPr>
          <w:ilvl w:val="0"/>
          <w:numId w:val="2"/>
        </w:numPr>
        <w:spacing w:after="60"/>
      </w:pPr>
      <w:r>
        <w:t xml:space="preserve">Margen bruto del 2S26 por encima del 33 % con flujo operativo positivo: subiríamos el margen de la proyección.</w:t>
      </w:r>
    </w:p>
    <w:p>
      <w:pPr>
        <w:pStyle w:val="ListParagraph"/>
        <w:numPr>
          <w:ilvl w:val="0"/>
          <w:numId w:val="2"/>
        </w:numPr>
        <w:spacing w:after="60"/>
      </w:pPr>
      <w:r>
        <w:t xml:space="preserve">Otra colocación del accionista de control: regla 13, retrasar hasta su precio.</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beneficio de 2026 es de mala calidad (no se cobra) y que la euforia de la IA ha terminado: rentabilidad implícita del 11,3 % anual, PER de 7,8 veces y Wasion valorada por debajo de su participación en Willfar más el resto a precio de saldo.</w:t>
      </w:r>
    </w:p>
    <w:p>
      <w:pPr>
        <w:keepNext/>
        <w:spacing w:after="100"/>
      </w:pPr>
      <w:r>
        <w:rPr>
          <w:b/>
          <w:bCs/>
        </w:rPr>
        <w:t xml:space="preserve">Lo que creemos nosotros.</w:t>
      </w:r>
    </w:p>
    <w:p>
      <w:pPr>
        <w:spacing w:after="100"/>
      </w:pPr>
      <w:r>
        <w:t xml:space="preserve">El negocio crecerá menos que lo que esperan los analistas (BPA de 2027e un 12 % por debajo) pero vale más que el precio: 18,09 CNY de valor intrínseco. A 12 meses no vemos catalizador para que el mercado pague un múltiplo distinto del de su historia.</w:t>
      </w:r>
    </w:p>
    <w:p>
      <w:pPr>
        <w:keepNext/>
        <w:spacing w:after="100"/>
      </w:pPr>
      <w:r>
        <w:rPr>
          <w:b/>
          <w:bCs/>
        </w:rPr>
        <w:t xml:space="preserve">Por qué podemos tener razón.</w:t>
      </w:r>
    </w:p>
    <w:p>
      <w:pPr>
        <w:spacing w:after="100"/>
      </w:pPr>
      <w:r>
        <w:t xml:space="preserve">El circulante y los minoritarios justifican parte del descuento; el resto es de Hong Kong y de una empresa que el mercado ha visto quince años como un fabricante de contadores barato.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NY) · precio actual 10,4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ROIC del 20,2 %</w:t>
      </w:r>
      <w:r>
        <w:t xml:space="preserve"> en 2025 frente a un WACC del 7,78 %, desde el 7 % en 2021 [1].</w:t>
      </w:r>
    </w:p>
    <w:p>
      <w:pPr>
        <w:pStyle w:val="ListParagraph"/>
        <w:numPr>
          <w:ilvl w:val="0"/>
          <w:numId w:val="2"/>
        </w:numPr>
        <w:spacing w:after="60"/>
      </w:pPr>
      <w:r>
        <w:rPr>
          <w:b/>
        </w:rPr>
        <w:t xml:space="preserve">Pedidos récord</w:t>
      </w:r>
      <w:r>
        <w:t xml:space="preserve">: energía digital +101 % y exterior +108 % en el 1S26 [11].</w:t>
      </w:r>
    </w:p>
    <w:p>
      <w:pPr>
        <w:pStyle w:val="ListParagraph"/>
        <w:numPr>
          <w:ilvl w:val="0"/>
          <w:numId w:val="2"/>
        </w:numPr>
        <w:spacing w:after="60"/>
      </w:pPr>
      <w:r>
        <w:rPr>
          <w:b/>
        </w:rPr>
        <w:t xml:space="preserve">Willfar a mercado</w:t>
      </w:r>
      <w:r>
        <w:t xml:space="preserve"> vale el 64 % de la capitalización de Wasion [40].</w:t>
      </w:r>
    </w:p>
    <w:p>
      <w:pPr>
        <w:pStyle w:val="ListParagraph"/>
        <w:numPr>
          <w:ilvl w:val="0"/>
          <w:numId w:val="2"/>
        </w:numPr>
        <w:spacing w:after="60"/>
      </w:pPr>
      <w:r>
        <w:rPr>
          <w:b/>
        </w:rPr>
        <w:t xml:space="preserve">PER de 7,8 veces</w:t>
      </w:r>
      <w:r>
        <w:t xml:space="preserve"> frente a una mediana de 13,8 de los comparables [20].</w:t>
      </w:r>
    </w:p>
    <w:p>
      <w:pPr>
        <w:pStyle w:val="ListParagraph"/>
        <w:numPr>
          <w:ilvl w:val="0"/>
          <w:numId w:val="2"/>
        </w:numPr>
        <w:spacing w:after="60"/>
      </w:pPr>
      <w:r>
        <w:rPr>
          <w:b/>
        </w:rPr>
        <w:t xml:space="preserve">Compras del presidente y recompras</w:t>
      </w:r>
      <w:r>
        <w:t xml:space="preserve"> (13,2 M de acciones) tras la caída [17, 30].</w:t>
      </w:r>
    </w:p>
    <w:p>
      <w:pPr>
        <w:pStyle w:val="Heading2"/>
      </w:pPr>
      <w:r>
        <w:t xml:space="preserve">En contra</w:t>
      </w:r>
    </w:p>
    <w:p>
      <w:pPr>
        <w:pStyle w:val="ListParagraph"/>
        <w:numPr>
          <w:ilvl w:val="0"/>
          <w:numId w:val="2"/>
        </w:numPr>
        <w:spacing w:after="60"/>
      </w:pPr>
      <w:r>
        <w:rPr>
          <w:b/>
        </w:rPr>
        <w:t xml:space="preserve">Clientes de 181-365 días doblados</w:t>
      </w:r>
      <w:r>
        <w:t xml:space="preserve"> en el 1S26 (2.593 M) y flujo operativo negativo [11, 12].</w:t>
      </w:r>
    </w:p>
    <w:p>
      <w:pPr>
        <w:pStyle w:val="ListParagraph"/>
        <w:numPr>
          <w:ilvl w:val="0"/>
          <w:numId w:val="2"/>
        </w:numPr>
        <w:spacing w:after="60"/>
      </w:pPr>
      <w:r>
        <w:rPr>
          <w:b/>
        </w:rPr>
        <w:t xml:space="preserve">Margen bruto del 31,3 %</w:t>
      </w:r>
      <w:r>
        <w:t xml:space="preserve">, 3,9 puntos menos que un año antes [11].</w:t>
      </w:r>
    </w:p>
    <w:p>
      <w:pPr>
        <w:pStyle w:val="ListParagraph"/>
        <w:numPr>
          <w:ilvl w:val="0"/>
          <w:numId w:val="2"/>
        </w:numPr>
        <w:spacing w:after="60"/>
      </w:pPr>
      <w:r>
        <w:rPr>
          <w:b/>
        </w:rPr>
        <w:t xml:space="preserve">Willfar</w:t>
      </w:r>
      <w:r>
        <w:t xml:space="preserve">: beneficio del 1S26 un 33,7 % menor [14].</w:t>
      </w:r>
    </w:p>
    <w:p>
      <w:pPr>
        <w:pStyle w:val="ListParagraph"/>
        <w:numPr>
          <w:ilvl w:val="0"/>
          <w:numId w:val="2"/>
        </w:numPr>
        <w:spacing w:after="60"/>
      </w:pPr>
      <w:r>
        <w:rPr>
          <w:b/>
        </w:rPr>
        <w:t xml:space="preserve">Colocación del control en máximos</w:t>
      </w:r>
      <w:r>
        <w:t xml:space="preserve"> (30 HKD) y mandato de emisión renovado [15, 27].</w:t>
      </w:r>
    </w:p>
    <w:p>
      <w:pPr>
        <w:pStyle w:val="ListParagraph"/>
        <w:numPr>
          <w:ilvl w:val="0"/>
          <w:numId w:val="2"/>
        </w:numPr>
        <w:spacing w:after="60"/>
      </w:pPr>
      <w:r>
        <w:rPr>
          <w:b/>
        </w:rPr>
        <w:t xml:space="preserve">Minoritarios del 31 %</w:t>
      </w:r>
      <w:r>
        <w:t xml:space="preserve"> del beneficio y opciones de venta de Wayon por 1.437 M [12].</w:t>
      </w:r>
    </w:p>
    <w:p>
      <w:pPr>
        <w:pStyle w:val="Heading2"/>
      </w:pPr>
      <w:r>
        <w:t xml:space="preserve">Qué tiene que pasar para que la tesis funcione</w:t>
      </w:r>
    </w:p>
    <w:p>
      <w:pPr>
        <w:spacing w:after="100"/>
      </w:pPr>
      <w:r>
        <w:t xml:space="preserve">La tesis depende del cobro. Si en el balance de diciembre de 2026 los clientes de más de 180 días bajan y el flujo operativo del 2S26 es positivo, el beneficio es real y el descuento se puede cerrar; si siguen subiendo, el valor intrínseco baja un 10-20 %. La segunda señal es el margen bruto del 2S26 (la dirección promete mejoras de coste).</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de 181-365 días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2.593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3.000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cobro.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Mezcla y competencia.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semestral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M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en el 2S26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Calidad del beneficio.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de Willfar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M (1S26, −33,7 %)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en 9M26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64 % de la capitalización.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Pedidos de centros de datos de Wayon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1.892 M (1S26, +153 %)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Caída interanual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Ciclo de inversión en IA.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9,8x / 7,8x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 · 0,0x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Ji Wei, antiguo directivo de comercio exterior de Hunan, funda el grupo en Changsha en 2000 con el equipo de I+D de Hunan Weisheng Electronics; sale a bolsa en Hong Kong en diciembre de 2005 [1]. Durante quince años es un fabricante de contadores para la red china; la transformación llega con tres decisiones: sacar a bolsa la filial de comunicaciones y chips (Willfar, STAR Market de Shanghái, hoy el 59,55 %), convertir la antigua división de distribución en Wayon Energy, orientada a centros de datos, y fabricar fuera (México, Brasil, Hungría, Tanzania, Sudáfrica, Indonesia, Malasia) [1, 11]. En 2025 entra en el índice compuesto Hang Seng y en el Stock Connect, y en 2026 coloca un 5 % de capital y pide la salida a bolsa de Wayon [24, 26]. El control sigue en la familia fundadora (52 %).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Changsha (Hunan) por Ji Wei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Main Board de Hong Kong (diciembre)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estancadas en torno a 3.000-4.600 M CNY y beneficio de 230-300 M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10.074 M y beneficio de 1.058 M (+50 %); fábricas de Indonesia y Malasia en marcha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dic-2025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Boyu Capital compra el 8 % de Wayon Energy por 380 M CNY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ene-2026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Solicitud de salida a bolsa de Wayon Energy en Hong Kong (formulario A1, 27-ene) [24].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mar-2026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el índice compuesto Hang Seng (efectiva el 9-mar) y en el Stock Connect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abr-2026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Colocación de 50 M de acciones nuevas a 30 HKD (≈ 1.500 M HKD); máximo de la acción (33,80 HKD, 17-abr) [11].</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Wasion Holdings, con sede operativa en Changsha (Hunan) y domicilio en las Caimán, fabrica y vende equipos de medición y distribución de energía en tres segmentos [1]. Soluciones de red inteligente (36 % de las ventas de 2025): contadores eléctricos inteligentes, transformadores de medida y monitorización, para la red estatal, la del sur, redes locales y eléctricas de México (CFE), Brasil (CPFL), África y Oriente Medio. Eficiencia energética con IA (28 %), que opera Willfar (cotiza en el STAR Market; Wasion tiene el 59,55 %): módulos y chips de comunicación, contadores de agua y gas, digitalización de la distribución. Servicios de energía digital (35 %), que opera Wayon Energy (≈ 60 %): aparamenta y reconectadores, transformadores, cabinas prefabricadas y distribución para centros de datos y almacenamiento. Tiene 5.442 empleados y fábricas en China, México, Brasil, Hungría, Tanzania, Sudáfrica, Indonesia y Malasia [1, 11].</w:t>
      </w:r>
    </w:p>
    <w:p>
      <w:pPr>
        <w:pStyle w:val="Heading2"/>
      </w:pPr>
      <w:r>
        <w:t xml:space="preserve">Cómo gana dinero</w:t>
      </w:r>
    </w:p>
    <w:p>
      <w:pPr>
        <w:spacing w:after="100"/>
      </w:pPr>
      <w:r>
        <w:t xml:space="preserve">Vende equipos por contrato tras licitación: cada pedido de la red china o de una eléctrica extranjera se entrega en 6-36 meses (los de Oriente Medio de octubre, en tres años) y se cobra por hitos a 90-365 días [11, 22]. El ingreso recurrente son las reposiciones anuales de clientes como CFE o CPFL y el software AMI, todavía pequeño. El margen depende de la mezcla: contadores y chips para la red china dejan el margen bruto alto (≈ 35-40 %) y la distribución y los centros de datos fuera, menos (el margen bruto del grupo baja al 31,3 % en el 1S26 con su peso del 44 %) [11]. La I+D (7,3 % de las ventas) y los gastos de venta (7,8 %) son casi fijos, lo que da apalancamiento operativo. Las ventas se concentran en el segundo semestre (56 % en 2025) por el calendario de la red [11].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Soluciones de red inteligente (antes AMI eléctrico)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Eficiencia energética con IA (Willfar, 59,55 %)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Servicios de energía digital (Wayon Energy)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Soluciones de red inteligente (antes AMI eléctrico)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Eficiencia energética con IA (Willfar, 59,55 %)</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Servicios de energía digital (Wayon Energy)</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Un único cliente de contadores (por el tamaño, una de las dos redes estatales chinas) superó el 10 % de las ventas en 2025 (1.085 M, 10,8 %); los cinco primeros clientes suman menos del 30 % [1]. Los contratos son de licitación, de uno a tres años, sin renovación automática, aunque hay clientes fijos con pedidos anuales (CFE en México, hasta 695 M CNY en 2026; CPFL en Brasil) [11]. No hay prueba de poder de precios: el margen bruto subió de 2021 a 2025 por mezcla y escala, y bajó 3,9 puntos en el 1S26 al crecer lo de menos margen [1, 11]. Los plazos de cobro de hasta 365 días y la antigüedad creciente de los saldos dicen que el poder de negociación lo tiene el cliente.</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de servicios de energía digital (1S)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2.227 M CNY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4.469 M CNY</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Centros de datos 1.892 M (+153 %)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exteriores (1S)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2.130 M CNY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4.435 M CNY</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exteriores del 1S26: 2.391 M (+92 %)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domésticos de red inteligente (1S)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 M CNY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1.131 M CNY</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estatal 309 M, primer puesto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Willfar (contratos firmados pendientes)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3.823 M CNY</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contratos del 1S26: 1.306 M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(1S)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Mezcla hacia centros de datos y exterior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Cuentas a cobrar netas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7.112 M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8.449 M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Tramo de 181-365 días ×2 [11].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la medición inteligente (contadores eléctricos, de agua y gas, comunicaciones y plataformas AMI) en el mundo, al que se suma la distribución eléctrica de media tensión y la infraestructura de energía de centros de datos de Wayon, que no tienen un tamaño homogéneo publicado. Se usa la cifra de MarketsandMarkets para el mercado mundial de contadores (31.600 M USD en 2026, con 28.830 M en 2025) [19] y se contrasta con la que cita la empresa (ingresos mundiales del sector de 26.800 M USD en 2026, base instalada de 1.250 M de contadores y penetración del 56 %) [11]. La diferencia (≈ 15 %) es de perímetro: la de MarketsandMarkets incluye servicios y comunicaciones.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31.600 M USD en 2026 (MarketsandMarkets) [19]; 26.800 M USD según la cifra que cita la empresa [11].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de la red china (XV Plan quinquenal)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red estatal prevé 4 billones CNY en 2026-2030 (+40 % frente al XIV Plan) y ejecutó 310.000 M en el 1S26 (+13 %)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Sustitución de contadores y AMI 2.0 fuera de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Penetración mundial del 56 % con objetivo del 70 % en 2030; Latinoamérica, Oriente Medio y África crecen más de un 10 % al año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eléctrica de los centros de datos de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Consumo eléctrico de servicios de datos +45 % en enero-mayo de 2026 en China; pedidos de centros de datos de Wayon 1.892 M (+153 %)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licitaciones de la red (volumen y precio)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licitaciones centralizadas de contadores de 2025 quedaron por debajo de la media histórica; la empresa espera +30 % de contratación con la red en 2026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y localización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Obliga a fabricar en México, Brasil o Hungría para servir EE. UU., Latinoamérica y Europa [11].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China compiten en cada licitación de la red estatal decenas de fabricantes (Sanxing, Linyang, Hexing, Holley…); Wasion fue primera en el 1S26 con solo 309 M de contratos [11].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redes estatales chinas y eléctricas públicas fuera; un cliente superó el 10 % de las ventas en 2025 (1.085 M) y los plazos de cobro llegan a 365 días o más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Componentes electrónicos y chips en parte propios (Willfar diseña chips de portadora); menos del 30 % de compras en los cinco primeros proveedores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homologaciones de la red y de cada país (ANSI, MID, DLMS) son una barrera; en centros de datos entran fabricantes eléctricos grandes [11].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contador inteligente no tiene sustituto; el riesgo es que el valor pase al software y a los servicios (28 % de los ingresos del sector) [11].</w:t>
            </w:r>
          </w:p>
        </w:tc>
      </w:tr>
    </w:tbl>
    <w:p>
      <w:pPr>
        <w:spacing w:after="160" w:before="0"/>
      </w:pPr>
    </w:p>
    <w:p>
      <w:pPr>
        <w:pStyle w:val="Heading2"/>
      </w:pPr>
      <w:r>
        <w:t xml:space="preserve">Ciclo</w:t>
      </w:r>
    </w:p>
    <w:p>
      <w:pPr>
        <w:spacing w:after="100"/>
      </w:pPr>
      <w:r>
        <w:t xml:space="preserve">La inversión de las dos redes chinas marcó récords en el 1S26 (cerca de 400.000 M CNY entre ambas, +13-15 %) y el XV Plan la sube un 40 % [11]. Las licitaciones de contadores, en cambio, bajaron en 2025 por debajo de la media y se recuperan en 2026. En 2020 la pandemia retrasó entregas y Wasion vendió un 8 % más que en 2019; en 2022 los confinamientos de China dejaron el margen EBITDA en el 15 % [1]. El tramo de centros de datos depende del gasto en IA, que hoy acelera.</w:t>
      </w:r>
    </w:p>
    <w:p>
      <w:pPr>
        <w:pStyle w:val="Heading2"/>
      </w:pPr>
      <w:r>
        <w:t xml:space="preserve">Regulación</w:t>
      </w:r>
    </w:p>
    <w:p>
      <w:pPr>
        <w:spacing w:after="100"/>
      </w:pPr>
      <w:r>
        <w:t xml:space="preserve">En China, la red estatal homologa y licita los contadores con especificaciones técnicas nuevas (norma de 2025, que obliga a renovar producto y relés de enclavamiento magnético) [11]. El XV Plan quinquenal (2026-2030) y el plan de «coordinación de cómputo y electricidad» (que exige más del 80 % de energía verde en los centros de datos nuevos de los nodos nacionales a fin de 2026) empujan la distribución y la medición; el plan de «seis redes» de 2026 prioriza la distribución inteligente con bonos especiales [11]. Fuera, los aranceles de EE. UU. y la certificación ANSI (obtenida por Wasion Americas en octubre de 2026) condicionan el acceso [22].</w:t>
      </w:r>
    </w:p>
    <w:p>
      <w:pPr>
        <w:pStyle w:val="Heading2"/>
      </w:pPr>
      <w:r>
        <w:t xml:space="preserve">Tendencias y disrupción</w:t>
      </w:r>
    </w:p>
    <w:p>
      <w:pPr>
        <w:spacing w:after="100"/>
      </w:pPr>
      <w:r>
        <w:t xml:space="preserve">El contador pasa de aparato a pasarela con IA en el borde (desagregación de cargas, detección de fraude) y el negocio a hardware más software y servicios [11]. La gran tendencia es la electrificación de los centros de datos: HVDC de 800 V, transformadores de estado sólido y refrigeración líquida, donde Wayon está en desarrollo y compite con Vertiv, Schneider o Eaton fuera y con Kehua o Sungrow en China [11]. Wasion gana con la localización industrial fuera de China (pedidos exteriores +108 %), pero pierde margen: lo que crece es de margen bruto más bajo [11].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Uno de los cinco primeros fabricantes chinos de contadores (primero en las licitaciones de la red estatal del 1S26) y ≈ 3 % del mercado mundial de medición inteligente (estimación propia: 6.509 M CNY de ventas de contadores y comunicaciones en 2025 sobre 28.830 M USD) [11, 19]. En distribución y centros de datos su cuota es pequeña.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Ningbo Sanxing Medical Electric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601567.SS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Contadores y distribución para la red china, más hospitales; margen operativo bajo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Jiangsu Linyang Energy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601222.SS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Contadores, distribución y renovables; caja neta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Hexing Electrical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603556.SS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más parecido: AMI sobre todo fuera de China (África, Latinoamérica)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Itron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ITRI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15.399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AMI en EE. UU., con mucho software y servicios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Landis+Gyr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LAND.SW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Contadores y AMI en Europa y EE. UU.; vendió EMEA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Kehua Data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002335.SZ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8.311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 de Wayon en energía para centros de datos (SAI, cabinas) [20].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cada licitación es independiente.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Homologaciones por país y compatibilidad con la plataforma AMI instalada (CPFL en Brasil, CFE en México renuevan pedidos anuales)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2.209 patentes y chips de comunicación propios de Willfar que cubren los estándares AMI de más del 70 % de los países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del grupo del 17,7 % en 2025 frente al 7,5-16,3 % de Sanxing, Linyang y Hexing; fábricas locales para evitar aranceles [1,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de contadores grande y fragmentado; la escala ayuda en compras pero no excluye a nadie [2].</w:t>
            </w:r>
          </w:p>
        </w:tc>
      </w:tr>
    </w:tbl>
    <w:p>
      <w:pPr>
        <w:spacing w:after="160" w:before="0"/>
      </w:pPr>
    </w:p>
    <w:p>
      <w:pPr>
        <w:pStyle w:val="Heading2"/>
      </w:pPr>
      <w:r>
        <w:t xml:space="preserve">Amenazas</w:t>
      </w:r>
    </w:p>
    <w:p>
      <w:pPr>
        <w:spacing w:after="100"/>
      </w:pPr>
      <w:r>
        <w:t xml:space="preserve">La principal es el precio: en la red china la rivalidad en licitaciones y en el exterior la competencia de otros chinos (Hexing, Holley) presionan el margen, y lo que más crece (centros de datos y distribución fuera) tiene menos margen bruto, como se vio en el 1S26 (31,3 % frente a 35,1 %) [11]. En centros de datos compite con grupos mucho mayores (Schneider, Vertiv, Eaton) y con chinos especializados (Kehua); si la inversión en IA se frena, el segmento que más crece se para. Probabilidad media.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bl>
    <w:p>
      <w:pPr>
        <w:spacing w:after="160" w:before="0"/>
      </w:pPr>
    </w:p>
    <w:p>
      <w:pPr>
        <w:spacing w:after="100"/>
      </w:pPr>
      <w:r>
        <w:t xml:space="preserve">Crecimiento anual compuesto 2021-2025: ingresos </w:t>
      </w:r>
      <w:r>
        <w:rPr>
          <w:b/>
          <w:bCs/>
        </w:rPr>
        <w:t xml:space="preserve">21,7 %</w:t>
      </w:r>
      <w:r>
        <w:t xml:space="preserve">, EBITDA </w:t>
      </w:r>
      <w:r>
        <w:rPr>
          <w:b/>
          <w:bCs/>
        </w:rPr>
        <w:t xml:space="preserve">31,9 %</w:t>
      </w:r>
      <w:r>
        <w:t xml:space="preserve">, BPA </w:t>
      </w:r>
      <w:r>
        <w:rPr>
          <w:b/>
          <w:bCs/>
        </w:rPr>
        <w:t xml:space="preserve">40,7 %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CNY,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pasan de 4.591 M CNY en 2021 a 10.074 M en 2025 (+21,8 % anual) y el beneficio atribuido de 268 a 1.058 M (+41 % anual) [1, 6, 10]. El crecimiento es orgánico: las compras de cinco años suman menos de 300 M y ninguna supera el 2 % de las ventas [1, 3, 5]. El margen bruto sube del 32,6 % de 2021 al 35,7 % de 2025 y el EBITDA (con la amortización del desarrollo capitalizado) del 15,4 % al 21,3 %, por mezcla (más distribución y centros de datos, más exterior) y apalancamiento de los gastos de venta y administración, que bajan del 13,4 % al 11,9 % de las ventas [6, 10]. El giro llega en 2026: en el 1S26 las ventas crecen un 23 % pero el margen bruto cae al 31,3 % (35,1 % un año antes), Willfar (energía con IA) vende un 22 % menos y el beneficio atribuido solo sube un 1 %, porque la parte que crece (servicios de energía digital, +98 %) es de margen menor y tiene más minoritarios [11, 14]. El BPA del 1S26 (0,444 CNY) es igual al del 1S25 con un 5 % más de acciones tras la colocación de abril [11, 15].</w:t>
      </w:r>
    </w:p>
    <w:p>
      <w:pPr>
        <w:pStyle w:val="Heading2"/>
      </w:pPr>
      <w:r>
        <w:t xml:space="preserve">Ajustes y partidas no recurrentes</w:t>
      </w:r>
    </w:p>
    <w:p>
      <w:pPr>
        <w:spacing w:after="100"/>
      </w:pPr>
      <w:r>
        <w:t xml:space="preserve">Cifras publicadas, sin ajustes. Partidas a vigilar: el deterioro de clientes (48,6 M en 2025, 99,4 M en 2024 y 35,6 M en el 1S26) va dentro del EBIT y es recurrente [6, 11]; la I+D capitalizada (162,9 M en 2025) entra como capex y su amortización (151,3 M) en el EBITDA del informe se suma de vuelta, de modo que el EBITDA es más alto que el de una empresa que la gasta [6]. En 2025 hay una plusvalía de 14,2 M por la venta de una filial a Harbour Equity (no recurrente, inferior al 1 % del beneficio) [1]. Desde 2026 las opciones de venta concedidas a los minoritarios de Wayon Energy generan un coste por actualización (en «otras pérdidas», 6,4 M en el 1S26) [12].</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Wasion publica semestres, sin conferencia con transcripción pública; se leen los dos últimos anuncios. En marzo de 2026 (resultados de 2025) la dirección vendía tres motores: centros de datos (pedidos duplicados), exterior y el ciclo de inversión de la red china, y el beneficio llegó al techo del aviso (1.058 M frente a 1.000-1.060 M) [6, 18]. En agosto, el discurso cambia de tono: se habla de pedidos récord (servicios de energía digital 4.469 M, +101 %; pedidos exteriores 4.435 M, +108 %; contratos de la red +46 %) y de que la contratación con la red crecerá más de un 30 % en 2026 por la base baja de 2025, pero el texto apenas explica la caída del margen bruto (31,3 % frente a 35,1 %), la caída del 22 % de Willfar ni el aumento de las cuentas a cobrar de 181-365 días (de 1.296 a 2.593 M en seis meses) [11]. Tampoco dice nada del estado de la salida a bolsa de Wayon Energy, solicitada el 27-ene-2026, mientras el informe intermedio revela 1.437 M de opciones de venta concedidas a sus minoritarios [12]. El mercado lo leyó como un beneficio por debajo de lo esperado: −13,8 % el 27-ago.</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12.672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13.880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15.727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6.236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circulante es el problema del modelo: cuentas a cobrar de 7.112 M a fin de 2025 (71 % de las ventas; 8.449 M en junio de 2026) financiadas con proveedores y pagarés (5.952 M) [6, 11]. La deuda bancaria baja de 2.837 M (2021) a 2.487 M (2025) y la caja neta mejora porque el flujo operativo de 2023 y 2025 cubrió el capex; en el 1S26 la caja sube a 3.995 M solo por financiación: colocación de 1.291 M netos y 570 M de inversores en Wayon, con flujo operativo negativo (−161 M) [12]. El coste medio de la deuda es ≈ 4,2 % (106,6 M de gastos financieros sobre 2.537 M de deuda media en 2025), con tipos del 0,75 % al 8,87 % según el país [6, 11].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1.826</w:t>
      </w:r>
      <w:r>
        <w:t xml:space="preserve">, conversión </w:t>
      </w:r>
      <w:r>
        <w:rPr>
          <w:b/>
          <w:bCs/>
        </w:rPr>
        <w:t xml:space="preserve">63 %</w:t>
      </w:r>
      <w:r>
        <w:t xml:space="preserve"> del beneficio neto; adquisiciones 288, dividendos 1.141, recompras 433.</w:t>
      </w:r>
    </w:p>
    <w:p>
      <w:pPr>
        <w:spacing w:after="100"/>
      </w:pPr>
      <w:r>
        <w:t xml:space="preserve">La conversión en caja es irregular: flujo operativo de 252 M en 2021 (beneficio 428 M), 863 M en 2022, 1.497 M en 2023, 927 M en 2024 y 1.408 M en 2025, y negativo en el 1S26 (−161 M) por existencias (+609 M) y clientes (+1.336 M) [1, 3, 5, 12]. El capex sube de 372 M a 634 M (6,3 % de las ventas en 2025), con ≈ 160-185 M al año de desarrollo capitalizado y fábricas nuevas en Indonesia, Malasia, México, Brasil, Sudáfrica y Hungría [1, 11]. Estimación propia: el mantenimiento ronda la amortización (≈ 370 M en 2025) y el resto, ≈ 260 M, es crecimiento. Tras capex, arrendamientos e intereses, el FCF acumulado de 2021-2025 es ≈ 1.826 M, por debajo de los 1.141 M de dividendos, 404 M de dividendos a minoritarios, 433 M de recompras de Willfar y 288 M de compras del periodo (2.266 M): la diferencia la cubrieron ventas de participaciones a minoritarios (487 M) y, en 2026, la colocación [1, 3, 5, 12].</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(Hong Kong)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cuestiones clave: deterioro de cuentas a cobrar y capitalización de gastos de desarrollo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cuentas son HKFRS auditadas por EY con opinión limpia [1]. Las dos cuestiones clave de auditoría son las que importan: las cuentas a cobrar brutas (7.449 M a fin de 2025, el 42 % del activo, con 413 M de deterioro estimado con un tasador externo) y la capitalización de desarrollo (428,6 M en balance; 162,9 M capitalizados en 2025, el 22 % del gasto en I+D) [1, 6]. La capitalización es estable (124-163 M al año) y su amortización la iguala (140-151 M), así que no infla el beneficio de forma visible [6, 7, 8, 9]. Lo que sí pesa es el circulante: el beneficio de 2021 se cobró a medias (flujo operativo 252 M) y en el 1S26 el flujo operativo es negativo con un beneficio de 651 M [5, 12]. El pago en acciones es pequeño (36,7 M en 2025, 3,5 % del beneficio) [1]. Los tres indicadores del motor se leen con esta cautela: un Beneish alto en 2025 o 2026 vendría del salto de clientes, que es real (el exterior y los centros de datos cobran a 90-365 días) pero también el principal riesgo de pérdidas [11].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Cuentas a cobrar de 181-365 días dobladas en el 1S26 (1.296 → 2.593 M)</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a red china y a clientes exteriores con hitos; el deterioro del 1S26 (35,6 M) bajó frente al 1S25 (70,3 M) pese al envejecimiento [11].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negativo en el 1S26 (−161 M) con beneficio de 651 M</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Existencias +609 M y clientes +1.336 M por los pedidos de centros de datos y exterior [12].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Opciones de venta a minoritarios de Wayon por 1.437 M</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Pasivo nuevo, contra reservas, que depende de la salida a bolsa de Wayon [12].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de desarrollo (22 % de la I+D)</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Estable y amortizada al mismo ritmo; cuestión clave de auditoría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7.456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331 M en 2025 (el 4 % del capital invertido medio); ha subido más de un 5 % en 0 de 4 años: sin compras. ROIC publicado 20,2 %; sin fondo de comercio, 21,2 %. Sin compras relevantes: el publicado ya es el ROIC del negocio.</w:t>
      </w:r>
    </w:p>
    <w:p>
      <w:pPr>
        <w:spacing w:after="100"/>
      </w:pPr>
      <w:r>
        <w:rPr>
          <w:b/>
          <w:bCs/>
        </w:rPr>
        <w:t xml:space="preserve">ROIC incremental</w:t>
      </w:r>
      <w:r>
        <w:t xml:space="preserve"> (variación del NOPAT sobre variación del capital invertido en el periodo): 96,6 % · </w:t>
      </w:r>
      <w:r>
        <w:rPr>
          <w:b/>
          <w:bCs/>
        </w:rPr>
        <w:t xml:space="preserve">WACC</w:t>
      </w:r>
      <w:r>
        <w:t xml:space="preserve">: 7,8 %.</w:t>
      </w:r>
    </w:p>
    <w:p>
      <w:pPr>
        <w:spacing w:after="100"/>
      </w:pPr>
      <w:r>
        <w:t xml:space="preserve">El ROIC del motor sube cada año: 7,0 % en 2021, 8,2 %, 12,5 %, 15,7 % y 20,2 % en 2025 (21,2 % sin el fondo de comercio), frente a un WACC del 7,78 %. Hasta 2022 la empresa no creaba valor; desde 2023 sí, y con margen. El motor del cambio es la rotación (de 0,36 a 0,7 veces el capital) más que el margen: las ventas se duplicaron con un capital invertido que solo creció un 17 % (de 6.352 a 7.456 M) [1, 5]. Por eso el ROIC incremental de 2021-2025 es altísimo (96,6 %). Ese patrón se ha roto en 2026: el circulante del 1S26 creció 1.900 M (clientes +1.336 M, existencias +609 M) con un beneficio plano, así que el ROIC de los últimos 12 meses ya baja [11, 12]. El ROE (18,1 % en 2025) queda por debajo del ROIC porque la caja y la parte de los minoritarios diluyen. Frente a los rivales: Hexing y Linyang ganan márgenes EBIT del 12-16 % con caja neta y Sanxing un 7,5 % [20]; Wasion está en la parte alta.</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-1.628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1.590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equivalentes 3.659,5 M + depósitos estructurados 135 M + productos financieros a corto 200 M (30-jun-2026), frente a 2.344,7 M de préstamos bancarios (1.440,3 M a menos de un año); además 393,5 M de depósitos pignorados que garantizan pagarés [11]. Neto: caja neta de ≈ 1.650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Lo que no parece deuda y lo es: (1) opciones de venta concedidas en 2026 a minoritarios de Wayon Energy, 1.436,8 M a coste amortizado, ejercitables durante tres años si se dan «hechos desencadenantes» (en la práctica, que no salga a bolsa) [12]; (2) pagarés a proveedores por 1.844 M dentro de proveedores (financiación de circulante con garantía de 393,5 M de depósitos) [11]; (3) 23,3 M de obligación de recompra de acciones restringidas de Willfar [12]. Las cuentas a cobrar brutas son 8.893 M (el 43 % del activo) con 444 M de deterioro, y la parte de 181-365 días se dobla en el 1S26 (2.593 M) [11]; el auditor las trata como la primera cuestión clave de auditoría [1]. Sin contingencias materiales declaradas; compromisos de capex de 79,9 M [11].</w:t>
      </w:r>
    </w:p>
    <w:p>
      <w:pPr>
        <w:pStyle w:val="Heading1"/>
      </w:pPr>
      <w:r>
        <w:t xml:space="preserve">12. Asignación de capital</w:t>
      </w:r>
    </w:p>
    <w:p>
      <w:pPr>
        <w:pStyle w:val="Confianza"/>
        <w:spacing w:after="100"/>
      </w:pPr>
      <w:r>
        <w:t xml:space="preserve">Confianza: Media</w:t>
      </w:r>
    </w:p>
    <w:p>
      <w:pPr>
        <w:spacing w:after="100"/>
      </w:pPr>
      <w:r>
        <w:t xml:space="preserve">Dividendo final anual (sin dividendo a cuenta) con un pago en torno al 40 % del beneficio: 0,48 HKD por acción con cargo a 2025 (0,422 CNY), frente a 0,38 HKD en 2024 y 0,20 HKD en 2021 [1, 6, 10]. En junio de 2026 anunció recompras en bolsa de hasta 200 M HKD y ha recomprado 13,2 M de acciones hasta el 16-oct (autocartera) [17]. La prioridad declarada para la caja de la colocación de abril (1.474 M HKD netos) es el exterior (34 %), relés de enclavamiento magnético y HVDC (15 %), I+D y fabricación (14 %), una compra en gestión digital de energía (14 %) y deuda y circulante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Filial (adquisición de una sociedad, nota 37)</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Pequeña; sin deterioro del fondo de comercio posterior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minoritarios de filiales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Aumento de participación; sin efecto en el perímetro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sociedades (gestión digital de energía y otra), 1S26</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de la colocación</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+38 M; demasiado pronto [12].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Ampliación de capital de Wayon Energy con Boyu Capital (8 % por 380 M; 570 M en total con otros inversores en 2026)</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 participación (entrada de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Valora Wayon en ≈ 4.750 M después de la ampliación; a cambio, opciones de venta de 1.437 M si no sale a bolsa [12, 16].</w:t>
            </w:r>
          </w:p>
        </w:tc>
      </w:tr>
    </w:tbl>
    <w:p>
      <w:pPr>
        <w:spacing w:after="160" w:before="0"/>
      </w:pPr>
    </w:p>
    <w:p>
      <w:pPr>
        <w:spacing w:after="100"/>
      </w:pPr>
      <w:r>
        <w:t xml:space="preserve">La dirección asigna capital con dos rasgos: reparte dividendo creciente y vende minorías de sus filiales para financiar el crecimiento (Willfar salió al STAR Market y Wasion bajó al 59,55 %; de Wayon ha vendido ≈ 8 puntos a inversores (del 68 % al ≈ 60 %)), en vez de endeudarse [1, 12]. El resultado es que los minoritarios ya se quedan con el 28,5 % del beneficio (31,5 % en el 1S26) [6, 11]. En abril de 2026, con la acción en máximos (31,94 HKD), colocó 50 M de acciones nuevas a 30 HKD (5 % de dilución): bien en el precio, pero en seis meses ha recomprado 13,2 M a 12-20 HKD, una cuarta parte de lo emitido [15, 17]. Las compras son pequeñas y sin deterioros; el ROIC y la dilución que calcula el motor dirán si el capital incremental rinde.</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Ji Wei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y fundador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Fundó el grupo en 2000 tras dirigir comercio exterior en empresas públicas de Hunan; 69 años. Con él las ventas pasaron de 3.000 M (2017) a 10.074 M (2025)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Kat Chit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Hijo del fundador, 42 años; banca de mercados de capitales en Macquarie (2007-2011); consejero desde 2014 y CEO desde junio de 2022, periodo en el que el beneficio se ha triplicado (324 → 1.058 M)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Choi Wai Lung Edward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y secretario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Contable colegiado en Hong Kong con más de 35 años de experiencia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 Hong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ejecutiva; presidenta de Willfar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Dirige Willfar, que llevó al STAR Market; sus ventas crecieron a 2.978 M en 2025 pero el beneficio cae un 34 % en el 1S26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Cao Zhao Hui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no ejecutiva; presidenta de Wayon Energy</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grupo desde 2000; Wayon duplicó ventas exteriores y pedidos en el 1S26 [1, 11].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Tian Zhongping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ejecutivo; presidente de Wasion Holdings International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Ingeniero de la casa desde 2002; responsable del exterior, cuyas ventas crecieron un 92 % en el 1S26 [1, 11].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Aviso de beneficio: 1.000-1.060 M CNY (+42-50 %)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1.058 M (+50 %)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Contratación con la red china +30 % en 2026 (cualitativa, agosto)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(1S26: pedidos de la red +53 %)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de la casa: el fundador preside, su hijo es CEO desde 2022 y los demás ejecutivos llevan 20-25 años [1]. No publica guía numérica más allá de los avisos obligatorios de beneficio; el de 2025 se cumplió en el techo [18]. La sucesión está resuelta dentro de la familia, lo que da continuidad pero concentra el poder. Lo que resta credibilidad es la comunicación de 2026: el semestre se presentó con titulares de pedidos y sin explicar la caída de margen, el freno de Willfar ni el estado de la salida a bolsa de Wayon [11]. A favor, el presidente ha comprado en bolsa en cinco ocasiones entre abril y agosto (≈ 2,0 M de acciones) [30].</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Ji Wei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Kat Chit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 Hong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Zheng Xiao Ping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Tian Zhongping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Cao Zhao Hui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Chan Cheong Tat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remuneraciones,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Jiang Xinjian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Zhang Libin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nombramientos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33 %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Cao Zhao Hui</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cuestiones clave: deterioro de cuentas a cobrar y capitalización de gastos de desarrollo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37,90 / ventas 14,70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Star Treasure Investments Holdings (Ji Wei)</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(familia fundadora)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 50 M y suscribe 50 M en la colocación de abril; compra ≈ 2,0 M en bolsa (abr-ago 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13,2 M de acciones recompradas desde junio de 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(Zheng, Cao, Li, Tian, Chan)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 Hong vende 0,58 M en abril</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 Hong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Ji Wei (presidente, vía Star Treasure)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Ji Wei</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Ji Wei</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Ji Wei</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Ji Wei</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Los consejeros cobran poco: el CEO 1,65 M CNY en 2025, todo en salario y prestaciones, y el presidente 0,55 M; el total de los ejecutivos es 8,4 M, con 1,9 M en acciones (Tian y Li) [1]. No hay variable a largo plazo ligado a ROIC, TSR o FCF; el plan de acciones nuevo de 2026 (aprobado con un 17,5 % en contra, ≈ 54 % del capital libre presente) deja la concesión al consejo [27]. La junta no vota un informe de remuneración (en Hong Kong solo autoriza al consejo a fijarla: 0,43 % en contra). El incentivo real de la familia es su 52 % del capital, no el sueldo. Sin cláusulas de recuperación publicadas.</w:t>
      </w:r>
    </w:p>
    <w:p>
      <w:pPr>
        <w:pStyle w:val="Heading2"/>
      </w:pPr>
      <w:r>
        <w:t xml:space="preserve">Operaciones vinculadas, estructura de control y defensas</w:t>
      </w:r>
    </w:p>
    <w:p>
      <w:pPr>
        <w:spacing w:after="100"/>
      </w:pPr>
      <w:r>
        <w:t xml:space="preserve">Ji Wei controla el 52 % a través de Star Treasure (BVI) y su hijo es CEO: decide la junta y el consejo [1, 12]. Seis de nueve consejeros son ejecutivos o del grupo; los tres independientes cumplen el mínimo de la bolsa y presiden auditoría. Una acción, un voto, sin blindajes estatutarios. Las vinculadas son pequeñas pero existen: Wayon vende almacenamiento a Renox (34,3 % de Ji Wei y Kat Chit) con límites de 150 M en 2026 y 300 M en 2027, y en diciembre de 2025 se vendió una filial a Harbour Equity Partners por 46 M, calificada como operación vinculada [28, 29]. Los minoritarios libres votaron en contra del mandato para emitir el 20 % del capital (≈ 68 % del capital libre presente) y del plan de acciones (≈ 54 %), que salieron adelante con el voto del control [27].</w:t>
      </w:r>
    </w:p>
    <w:p>
      <w:pPr>
        <w:pStyle w:val="Heading2"/>
      </w:pPr>
      <w:r>
        <w:t xml:space="preserve">Señales de alerta</w:t>
      </w:r>
    </w:p>
    <w:p>
      <w:pPr>
        <w:pStyle w:val="ListParagraph"/>
        <w:numPr>
          <w:ilvl w:val="0"/>
          <w:numId w:val="2"/>
        </w:numPr>
        <w:spacing w:after="60"/>
      </w:pPr>
      <w:r>
        <w:t xml:space="preserve">Colocación del 5 % a 30 HKD en abril de 2026, con el accionista de control como vendedor en el «top-up», a cuatro días del máximo; la acción cae un 64 % desde entonces [15].</w:t>
      </w:r>
    </w:p>
    <w:p>
      <w:pPr>
        <w:pStyle w:val="ListParagraph"/>
        <w:numPr>
          <w:ilvl w:val="0"/>
          <w:numId w:val="2"/>
        </w:numPr>
        <w:spacing w:after="60"/>
      </w:pPr>
      <w:r>
        <w:t xml:space="preserve">Ventas a Renox (34,3 % de la familia) con límites crecientes (150 M en 2026, 300 M en 2027) [28].</w:t>
      </w:r>
    </w:p>
    <w:p>
      <w:pPr>
        <w:pStyle w:val="ListParagraph"/>
        <w:numPr>
          <w:ilvl w:val="0"/>
          <w:numId w:val="2"/>
        </w:numPr>
        <w:spacing w:after="60"/>
      </w:pPr>
      <w:r>
        <w:t xml:space="preserve">Opciones de venta de 1.437 M concedidas a inversores de Wayon cuya salida a bolsa no aparece entre las solicitudes vivas de HKEX [12].</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Sin guía numérica. En el 1S26 la dirección espera que la contratación con la red china crezca más del 30 % en 2026 por la base baja de 2025, y que las mejoras de coste del nuevo contador se noten en el 2S26; Wayon suma más de 4.000 M CNY de pedidos exteriores en 2026 hasta el 8-oct (centros de datos y distribución) y el grupo 1.250 M en Oriente Medio a entregar en tres años (anuncios del 8 y 12-oct)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(6 analistas) y Stock Analysis/S&amp;P Global [34, 35]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15.827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(6 analistas) y Stock Analysis/S&amp;P Global [34, 35]</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12.290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2.335</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14.379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15.827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 0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20,30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17,93 – 23,11</w:t>
            </w:r>
          </w:p>
        </w:tc>
      </w:tr>
    </w:tbl>
    <w:p>
      <w:pPr>
        <w:spacing w:after="160" w:before="0"/>
      </w:pPr>
    </w:p>
    <w:p>
      <w:pPr>
        <w:pStyle w:val="Heading2"/>
      </w:pPr>
      <w:r>
        <w:t xml:space="preserve">Revisiones de estimaciones</w:t>
      </w:r>
    </w:p>
    <w:p>
      <w:pPr>
        <w:spacing w:after="100"/>
      </w:pPr>
      <w:r>
        <w:t xml:space="preserve">Recortes: el BPA de 2026 del consenso pasa de 1,352 a 1,137 CNY en 90 días (−16 %) y el de 2027 de 1,606 a 1,382 (−14 %) tras el semestre [35]. Los objetivos también bajan: Guoyuan de 26,80 a 21,00 HKD (25-sep), CICC y Citi en 22,00 HKD (29-ago), frente a 32,00 de J.P. Morgan en junio y 32,60 de Emperor en mayo [34, 39]. La media de 23,82 HKD (siete analistas, todos «comprar») va por detrás del precio: la acción cotiza un 48 % por debajo. Solo hay una fuente gratuita con estimaciones completas (Yahoo/S&amp;P); el objetivo y las recomendaciones se contrastan con Stock Analysis.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-63,1 %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cerró a 12,28 HKD el 16-oct-2026, un 63,7 % por debajo del máximo de 33,80 HKD del 17-abr y un 3,8 % por encima del mínimo de 52 semanas (11,83 HKD, 15-oct) [33]. El 64 % de caída del cribado es cierto y tiene cinco causas, por orden: (1) una subida previa que no venía del beneficio: de 7,19 HKD a fin de 2024 a 17,13 a fin de 2025 y 33,80 en abril (×4,7) con la euforia por la energía de los centros de datos de IA, la entrada en el Hang Seng compuesto y el Stock Connect y la solicitud de salida a bolsa de Wayon [24, 26, 33]; (2) la colocación del accionista de control del 21-abr (50 M de acciones a 30 HKD; −11,4 % el 28-abr) [15]; (3) la caducidad de la solicitud de Wayon a finales de julio (−10,4 % el 28-jul; causa probable, sin anuncio de la empresa); (4) Willfar, con un beneficio del 1S26 un 33,7 % menor (17-ago) [14]; y (5) unos resultados del 1S26 con el beneficio plano (+1 %), el margen bruto del 35,1 % al 31,3 % y los clientes de 181-365 días doblados (−13,8 % el 27-ago) [11]. Ni las recompras (13,2 M de acciones) ni las compras del presidente frenaron la caída [17, 30]. A cinco años rinde un 34 % anual frente al −1,3 % del Hang Seng [33]. Beta mensual de cinco años de 0,56 (semanal de dos años 0,91); volatilidad del 63 % [33].</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-12,8 % / -31,3 % / -61,9 % / -8,0 %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-62,9 % / +2,3 %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2027-03-26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20"/>
        <w:gridCol w:w="1098"/>
        <w:gridCol w:w="4147"/>
        <w:gridCol w:w="1220"/>
        <w:gridCol w:w="1953"/>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c>
          <w:tcPr>
            <w:tcW w:type="dxa" w:w="1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Condición</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nov-2025 a feb-2026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Euforia por la energía para centros de datos de IA, beneficio de 2025 un 50 % mayor (aviso del 6-mar), ronda de Boyu en Wayon (dic-2025), solicitud de salida a bolsa de Wayon (27-ene) y entrada en el Hang Seng compuesto y el Stock Connect (9-mar) [16, 18, 24, 26, 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abr-may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Colocación del accionista de control (50 M de acciones a 30 HKD, 21-abr; −11,4 % el 28-abr) y venta de la consejera Li Hong (7-abr); en mayo, salida de dinero de los valores de energía para IA sin noticia propia (−5 % a −7 % el 12, 15, 21 y 27-may) [15, 30, 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Caduca la solicitud de salida a bolsa de Wayon a los seis meses (≈ 27-jul; −10,4 % el 28-jul); la empresa no lo anuncia y no ha vuelto a presentarla [24, 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los inversores de Wayon ejercen las opciones de venta (1.437 M), ya restadas en el puente, no cambia el valor; si la empresa renuncia a la salida a bolsa, revisar el valor de Wayon en la suma de partes</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ago-sep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Willfar gana un 33,7 % menos en el 1S26 (17-ago; −6,5 % y −6,9 % el 18 y 19-ago) y el grupo presenta un beneficio plano con el margen bruto en el 31,3 % y los clientes de 181-365 días doblados (27-ago; −13,8 %); los analistas recortan objetivos (CICC y Citi a 22 HKD, Guoyuan de 26,80 a 21 HKD) [11, 14, 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c>
          <w:tcPr>
            <w:tcW w:type="dxa" w:w="1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585"/>
        <w:gridCol w:w="3904"/>
        <w:gridCol w:w="1220"/>
        <w:gridCol w:w="1831"/>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c>
          <w:tcPr>
            <w:tcW w:type="dxa" w:w="18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Condición</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en bolsa: 13,2 M de acciones en autocartera desde junio (≈ 193 M HKD), dentro del programa de hasta 200 M HKD [17, 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exteriores: más de 4.000 M CNY de Wayon en 2026 hasta el 8-oct y 1.250 M en Oriente Medio a entregar en tres años [22, 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Guoyuan baja el objetivo de 26,80 a 21,00 HKD; antes CICC y Citi en 22 HKD (29-ago). Los siete analistas mantienen comprar [34].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2026-08-27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ventas +23 %, beneficio +1 %, margen bruto 31,3 % (35,1 %), flujo operativo −161 M y opciones de venta de 1.437 M a minoritarios de Wayon [11, 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Caduca la solicitud de salida a bolsa de Wayon Energy (formulario A1 del 27-ene); no figura entre las solicitudes activas de HKEX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Revisar si se anuncia la renuncia a la salida a bolsa o el ejercicio de las opciones de venta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junta renueva el mandato general para emitir hasta el 20 % del capital, con ≈ 68 % del capital libre presente en contra: queda abierta otra colocación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se anuncia otra colocación, retrasar hasta su precio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Colocación con suscripción: Star Treasure (presidente) vende 50 M de acciones a 30 HKD y suscribe 50 M nuevas; 1.474 M HKD netos para la empresa [15].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2026-04-07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consejera Li Hong (presidenta de Willfar) vende 0,58 M acciones; el presidente compra ≈ 2 M entre abril y agosto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La caída tiene causas que el informe recoge: una subida que fue por delante del beneficio, la colocación del control, el freno de Willfar, el margen del 1S26 y el circulante. No hay un hecho pendiente con fecha que pueda mover el precio más de un 5 % en contra: la colocación ya se hizo, las opciones de venta de Wayon están restadas en el puente y los próximos resultados (Willfar a finales de octubre, el grupo hacia el 26-mar-2027) no retrasan. El riesgo abierto es otra colocación con el mandato general; si se anuncia, se retrasa hasta su precio.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Wasion cotiza hoy a 8,6 veces nuestro BPA de 2027e, por encima de su mediana adelantada de cinco años (6,3 veces) y por debajo de la media de ocho años (9,0). Durante una década el mercado pagó 4-9 veces el beneficio del año siguiente por un fabricante de contadores para la red china con ROIC del 7-8 %; solo el cierre de 2025 (14,7 veces nuestro BPA de 2026e), en plena euforia de los centros de datos, se sale de ese rango [33]. El EV/EBITDA de los últimos 12 meses (7,1 veces) está en el percentil 80 de su historia. La pregunta es si el ROIC del 20 % merece un múltiplo de calidad: los comparables chinos cotizan a 10-12 veces y Willfar, su filial, a 14,4 veces [40]. La regla común no lo supone: lleva el PER hacia la mediana con un tope del 10 %.</w:t>
      </w:r>
    </w:p>
    <w:p>
      <w:pPr>
        <w:pStyle w:val="Heading1"/>
      </w:pPr>
      <w:r>
        <w:t xml:space="preserve">18. Comparables cotizados</w:t>
      </w:r>
    </w:p>
    <w:p>
      <w:pPr>
        <w:pStyle w:val="Confianza"/>
        <w:spacing w:after="100"/>
      </w:pPr>
      <w:r>
        <w:t xml:space="preserve">Confianza: Media</w:t>
      </w:r>
    </w:p>
    <w:p>
      <w:pPr>
        <w:spacing w:after="100"/>
      </w:pPr>
      <w:r>
        <w:t xml:space="preserve">Fabricantes de contadores y AMI (Sanxing, Linyang, Hexing en China; Itron y Landis+Gyr fuera), dos de equipos de red chinos que compiten con Wayon en distribución (NARI, XJ Electric) y uno de energía para centros de datos (Kehua Data). Se excluye Willfar porque es filial consolidada, y Holley por no cotizar. PER y crecimiento de los próximos 12 meses con el consenso de Yahoo (2026e y 2027e ponderados 2,5/9,5 meses; Landis+Gyr cierra en marzo), EV/EBITDA de los últimos 12 meses del mismo proveedor; capitalizaciones en CNY al cambio del BCE del 16-oct [35, 36].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Wasion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Ningbo Sanxing Medical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Jiangsu Linyang Energy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12.431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Hexing Electrical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NARI Technology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184.650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XJ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23.203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Itron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24.311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Landis+Gyr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Kehua Data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19.267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 / 12,6x / 16,1x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 / 13,9x / 18,1x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11.073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 / 1,6x / 2,0x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+22,7 %</w:t>
            </w:r>
          </w:p>
        </w:tc>
      </w:tr>
    </w:tbl>
    <w:p>
      <w:pPr>
        <w:spacing w:after="160" w:before="0"/>
      </w:pPr>
    </w:p>
    <w:p>
      <w:pPr>
        <w:spacing w:after="100"/>
      </w:pPr>
      <w:r>
        <w:t xml:space="preserve">Wasion es el comparable más barato y uno de los más rentables: PER de los próximos 12 meses de 7,8 veces frente a una mediana de 13,8, y EV/EBITDA de 7,1 veces frente a 8,6-17,2 en los chinos, con un margen EBITDA del 19,9 % (Sanxing 7,8 %, Linyang 16,8 %, Hexing 15,1 %) [20, 35]. El descuento tiene tres explicaciones: es una acción de Hong Kong (las de Shanghái y Shenzhen cotizan con prima), el 31 % del beneficio es de minoritarios y la calidad del beneficio de 2026 (circulante, margen) está en duda. Su propia filial Willfar cotiza a 14,4 veces y vale 11.579 M CNY: la participación del 59,55 % equivale al 64 % de la capitalización de Wasion [40]. Peso del 15 % en la síntesis porque la mediana mezcla negocios distintos (NARI y Kehua cotizan como valores de red y de IA).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Ventas de 12.290 M en 2026e (+22 %): el 1S26 creció un 23 % y los pedidos de energía digital (+101 %) y del exterior (+108 %) aseguran el 2S [11]. Después +17 %, +13 %, +9 %, +6 % y +3,5 % en 2031e: media del 11,8 % en 2026-2031e frente al 21,7 % anual de 2021-2025 [1, 5]. El consenso espera 12.871 M y 15.827 M en 2026-2027e: estamos un 4,5 % y un 9 % por debajo [35]. El mercado de contadores crece un 10 % anual y la red china invertirá un 40 % más en 2026-2030 [11, 19].</w:t>
      </w:r>
    </w:p>
    <w:p>
      <w:pPr>
        <w:keepNext/>
        <w:spacing w:after="100"/>
      </w:pPr>
      <w:r>
        <w:rPr>
          <w:b/>
          <w:bCs/>
        </w:rPr>
        <w:t xml:space="preserve">Márgenes.</w:t>
      </w:r>
    </w:p>
    <w:p>
      <w:pPr>
        <w:spacing w:after="100"/>
      </w:pPr>
      <w:r>
        <w:t xml:space="preserve">Margen EBITDA del 19,0 % en 2026e-2028e, por debajo del 21,3 % de 2025 y en línea con el 19,9 % de los últimos 12 meses: el 1S26 bajó al 17,2 % por la mezcla (centros de datos y exterior, de menor margen) y Willfar [11]. Baja al 18,5 % en 2030-2031e por la competencia en distribución y centros de datos. Sigue por encima de Sanxing (7,8 %) y en el rango de Linyang y Hexing (15-17 %) [20].</w:t>
      </w:r>
    </w:p>
    <w:p>
      <w:pPr>
        <w:keepNext/>
        <w:spacing w:after="100"/>
      </w:pPr>
      <w:r>
        <w:rPr>
          <w:b/>
          <w:bCs/>
        </w:rPr>
        <w:t xml:space="preserve">Inversión y circulante.</w:t>
      </w:r>
    </w:p>
    <w:p>
      <w:pPr>
        <w:spacing w:after="100"/>
      </w:pPr>
      <w:r>
        <w:t xml:space="preserve">Capex del 5,8 % de las ventas en 2026e (6,3 % en 2025, con 160-185 M de desarrollo capitalizado y fábricas en el exterior) que sube al 6,5 % en 2027e y baja al 4,5 % en 2031e; amortización del 3,7-4,0 % [1]. El circulante pasa del 33 % al 38 % de las ventas: el exterior y los centros de datos cobran a 90-365 días y en junio de 2026 ya era el 32 % [11]. Impuestos del 15-16 % (14,9 % en 2025, filiales de alta tecnología al 15 %) [1].</w:t>
      </w:r>
    </w:p>
    <w:p>
      <w:pPr>
        <w:keepNext/>
        <w:spacing w:after="100"/>
      </w:pPr>
      <w:r>
        <w:rPr>
          <w:b/>
          <w:bCs/>
        </w:rPr>
        <w:t xml:space="preserve">Coste del capital.</w:t>
      </w:r>
    </w:p>
    <w:p>
      <w:pPr>
        <w:spacing w:after="100"/>
      </w:pPr>
      <w:r>
        <w:t xml:space="preserve">Tasa libre del 1,65 % (bono del Estado chino a 10 años, ChinaBond, 19-oct-2026: 1,6497 %) en CNY, la divisa de los flujos [37]. Beta de 1,1: la mensual de cinco años frente al Hang Seng es de 0,56 y la semanal de dos años de 0,91, pero el índice de Hong Kong no recoge el riesgo de un fabricante pequeño que depende de licitaciones; uso la beta de los fabricantes de equipos eléctricos [33]. Prima de mercado del 5,5 % y prima adicional del 1,0 % (China, control familiar, minoritarios). Coste de la deuda del 4,2 % (106,6 M de gastos sobre 2.537 M de deuda media) y peso del 18 % [1]. WACC del 7,78 %.</w:t>
      </w:r>
    </w:p>
    <w:p>
      <w:pPr>
        <w:keepNext/>
        <w:spacing w:after="100"/>
      </w:pPr>
      <w:r>
        <w:rPr>
          <w:b/>
          <w:bCs/>
        </w:rPr>
        <w:t xml:space="preserve">Valor terminal.</w:t>
      </w:r>
    </w:p>
    <w:p>
      <w:pPr>
        <w:spacing w:after="100"/>
      </w:pPr>
      <w:r>
        <w:t xml:space="preserve">Crecimiento a perpetuidad del 1,0 % en CNY, por debajo de la tasa libre (1,65 %) menos medio punto [37]. Gordon implica 8,4 veces el EBITDA de 2031e, por debajo de los comparables chinos (8,6-17,2) y del múltiplo de salida de contraste (9 veces) [20]. Pesa el 81 % del valor empresa porque los primeros flujos se los come el circulante.</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Flujo de caja libre para la empresa proyectado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32.351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20.394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25.222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De dónde sale el valor empresa del DCF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24,71</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6.070 M (49 %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 (ROIC 20,2 %)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 frente al 11,8 %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14,1 % (histórico: 96,6 %)</w:t>
            </w:r>
          </w:p>
        </w:tc>
      </w:tr>
    </w:tbl>
    <w:p>
      <w:pPr>
        <w:spacing w:after="160" w:before="0"/>
      </w:pPr>
    </w:p>
    <w:p>
      <w:pPr>
        <w:spacing w:after="100"/>
      </w:pPr>
      <w:r>
        <w:t xml:space="preserve">La proyección reinvierte el 49 % del NOPAT. Con el ROIC del último ejercicio (20,2 %), eso financia un crecimiento del 9,9 % anual, frente al 11,8 % de ingresos proyectado. Supone que el capital nuevo rinde un 14,1 %, frente a un ROIC incremental histórico del 96,6 %.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pedidos de energía digital del 1S26 de 4.469 M (+101 %, centros de datos 1.892 M) y exteriores de 4.435 M (+108 %); precio a la baja en contadores y distribución [11].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contratos de la red china +30 % (base baja de 2025), Oriente Medio (1.250 M a tres años) y Wayon en el exterior (&gt; 4.000 M) [11, 22, 23].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XV Plan quinquenal de la red china (4 billones CNY en 2026-2030) y sustitución de contadores fuera de China (AMI 2.0) [11, 21].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Convergencia hacia el crecimiento del mercado de medición (10 % anual) con precio a la baja [19].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maduro: volumen del 7 % y precio −1 % [19].</w:t>
            </w:r>
          </w:p>
        </w:tc>
      </w:tr>
    </w:tbl>
    <w:p>
      <w:pPr>
        <w:spacing w:after="160" w:before="0"/>
      </w:pPr>
    </w:p>
    <w:p>
      <w:pPr>
        <w:spacing w:after="100"/>
      </w:pPr>
      <w:r>
        <w:t xml:space="preserve">Sí, con una salvedad. La proyección reinvierte el 49 % del NOPAT (6.070 M en seis años, casi todo en circulante): con la fórmula simple (reinversión × ROIC del 20,2 %) financia un 9,9 % anual frente al 11,8 % proyectado, pero el cálculo directo dice que el capital nuevo solo tiene que rendir un 14,1 %, por debajo del ROIC de 2025 y muy por debajo del incremental histórico (96,6 %): la proyección no pide al capital nuevo más de lo que ha dado. La salvedad es el circulante: si los clientes siguen alargando plazos como en el 1S26, la reinversión será mayor y el ROIC bajará. La cuota de mercado mundial pasa del 3,2 % a ≈ 4 % en 2031e, coherente con un foso estrecho y con el crecimiento del exterior [19].</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(2027e-2031e)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 (base: 9,7 %)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14,2 % (base: 18,5 %)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11,3 % (WACC: 7,8 %)</w:t>
            </w:r>
          </w:p>
        </w:tc>
      </w:tr>
    </w:tbl>
    <w:p>
      <w:pPr>
        <w:spacing w:after="160" w:before="0"/>
      </w:pPr>
    </w:p>
    <w:p>
      <w:pPr>
        <w:spacing w:after="100"/>
      </w:pPr>
      <w:r>
        <w:t xml:space="preserve">El DCF da 19,72 CNY por acción (23,15 HKD), un 88,5 % más que el precio, con un WACC del 7,78 % y un crecimiento terminal del 1 %; el valor terminal pesa el 81 %. El precio de 10,46 CNY implica una rentabilidad anual del 11,3 %, 3,5 puntos por encima del WACC: el mercado pide mucho más que nuestro coste de capital, por el riesgo de cobro, el descuento de Hong Kong y los minoritarios. El DCF inverso no tiene solución porque el circulante (33-38 % de las ventas) hace que crecer más apenas añada valor. El valor es sensible al circulante y al margen: cada 5 puntos de circulante sobre ventas restan ≈ 1.000 M, y cada punto de margen EBITDA en toda la proyección mueve el valor un 6 %. Con la prima implícita del mercado (4,2 %) el valor sube a 25,41 CNY.</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ciclo de centros de datos se enfría en 2027, la red china recorta licitaciones y los clientes del exterior pagan tarde: las ventas de 2027e crecen solo un 5 % y el margen EBITDA cae al 16 %, sin recuperarse del todo (−2,5 puntos frente al base). Es lo que ya apuntó el 1S26: margen bruto −3,9 puntos y Willfar −22 % en ventas [11, 14].</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pedidos de 2026 se convierten en ventas: +22 % en 2026e y +17 % en 2027e, frenando al 3,5 % en 2031e, con el margen EBITDA estabilizado en el 19 % y el circulante subiendo al 38 % de las ventas.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Wayon gana cuota en energía para centros de datos en el exterior y la red china acelera con el XV Plan: crecimiento 4 puntos mayor cada año y margen 1,5 puntos más alto, cerca de lo que espera el consenso para 2027e (15.827 M de ventas) [35].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Valor por acción por escenario (CNY) · precio actual 10,4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rPr>
          <w:b/>
          <w:bCs/>
        </w:rPr>
        <w:t xml:space="preserve">Valor ponderado por probabilidad:</w:t>
      </w:r>
      <w:r>
        <w:t xml:space="preserve"> 18,85 CNY (+80,2 %).</w:t>
      </w:r>
    </w:p>
    <w:p>
      <w:pPr>
        <w:spacing w:after="100"/>
      </w:pPr>
      <w:r>
        <w:t xml:space="preserve">El bajista del DCF (11,90 CNY) queda un 13,8 % por encima del precio: el mercado descuenta algo peor que nuestro bajista, un margen que no se recupera y cobros que no llegan. El alcista (24,04 CNY, +129,8 %) supone el crecimiento del consenso. Con probabilidades de 25/50/25 el valor ponderado de los escenarios es de 18,85 CNY. La asimetría del DCF es muy favorable, pero el objetivo a 12 meses por PER no lo es (bajista −54,7 % con el dividendo), porque el mercado nunca ha pagado por Wasion el múltiplo que da el DCF.</w:t>
      </w:r>
    </w:p>
    <w:p>
      <w:pPr>
        <w:pStyle w:val="Heading1"/>
      </w:pPr>
      <w:r>
        <w:t xml:space="preserve">22. Suma de partes</w:t>
      </w:r>
    </w:p>
    <w:p>
      <w:pPr>
        <w:pStyle w:val="Confianza"/>
        <w:spacing w:after="100"/>
      </w:pPr>
      <w:r>
        <w:t xml:space="preserve">Confianza: Media</w:t>
      </w:r>
    </w:p>
    <w:p>
      <w:pPr>
        <w:spacing w:after="100"/>
      </w:pPr>
      <w:r>
        <w:t xml:space="preserve">Las tres partes suman ≈ 20.170 M de valor empresa frente a los 15.654 M del grupo en bolsa. La pieza clave es Willfar, que cotiza en Shanghái a 14,4 veces su beneficio: la participación del 59,55 % vale ≈ 6.900 M, el 64 % de la capitalización de Wasion, y deja los contadores y Wayon a un precio implícito muy bajo [40]. Los resultados de los segmentos suman el EBIT del grupo (1.778,7 M frente a 1.778,3 M), así que no hay costes centrales que restar [1]. Riesgos: el precio de Willfar puede bajar (−52 % en un año) y la ronda de Wayon es de antes de la caducidad de su solicitud.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Eficiencia energética con IA (Willfar, 59,55 %)</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en bolsa</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10.627</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Capitalización de Willfar (688100.SS) el 16-oct, 11.579 M CNY, menos su caja neta (952 M): 10.627 M al 100 %; el 40,45 % de terceros se resta en el puente a valor de mercado [40].</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Servicios de energía digital (Wayon Energy, ≈ 60 %)</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de la ronda de Boyu</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Boyu pagó 380 M CNY por el 8 % (dic-2025): 4.750 M después de la ampliación, ≈ 9 veces el resultado del segmento de 2025 (521 M). Se toma como valor empresa (sin deuda neta publicada de Wayon) [16].</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Soluciones de red inteligente (contadores)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 del segmento 2025</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599</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4.790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veces el resultado operativo del segmento (598,7 M en 2025), el EV/EBIT de los fabricantes chinos de contadores (Sanxing, Linyang, Hexing: EV/EBITDA de 8,6-17 veces con márgenes menores) [1, 20].</w:t>
            </w:r>
          </w:p>
        </w:tc>
      </w:tr>
    </w:tbl>
    <w:p>
      <w:pPr>
        <w:spacing w:after="160" w:before="0"/>
      </w:pPr>
    </w:p>
    <w:p>
      <w:pPr>
        <w:spacing w:after="100"/>
      </w:pPr>
      <w:r>
        <w:rPr>
          <w:b/>
          <w:bCs/>
        </w:rPr>
        <w:t xml:space="preserve">Valor por acción por suma de partes:</w:t>
      </w:r>
      <w:r>
        <w:t xml:space="preserve"> 14,83 (+41,7 %); con ±1x en los múltiplos, 11,90 – 17,75.</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5" name="Gráfico 25" descr="Valor por acción según cada método (CNY) · precio actual 10,4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18,09 CNY (+72,9 % sobre 10,46).</w:t>
      </w:r>
    </w:p>
    <w:p>
      <w:pPr>
        <w:spacing w:after="100"/>
      </w:pPr>
      <w:r>
        <w:t xml:space="preserve">Pesos: DCF 35 %, suma de partes 25 %, escenarios 25 % y comparables 15 %. La suma de partes pesa porque una parte cotiza (Willfar) y otra tiene precio reciente (la ronda de Wayon): es la medida más ligada al mercado. El DCF pesa más que los comparables porque el descuento de Hong Kong y el de los minoritarios deforman el PER relativo. Sin transacciones con múltiplo publicado. La dispersión es amplia pero todos los métodos quedan por encima del precio: comparables 18,46, suma de partes 14,83, DCF 19,72. El puente parte del balance de junio de 2026: minoritarios de Willfar a mercado (4.684 M) y el resto a valor contable sin los 570 M cubiertos por las opciones de venta de Wayon, que van como deuda (1.437 M) junto con ≈ 153 M de recompras pagadas desde junio [12, 17].</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(8.6x) ÷ 1.1 (tope: la mediana de 5 años, 6.3x,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+66,7 %</w:t>
            </w:r>
          </w:p>
        </w:tc>
      </w:tr>
    </w:tbl>
    <w:p>
      <w:pPr>
        <w:spacing w:after="160" w:before="0"/>
      </w:pPr>
    </w:p>
    <w:p>
      <w:pPr>
        <w:spacing w:after="100"/>
      </w:pPr>
      <w:r>
        <w:rPr>
          <w:b/>
          <w:bCs/>
        </w:rPr>
        <w:t xml:space="preserve">Objetivo a 12 meses (ponderado):</w:t>
      </w:r>
      <w:r>
        <w:t xml:space="preserve"> 10,68 CNY (12,54 HKD) · rentabilidad +6,1 % (base +6,2 %) · señal Mantener.</w:t>
      </w:r>
    </w:p>
    <w:p>
      <w:pPr>
        <w:spacing w:after="100"/>
      </w:pPr>
      <w:r>
        <w:t xml:space="preserve">Para comparar, con la regla v2 (historia al cierre, mismo precio): 6,8x / 8,6x / 11,1x, 19,2 % Comprar; con el tope anterior del base (×1,3, 14-oct mediodía): 1,5 %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2026e (1,05) queda un 8 % por debajo del consenso (1,14) y el de 2027e (1,22), un 12 % por debajo (1,38) [35]. La diferencia es de ventas y margen: el consenso espera 15.827 M en 2027e y nosotros 14.379 M con un margen EBITDA del 19 %, porque el 1S26 mostró que lo que crece (centros de datos, exterior) deja menos margen y más minoritarios. El precio base (10,69 CNY) queda un 47 % por debajo del objetivo medio de los analistas (20,30 CNY), que está fuera de nuestro rango: los analistas pagan 15-17 veces el beneficio y la regla común, 7,8 veces, porque Wasion nunca ha cotizado a más de 9 veces de forma sostenida.</w:t>
      </w:r>
    </w:p>
    <w:p>
      <w:pPr>
        <w:keepNext/>
        <w:spacing w:after="100"/>
      </w:pPr>
      <w:r>
        <w:rPr>
          <w:b/>
          <w:bCs/>
        </w:rPr>
        <w:t xml:space="preserve">Del valor intrínseco al objetivo a 12 meses.</w:t>
      </w:r>
    </w:p>
    <w:p>
      <w:pPr>
        <w:spacing w:after="100"/>
      </w:pPr>
      <w:r>
        <w:t xml:space="preserve">El objetivo a 12 meses (ponderado 10,68 CNY; base 10,69) queda un 41 % por debajo del valor intrínseco (18,09). La distancia es de múltiplo: el DCF paga el ROIC del 20 % y el mercado nunca ha pagado más de 9 veces el beneficio a Wasion, salvo en la euforia de 2025. Para cerrarla haría falta que el beneficio de 2026-2027 vuelva a crecer con caja (cobros de los clientes de 181-365 días), que Wayon salga a bolsa con valor visible o que Willfar recupere el beneficio. Ninguno tiene fecha en 12 meses: la tesis es a 2-3 años.</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hasta 31-oct-2026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del 3T26 de Willfar (Shanghái)</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Dirá si el freno del 1S26 (ventas −22 %, beneficio −33,7 %) continúa [14]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nov-dic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Licitaciones centralizadas de contadores de la red estatal china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y precio de 2027; la empresa espera +30 % de contratación en 2026 [11, 21]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solicitud de salida a bolsa de Wayon Energy o ejercicio de las opciones de venta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visible de Wayon o salida de 1.437 M de caja [12, 24]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26-mar-2027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dividendo final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del 2S26, cobro de clientes y flujo operativo; dividendo de ≈ 0,42 CNY [6]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hasta la junta de mayo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(hasta 200 M HKD, casi agotado)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13,2 M de acciones recompradas; una ampliación del programa sería una señal [17, 31]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Entregas de los pedidos exteriores (Oriente Medio 1.250 M; Wayon &gt; 4.000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del exterior; margen y plazos de cobro por confirmar [22, 23]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que no pagan: cuentas a cobrar de 8.893 M brutos (el 43 % del activo), con el tramo de 181-365 días doblado en el 1S26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−20 % (deterioro de 1.000-2.000 M)</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mayoría son redes estatales chinas que pagan tarde pero pagan; el deterioro histórico es del 0,5-1 % de las ventas [1,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de más de 180 días por encima de 3.000 M o deterioro anual por encima de 150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a la baja por la mezcla (centros de datos, exterior) y la competencia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 por cada 2 puntos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bajo y fábricas locales; el contador nuevo mejora costes en el 2S26 según la dirección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grupo por debajo del 30 % en un semestre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Willfar sigue cayendo (beneficio del 1S26 −33,7 %)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(la participación es el 64 % de la capitalización)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3.823 M y contratos nuevos de 1.306 M en el 1S26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Willfar de 9M26 por debajo del año anterior</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Wayon no sale a bolsa y los inversores ejercen las opciones de venta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(caja de 1.437 M que sale; ya restada en el puente)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de ≈ 1.650 M y flujo operativo positivo en el año [11, 12].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renuncia a la salida a bolsa o de ejercicio de las opciones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Otra colocación o dilución por el accionista de control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presidente ha comprado en bolsa y la empresa recompra [17, 30].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Uso del mandato general de emisión (hasta el 20 %)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Licitaciones de la red china: volumen y precio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puesto en las licitaciones de la red estatal del 1S26; XV Plan con +40 % de inversión [11, 21].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Contratación con la red en 2026 por debajo de +30 %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y riesgo de país en el exterior (México, Brasil, África, Oriente Medio)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Fábricas en México, Brasil, Hungría, Indonesia y Malasia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de EE. UU. a contadores fabricados en México con componentes chinos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Control familiar y minoritarios crecientes en las filiales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 del 40 % del beneficio y recompras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Nuevas ventas de participaciones de filiales por debajo de su valor</w:t>
            </w:r>
          </w:p>
        </w:tc>
      </w:tr>
    </w:tbl>
    <w:p>
      <w:pPr>
        <w:spacing w:after="160" w:before="0"/>
      </w:pPr>
    </w:p>
    <w:p>
      <w:pPr>
        <w:pStyle w:val="Heading2"/>
      </w:pPr>
      <w:r>
        <w:t xml:space="preserve">Pre-mortem</w:t>
      </w:r>
    </w:p>
    <w:p>
      <w:pPr>
        <w:spacing w:after="100"/>
      </w:pPr>
      <w:r>
        <w:t xml:space="preserve">Octubre de 2029: Wasion vale un 40 % menos. Lo que pasó: el 1S26 era el principio. Los clientes de centros de datos del exterior y algunas redes de África y Oriente Medio alargaron los pagos y en 2027 la empresa tuvo que deteriorar 1.200 M de cuentas a cobrar; el flujo operativo fue negativo dos años y la caja neta pasó a deuda. Willfar siguió perdiendo ventas porque la red china cambió el estándar de comunicaciones y entró la competencia. Wayon nunca salió a bolsa: los inversores ejercieron las opciones de venta y la familia volvió a colocar acciones con descuento. El margen EBITDA bajó al 15 % por la guerra de precios en distribución. El mercado, que solo pagaba 8 veces, bajó a 6. Las señales que lo habrían anticipado: los clientes de más de 180 días por encima de 3.000 M en el balance de 2026, el margen bruto por debajo del 30 % y un segundo uso del mandato de emisión.</w:t>
      </w:r>
    </w:p>
    <w:p>
      <w:pPr>
        <w:pStyle w:val="Heading2"/>
      </w:pPr>
      <w:r>
        <w:t xml:space="preserve">Riesgo de inteligencia artificial</w:t>
      </w:r>
    </w:p>
    <w:p>
      <w:pPr>
        <w:spacing w:after="100"/>
      </w:pPr>
      <w:r>
        <w:rPr>
          <w:b/>
          <w:bCs/>
        </w:rPr>
        <w:t xml:space="preserve">Exposición:</w:t>
      </w:r>
      <w:r>
        <w:t xml:space="preserve"> Alta · </w:t>
      </w:r>
      <w:r>
        <w:rPr>
          <w:b/>
          <w:bCs/>
        </w:rPr>
        <w:t xml:space="preserve">Sentido:</w:t>
      </w:r>
      <w:r>
        <w:t xml:space="preserve"> Mixto · </w:t>
      </w:r>
      <w:r>
        <w:rPr>
          <w:b/>
          <w:bCs/>
        </w:rPr>
        <w:t xml:space="preserve">Efecto en valor (3-5 años):</w:t>
      </w:r>
      <w:r>
        <w:t xml:space="preserve"> +10 % a −15 %</w:t>
      </w:r>
    </w:p>
    <w:p>
      <w:pPr>
        <w:spacing w:after="100"/>
      </w:pPr>
      <w:r>
        <w:t xml:space="preserve">La IA es la razón de la subida y de buena parte de la caída. A favor: los centros de datos multiplican la demanda de distribución eléctrica, cabinas prefabricadas, HVDC y refrigeración líquida; los pedidos de centros de datos de Wayon crecieron un 153 % en el 1S26 (1.892 M) y el consumo eléctrico de los servicios de datos en China, un 45 % [11]. En contra: es demanda de un ciclo de inversión (si los hiperescaladores frenan el capex, los pedidos caen de golpe), deja menos margen que los contadores y cobra más tarde; y el segmento que se presenta como «eficiencia energética con IA» (Willfar) es el que cae (−22 % en ventas). La IA no amenaza el producto (contadores y equipos de red). Señal: pedidos de centros de datos de Wayon en el 2S26 y anuncios de recorte de capex de los grandes clientes de la nube.</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asuntos que mueven las cifras son tres: la calidad y seguridad del producto (un fallo de lote en contadores o en cabinas de centros de datos obliga a sustituir a cargo del fabricante; la empresa pagó penalizaciones por retraso de entregas en el 1S26) [11]; el cobro a eléctricas públicas de países emergentes (riesgo de crédito y de país en África, Oriente Medio y Latinoamérica) [11]; y la transición energética, que es su mercado: el negocio está alineado con la electrificación y la eficiencia, y el informe ESG de 2025 da cifras de emisiones propias sin coste material de CO₂ [1].</w:t>
      </w:r>
    </w:p>
    <w:p>
      <w:pPr>
        <w:pStyle w:val="Heading2"/>
      </w:pPr>
      <w:r>
        <w:t xml:space="preserve">Controversias</w:t>
      </w:r>
    </w:p>
    <w:p>
      <w:pPr>
        <w:spacing w:after="100"/>
      </w:pPr>
      <w:r>
        <w:t xml:space="preserve">Sin sanciones, litigios ni incidentes relevantes en los últimos tres años en los anuncios de HKEX, los informes anuales (sin contingencias materiales) ni la prensa revisada [1, 11].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Cobros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¿Quiénes son los clientes del tramo de 181-365 días (2.593 M) y qué parte es de redes estatales chinas y qué parte del exterior y de centros de datos?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mayor riesgo de valor: un deterioro de 1.000-2.000 M.</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bruto tienen los pedidos de centros de datos y del exterior y cuándo llega la mejora de coste del contador nuevo?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bruto cayó 3,9 puntos en el 1S26.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Wayon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volverá a presentar la solicitud de salida a bolsa de Wayon? ¿Qué pasa con las opciones de venta de 1.437 M si no sale?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Caducó a los seis meses sin anuncio; la suma de partes depende de su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Willfar</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caen un 22 % las ventas de Willfar en el 1S26 y cuándo se recuperan?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participación es el 64 % de la capitalización de Wasion.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Colocación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 qué hacía falta colocar 1.474 M HKD en abril con caja neta, y por qué recomprar después a la mitad de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 y alineación con el minoritario.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Minoritarios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parte del beneficio irá a minoritarios en 2027 con Wayon al 60 % y Willfar al 59,55 %?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 es el 31,5 % en el 1S26.</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Negativo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Eastmoney Guba (03393), jul-oct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Mayoría de titulares de pedidos y recompras; los mensajes de inversores alternan «垃圾股» (acción basura) y «跌就是送钱» (caer es regalar dinero); un hilo debate si conviene más comprar Wasion en Hong Kong o Willfar en Shanghái [30].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Eastmoney Guba (03393), abr-jun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Enfado con la colocación tras la subida («股价拉高再配股», subir el precio y colocar) y con los inversores atrapados del Stock Connect que compraron a 24-26 HKD [41].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Simply Wall St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Actualizaciones automáticas de objetivo tras los recortes de analistas; poco debate propio [42].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Colocación en máximos por el accionista de control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50 M de acciones a 30 HKD el 21-abr, cerca del máximo de 33,80; desde entonces −59 % [30, 41].</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exteriores y centros de datos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pedidos existen (Wayon &gt; 4.000 M en el exterior en 2026), pero el 1S26 mostró que convierten en ventas con menos margen [30].</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Willfar frente a Wasion (qué cotiza más barato)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Willfar a 23,55 CNY, la participación del 59,55 % vale ≈ 6.900 M CNY, el 64 % de la capitalización de Wasion [30].</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 y compras del presidente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Ciertas: 13,2 M de acciones recompradas y ≈ 2 M compradas por Ji Wei; no han frenado la caída [30].</w:t>
            </w:r>
          </w:p>
        </w:tc>
      </w:tr>
    </w:tbl>
    <w:p>
      <w:pPr>
        <w:spacing w:after="160" w:before="0"/>
      </w:pPr>
    </w:p>
    <w:p>
      <w:pPr>
        <w:spacing w:after="100"/>
      </w:pPr>
      <w:r>
        <w:t xml:space="preserve">El inversor chino de Stock Connect, que entró con la inclusión en el Hang Seng compuesto, está atrapado y castiga la acción; el tono es de capitulación (mensajes de «vender en el suelo») más que de euforia. Esto contradice al consenso de analistas (siete «comprar» con objetivos un 48-90 % por encima). El foro no aporta riesgos nuevos, pero confirma dos: la desconfianza por la colocación del control y la duda sobre si los pedidos se traducen en beneficio. Ninguna cifra del informe sale de aquí.</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16 de 20 controles correctos y 4 explicados. Fuentes: 42 (28 primarias); citas distintas en el texto: 41.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11,6 %: explica la causa (créditos fiscales, regularizaciones, mezcla de países) y no lo proyectes en el DCF. Explicación: El 11,6 % de 2023 sale de la conciliación del informe anual: sobre un 25 % legal, las filiales de alta tecnología tributan al 15 % (−88,1 M) y deducen el 200 % de la I+D (−81,8 M); con 67,0 M de gastos no deducibles queda en 100,1 M sobre 860,7 M de beneficio antes de impuestos [3]. No se proyecta: el DCF usa del 15 % al 16 %, por encima del 14,9 % de 2025.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hay solución en un rango razonable: revisa circulante, capex o márgenes del DCF (un supuesto extremo hace que el valor no responda al crecimiento). Explicación: No tiene solución porque el circulante es del 33-38 % de las ventas: cada punto de crecimiento extra consume casi tanta caja como el valor que añade, y el valor apenas responde al crecimiento. La lectura del precio se hace con la rentabilidad implícita (11,3 % frente a un WACC del 7,78 %) y con el objetivo a 12 meses por PER.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14,1 % frente a un ROIC de 20,2 % y un incremental histórico de 96,6 %: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33,0 % frente a 28,8 % real: genera una variación de circulante de 1.154 M en el primer año. Converge de forma gradual. Explicación: El 28,8 % es el de diciembre de 2025. A 30-jun-2026 el circulante comercial (existencias 2.047 M + clientes 8.335 M netos + activos de contrato 404 M − proveedores y pagarés 7.077 M) es ≈ 3.560 M, el 32 % de las ventas de los últimos 12 meses (11.073 M), porque los clientes de 181-365 días se doblaron [11]. El 33 % de 2026e parte de ahí y sube al 36-38 % porque crecen los centros de datos y el exterior, que cobran a 90-365 días. Es un supuesto prudente: resta valor.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81 %. Explicación: El 81 % viene de que los flujos de 2026-2028e están deprimidos por la inversión en circulante (1.000-1.150 M al año); el terminal equivale a 8,4 veces el EBITDA de 2031e, por debajo de los comparables (8,6-17,2 veces) [20].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42 fuentes (28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32.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anios_auditor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gobierno 2025 (solo nombra a EY); 2) informes anuales 2021-2023 (EY ya era el auditor); 3) circular de la junta 2026 (reelección sin fecha de primer nombramiento)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(1S24-1S25)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Anuncios de resultados (no comparan con consenso); 2) Guba y prensa (sin consenso previo publicado); 3) Emperor Capital (solo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 y tcac_historico_pct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intermedio 1S26 (sin cuotas); 2) MarketsandMarkets resumen público (sin cuotas ni histórico); 3) IMARC y Grand View (resúmenes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ESG 2025 (no cita calificaciones externas); 2) búsqueda MSCI y Sustainalytics para 3393; 3) Hang Seng ESG (sin ficha pública)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remuneracion_ceo.ratio_salario_medio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(gasto de personal sin plantilla media); 2) informe ESG (plantilla, sin coste); 3) cálculo con 5.448 empleados descartado por mezclar filiales y países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Anuncios de HKEX de Wasion (solo la ampliación de Wayon con Boyu, sin múltiplo publicado); 2) operaciones del sector (Itron, Landis+Gyr, Hubbell-Aclara) sin múltiplo verificable en fuente primaria a menos de siete años; 3) prensa china sobre compras de fabricantes de contadores (sin múltiplos)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ev_ebitda_ntm y roic_pct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(sin EBITDA de consenso); 2) MarketScreener (pide registro); 3) Stock Analysis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HKEX short selling turnover (solo volumen diario); 2) SFC posiciones cortas agregadas (no abre sin navegador);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(foros occidentales)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Seeking Alpha RSS (sin cobertura de 3393); 2) Stocktwits (sin flujo); 3) Reddit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2025 (estados consolidados, notas de segmentos, minoritarios de Willfar, deterioro de clientes, remuneración, flujos)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Wasion Holdings Limited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https://www1.hkexnews.hk/listedco/listconews/sehk/2026/0422/2026042201403.pdf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2024 (estados consolidados 2024 y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Wasion Holdings Limited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https://www1.hkexnews.hk/listedco/listconews/sehk/2025/0423/2025042300881.pdf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2023 (flujos de 2023 y 2022, patrimonio)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Wasion Holdings Limited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https://www1.hkexnews.hk/listedco/listconews/sehk/2024/0411/2024041100258.pdf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2022 (patrimonio 2022 y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Wasion Holdings Limited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https://www1.hkexnews.hk/listedco/listconews/sehk/2023/0420/2023042001009.pdf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2021 (flujos 2021, resumen financiero de cinco años 2017-2021)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Wasion Holdings Limited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https://www1.hkexnews.hk/listedco/listconews/sehk/2022/0428/2022042801763.pdf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Announcement of the annual results for the year ended 31 December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Wasion Holdings Limited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https://www1.hkexnews.hk/listedco/listconews/sehk/2026/0326/2026032600357.pdf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Announcement of the annual results for the year ended 31 December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Wasion Holdings Limited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https://www1.hkexnews.hk/listedco/listconews/sehk/2025/0327/2025032700269.pdf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Announcement of the annual results for the year ended 31 December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Wasion Holdings Limited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https://www1.hkexnews.hk/listedco/listconews/sehk/2024/0315/2024031500223.pdf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Announcement of the annual results for the year ended 31 December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Wasion Holdings Limited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https://www1.hkexnews.hk/listedco/listconews/sehk/2023/0327/2023032700238.pdf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Announcement of the annual results for the year ended 31 December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Wasion Holdings Limited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https://www1.hkexnews.hk/listedco/listconews/sehk/2022/0328/2022032801882.pdf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Announcement of the interim results for the six months ended 30 June 2026 (cuenta, balance, segmentos, geografías, pedidos)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Wasion Holdings Limited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https://www1.hkexnews.hk/listedco/listconews/sehk/2026/0827/2026082700157.pdf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2026 (flujos del 1S26, opciones de venta concedidas a minoritarios de Wayon Energy, participaciones)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Wasion Holdings Limited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https://www1.hkexnews.hk/listedco/listconews/sehk/2026/0918/2026091800305.pdf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2025 (cuenta del 1S25 y del 1S24, amortizaciones)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Wasion Holdings Limited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https://www1.hkexnews.hk/listedco/listconews/sehk/2025/0916/2025091600475.pdf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Unaudited financial information of Willfar Information Technology for the six months ended 30 June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Wasion Holdings Limited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https://www1.hkexnews.hk/listedco/listconews/sehk/2026/0817/2026081700464.pdf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Top-up placing of existing shares and subscription of new shares under general mandate (50 M acciones a 30,00 HKD)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Wasion Holdings Limited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https://www1.hkexnews.hk/listedco/listconews/sehk/2026/0421/2026042100013.pdf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Voluntary announcement – capital increase agreement with Boyu Capital (8 % de Wayon Energy por 380 M CNY)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Wasion Holdings Limited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https://www1.hkexnews.hk/listedco/listconews/sehk/2025/1224/2025122400367.pdf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Next Day Disclosure Return (acciones en circulación y autocartera a 16-oct-2026)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Wasion Holdings Limited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https://www1.hkexnews.hk/listedco/listconews/sehk/2026/1016/2026101600691.pdf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Positive profit alert (beneficio 2025 de 1.000-1.060 M CNY)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Wasion Holdings Limited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https://www1.hkexnews.hk/listedco/listconews/sehk/2026/0306/2026030600210.pdf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Smart Meter Market – Global Forecast to 2031 (resumen público)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MarketsandMarkets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https://www.marketsandmarkets.com/Market-Reports/smart-meter-market-609.html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Ningbo Sanxing, Linyang, Hexing, Itron, Landis+Gyr, NARI, XJ Electric y Kehua Data (ventas, margen operativo y EBITDA de los últimos 12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https://finance.yahoo.com/quote/ITRI/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Voluntary announcement – State Grid tender results (contratos acumulados de 383 M CNY en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Wasion Holdings Limited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https://www1.hkexnews.hk/listedco/listconews/sehk/2026/0507/2026050701878.pdf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Voluntary announcement – latest update on the development of overseas business (1.250 M CNY en Oriente Medio)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Wasion Holdings Limited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https://www1.hkexnews.hk/listedco/listconews/sehk/2026/1012/2026101200043.pdf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Voluntary announcement – recent new overseas orders of Wayon Energy (&gt; 4.000 M CNY en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Wasion Holdings Limited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https://www1.hkexnews.hk/listedco/listconews/sehk/2026/1008/2026100800326.pdf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Proposed spin-off and separate listing of Wayon Energy Technology on the Main Board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Wasion Holdings Limited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https://www1.hkexnews.hk/listedco/listconews/sehk/2026/0127/2026012700891.pdf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惟远能源递表港交所 (cifras del folleto de solicitud: ventas y beneficio 2023-9M25, accionistas)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Sina Finance / Zhitong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https://cj.sina.com.cn/articles/view/5835524730/15bd30a7a020023bk8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Inclusion of the Company as a constituent stock of the Hang Seng Composite Index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Wasion Holdings Limited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https://www1.hkexnews.hk/listedco/listconews/sehk/2026/0220/2026022000137.pdf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Poll results of the annual general meeting held on 15 May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Wasion Holdings Limited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https://www1.hkexnews.hk/listedco/listconews/sehk/2026/0515/2026051501927.pdf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Continuing connected transactions (Wayon Energy – Renox Technology, 34,3 % de Ji Wei y Kat Chit)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Wasion Holdings Limited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https://www1.hkexnews.hk/listedco/listconews/sehk/2025/1114/2025111400797.pdf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Connected transaction – disposal of entire equity interest in a subsidiary (46 M CNY a Harbour Equity Partners)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Wasion Holdings Limited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https://www1.hkexnews.hk/listedco/listconews/sehk/2025/1224/2025122400383.pdf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Avisos de compras del presidente Ji Wei (abril-agosto de 2026) y venta de Li Hong (abril), resumidos en el foro de Eastmoney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Guba (noticias de Zhitong y Gelonghui)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https://guba.eastmoney.com/list,hk03393.html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Voluntary announcement – intention to conduct on-market share repurchase (hasta 200 M HKD)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Wasion Holdings Limited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https://www1.hkexnews.hk/listedco/listconews/sehk/2026/0616/2026061600602.pdf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Grant of share awards (410.000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Wasion Holdings Limited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https://www1.hkexnews.hk/listedco/listconews/sehk/2026/0901/2026090103587.pdf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3393.HK, ^HSI y 2800.HK (precio, rango, volumen, rentabilidades, beta, volatilidad, cierres de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https://finance.yahoo.com/quote/3393.HK/history/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Wasion Holdings (3393) – Stock forecast: precio objetivo, recomendaciones y estimaciones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https://stockanalysis.com/quote/hkg/3393/forecast/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Estimaciones de consenso (earningsTrend) y datos de valoración de Wasion y de los comparables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https://finance.yahoo.com/quote/3393.HK/analysis/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(CNY, HKD, USD, CHF) del 16-oct-2026 e histórico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https://www.ecb.europa.eu/stats/eurofxref/eurofxref-hist-90d.xml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中债国债收益率曲线 (curva de deuda pública china): 10 años, 19-oct-2026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ChinaBond (China Central Depository &amp; Clearing)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https://yield.chinabond.com.cn/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Wasion Holdings (3393): nota tras la colocación (objetivo 32,60 HKD, PER 17,5x)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Emperor Capital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https://www.emperorcapital.com/en/market-trend/company-research-report-1/20260514-wasion-holdings-3393/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Willfar Information Technology (688100.SS): cotización y capitalización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https://finance.yahoo.com/quote/688100.SS/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威胜控股(03393) 股吧 – hilos de abril-junio de 2026 (colocación, caída, compras del presidente)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Guba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https://guba.eastmoney.com/list,hk03393_4.html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Wasion Holdings – narrativas y cambios de objetivo de la comunidad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(comunidad)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https://simplywall.st/community/narratives/hk/tech/hkg-3393/wasion-holdings-shares/nas3p848-3393-new-contracts-and-steady-metrics-will-shape-outlook-after-recent-tender-wins/updates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88,1 %</w:t>
      </w:r>
      <w:r>
        <w:t xml:space="preserve"> · Secciones con menos del 60 % de campos cubiertos: </w:t>
      </w:r>
      <w:r>
        <w:rPr>
          <w:b/>
          <w:bCs/>
        </w:rPr>
        <w:t xml:space="preserve">transacciones</w:t>
      </w:r>
      <w:r>
        <w:t xml:space="preserve"> · Generado el 19 oct 2026.</w:t>
      </w:r>
    </w:p>
    <w:p>
      <w:pPr>
        <w:pStyle w:val="Nota"/>
        <w:spacing w:after="100"/>
      </w:pPr>
      <w:r>
        <w:t xml:space="preserve">Cotiza solo en Hong Kong (3393.HK, en HKD) y publica en CNY: todas las cifras del informe van en CNY y el precio se convierte al cambio del BCE del 16-oct-2026 (0,85194 CNY por HKD) [36]. Desde marzo de 2026 está en el Stock Connect, así que el inversor chino de acciones A marca buena parte del precio [26]. Cuentas HKFRS auditadas por EY (2021-2025) y semestrales sin auditar (1S24-1S26), descargadas de HKEXnews; no hay XBRL [1, 2, 3, 4, 5, 13]. La filial Willfar (59,55 %) publica en normas chinas en Shanghái: sus cifras sueltas no cuadran con las consolidadas [14]. El folleto de solicitud de Wayon Energy en Hong Kong ya no está publicado (la solicitud caducó a los seis meses); sus cifras salen de la prensa china que lo resumió [25]. Sin transcripciones de conferencias. Consenso de una sola fuente gratuita con estimaciones completas (Yahoo, S&amp;P Global), contrastada con Stock Analysis [34, 35]. El cierre usado es el del 16-oct: el 19-oct (Chung Yeung) la bolsa de Hong Kong estuvo cerrada [33].</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Wasion Holdings Limited (威勝控股有限公司) (3393.HK)</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(CNY) · precio actual 10,46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(10,08 – 28,80)</c:v>
                </c:pt>
                <c:pt idx="1">
                  <c:v>Precio objetivo de los analistas (17,93 – 23,11)</c:v>
                </c:pt>
                <c:pt idx="2">
                  <c:v>Comparables: PER NTM (15,90 – 24,13)</c:v>
                </c:pt>
                <c:pt idx="3">
                  <c:v>DCF (WACC y g ± 0,5) (16,62 – 23,89)</c:v>
                </c:pt>
                <c:pt idx="4">
                  <c:v>Escenarios (bajista – alcista) (11,90 – 24,04)</c:v>
                </c:pt>
                <c:pt idx="5">
                  <c:v>Suma de partes (11,90 – 17,75)</c:v>
                </c:pt>
                <c:pt idx="6">
                  <c:v>DCF con la prima implícita del mercado (4,2 %)</c:v>
                </c:pt>
                <c:pt idx="7">
                  <c:v>Precio actual (10,46)</c:v>
                </c:pt>
              </c:strCache>
            </c:strRef>
          </c:cat>
          <c:val>
            <c:numRef>
              <c:f>Hoja1!$B$2:$B$9</c:f>
              <c:numCache>
                <c:formatCode>#,##0.0</c:formatCode>
                <c:ptCount val="8"/>
                <c:pt idx="0">
                  <c:v>10.08</c:v>
                </c:pt>
                <c:pt idx="1">
                  <c:v>17.93</c:v>
                </c:pt>
                <c:pt idx="2">
                  <c:v>15.9</c:v>
                </c:pt>
                <c:pt idx="3">
                  <c:v>16.62</c:v>
                </c:pt>
                <c:pt idx="4">
                  <c:v>11.9</c:v>
                </c:pt>
                <c:pt idx="5">
                  <c:v>11.9</c:v>
                </c:pt>
                <c:pt idx="6">
                  <c:v>22.71</c:v>
                </c:pt>
                <c:pt idx="7">
                  <c:v>10.41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(10,08 – 28,80)</c:v>
                </c:pt>
                <c:pt idx="1">
                  <c:v>Precio objetivo de los analistas (17,93 – 23,11)</c:v>
                </c:pt>
                <c:pt idx="2">
                  <c:v>Comparables: PER NTM (15,90 – 24,13)</c:v>
                </c:pt>
                <c:pt idx="3">
                  <c:v>DCF (WACC y g ± 0,5) (16,62 – 23,89)</c:v>
                </c:pt>
                <c:pt idx="4">
                  <c:v>Escenarios (bajista – alcista) (11,90 – 24,04)</c:v>
                </c:pt>
                <c:pt idx="5">
                  <c:v>Suma de partes (11,90 – 17,75)</c:v>
                </c:pt>
                <c:pt idx="6">
                  <c:v>DCF con la prima implícita del mercado (4,2 %)</c:v>
                </c:pt>
                <c:pt idx="7">
                  <c:v>Precio actual (10,46)</c:v>
                </c:pt>
              </c:strCache>
            </c:strRef>
          </c:cat>
          <c:val>
            <c:numRef>
              <c:f>Hoja1!$C$2:$C$9</c:f>
              <c:numCache>
                <c:formatCode>#,##0.0</c:formatCode>
                <c:ptCount val="8"/>
                <c:pt idx="0">
                  <c:v>18.72</c:v>
                </c:pt>
                <c:pt idx="1">
                  <c:v>5.18</c:v>
                </c:pt>
                <c:pt idx="2">
                  <c:v>8.229999999999999</c:v>
                </c:pt>
                <c:pt idx="3">
                  <c:v>7.27</c:v>
                </c:pt>
                <c:pt idx="4">
                  <c:v>12.139999999999999</c:v>
                </c:pt>
                <c:pt idx="5">
                  <c:v>5.85</c:v>
                </c:pt>
                <c:pt idx="6">
                  <c:v>5.939999999999998</c:v>
                </c:pt>
                <c:pt idx="7">
                  <c:v>0.09999999999999964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8"/>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(CNY, millones)</a:t>
            </a:r>
          </a:p>
        </c:rich>
      </c:tx>
      <c:overlay val="0"/>
    </c:title>
    <c:autoTitleDeleted val="0"/>
    <c:plotArea>
      <c:layout/>
      <c:barChart>
        <c:barDir val="col"/>
        <c:grouping val="stacked"/>
        <c:varyColors val="0"/>
        <c:ser>
          <c:idx val="0"/>
          <c:order val="0"/>
          <c:tx>
            <c:strRef>
              <c:f>Hoja1!$B$1</c:f>
              <c:strCache>
                <c:ptCount val="1"/>
                <c:pt idx="0">
                  <c:v>Soluciones de red inteligente (antes AMI eléctrico)</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1714.4</c:v>
                </c:pt>
                <c:pt idx="1">
                  <c:v>2059.3</c:v>
                </c:pt>
                <c:pt idx="2">
                  <c:v>2650.4</c:v>
                </c:pt>
                <c:pt idx="3">
                  <c:v>3198.8</c:v>
                </c:pt>
                <c:pt idx="4">
                  <c:v>3652.1</c:v>
                </c:pt>
              </c:numCache>
            </c:numRef>
          </c:val>
        </c:ser>
        <c:ser>
          <c:idx val="1"/>
          <c:order val="1"/>
          <c:tx>
            <c:strRef>
              <c:f>Hoja1!$C$1</c:f>
              <c:strCache>
                <c:ptCount val="1"/>
                <c:pt idx="0">
                  <c:v>Eficiencia energética con IA (Willfar, 59,55 %)</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1719.4</c:v>
                </c:pt>
                <c:pt idx="1">
                  <c:v>1901.9</c:v>
                </c:pt>
                <c:pt idx="2">
                  <c:v>2117</c:v>
                </c:pt>
                <c:pt idx="3">
                  <c:v>2614.8</c:v>
                </c:pt>
                <c:pt idx="4">
                  <c:v>2857.1</c:v>
                </c:pt>
              </c:numCache>
            </c:numRef>
          </c:val>
        </c:ser>
        <c:ser>
          <c:idx val="2"/>
          <c:order val="2"/>
          <c:tx>
            <c:strRef>
              <c:f>Hoja1!$D$1</c:f>
              <c:strCache>
                <c:ptCount val="1"/>
                <c:pt idx="0">
                  <c:v>Servicios de energía digital (Wayon Energy)</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1156.9</c:v>
                </c:pt>
                <c:pt idx="1">
                  <c:v>1894.7</c:v>
                </c:pt>
                <c:pt idx="2">
                  <c:v>2484.9</c:v>
                </c:pt>
                <c:pt idx="3">
                  <c:v>2903</c:v>
                </c:pt>
                <c:pt idx="4">
                  <c:v>3564.3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Soluciones de red inteligente (antes AMI eléctrico)</c:v>
                </c:pt>
                <c:pt idx="1">
                  <c:v>Eficiencia energética con IA (Willfar, 59,55 %)</c:v>
                </c:pt>
                <c:pt idx="2">
                  <c:v>Servicios de energía digital (Wayon Energy)</c:v>
                </c:pt>
              </c:strCache>
            </c:strRef>
          </c:cat>
          <c:val>
            <c:numRef>
              <c:f>Hoja1!$B$2:$B$4</c:f>
              <c:numCache>
                <c:formatCode>General</c:formatCode>
                <c:ptCount val="3"/>
                <c:pt idx="0">
                  <c:v>36.3</c:v>
                </c:pt>
                <c:pt idx="1">
                  <c:v>28.4</c:v>
                </c:pt>
                <c:pt idx="2">
                  <c:v>35.4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China</c:v>
                </c:pt>
                <c:pt idx="1">
                  <c:v>América</c:v>
                </c:pt>
                <c:pt idx="2">
                  <c:v>Asia sin China</c:v>
                </c:pt>
                <c:pt idx="3">
                  <c:v>África</c:v>
                </c:pt>
                <c:pt idx="4">
                  <c:v>Europa y otros</c:v>
                </c:pt>
              </c:strCache>
            </c:strRef>
          </c:cat>
          <c:val>
            <c:numRef>
              <c:f>Hoja1!$B$2:$B$6</c:f>
              <c:numCache>
                <c:formatCode>0"%"</c:formatCode>
                <c:ptCount val="5"/>
                <c:pt idx="0">
                  <c:v>70.2</c:v>
                </c:pt>
                <c:pt idx="1">
                  <c:v>13.1</c:v>
                </c:pt>
                <c:pt idx="2">
                  <c:v>11.6</c:v>
                </c:pt>
                <c:pt idx="3">
                  <c:v>4.4</c:v>
                </c:pt>
                <c:pt idx="4">
                  <c:v>0.7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2025</c:v>
                </c:pt>
                <c:pt idx="1">
                  <c:v>2026e</c:v>
                </c:pt>
                <c:pt idx="2">
                  <c:v>2031e</c:v>
                </c:pt>
              </c:strCache>
            </c:strRef>
          </c:cat>
          <c:val>
            <c:numRef>
              <c:f>Hoja1!$B$2:$B$4</c:f>
              <c:numCache>
                <c:formatCode>#,##0</c:formatCode>
                <c:ptCount val="3"/>
                <c:pt idx="0">
                  <c:v>28830</c:v>
                </c:pt>
                <c:pt idx="1">
                  <c:v>31600</c:v>
                </c:pt>
                <c:pt idx="2">
                  <c:v>50820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5</c:v>
                </c:pt>
                <c:pt idx="2">
                  <c:v>2</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Wasion</c:v>
                </c:pt>
                <c:pt idx="1">
                  <c:v>Ningbo Sanxing Medical Electric</c:v>
                </c:pt>
                <c:pt idx="2">
                  <c:v>Jiangsu Linyang Energy</c:v>
                </c:pt>
                <c:pt idx="3">
                  <c:v>Hexing Electrical</c:v>
                </c:pt>
                <c:pt idx="4">
                  <c:v>Itron</c:v>
                </c:pt>
                <c:pt idx="5">
                  <c:v>Landis+Gyr</c:v>
                </c:pt>
                <c:pt idx="6">
                  <c:v>Kehua Data</c:v>
                </c:pt>
              </c:strCache>
            </c:strRef>
          </c:cat>
          <c:val>
            <c:numRef>
              <c:f>Hoja1!$B$2:$B$8</c:f>
              <c:numCache>
                <c:formatCode>0.0"%"</c:formatCode>
                <c:ptCount val="7"/>
                <c:pt idx="0">
                  <c:v>17.7</c:v>
                </c:pt>
                <c:pt idx="1">
                  <c:v>7.5</c:v>
                </c:pt>
                <c:pt idx="2">
                  <c:v>12.5</c:v>
                </c:pt>
                <c:pt idx="3">
                  <c:v>16.3</c:v>
                </c:pt>
                <c:pt idx="4">
                  <c:v>13.5</c:v>
                </c:pt>
                <c:pt idx="5">
                  <c:v>10.8</c:v>
                </c:pt>
                <c:pt idx="6">
                  <c:v>6.7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2</c:v>
                </c:pt>
                <c:pt idx="2">
                  <c:v>2</c:v>
                </c:pt>
                <c:pt idx="3">
                  <c:v>3</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(CNY,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Hoja1!$A$2:$A$12</c:f>
              <c:strCache>
                <c:ptCount val="11"/>
                <c:pt idx="0">
                  <c:v>2021</c:v>
                </c:pt>
                <c:pt idx="1">
                  <c:v>2022</c:v>
                </c:pt>
                <c:pt idx="2">
                  <c:v>2023</c:v>
                </c:pt>
                <c:pt idx="3">
                  <c:v>2024</c:v>
                </c:pt>
                <c:pt idx="4">
                  <c:v>2025</c:v>
                </c:pt>
                <c:pt idx="5">
                  <c:v>2026e</c:v>
                </c:pt>
                <c:pt idx="6">
                  <c:v>2027e</c:v>
                </c:pt>
                <c:pt idx="7">
                  <c:v>2028e</c:v>
                </c:pt>
                <c:pt idx="8">
                  <c:v>2029e</c:v>
                </c:pt>
                <c:pt idx="9">
                  <c:v>2030e</c:v>
                </c:pt>
                <c:pt idx="10">
                  <c:v>2031e</c:v>
                </c:pt>
              </c:strCache>
            </c:strRef>
          </c:cat>
          <c:val>
            <c:numRef>
              <c:f>Hoja1!$B$2:$B$12</c:f>
              <c:numCache>
                <c:formatCode>#,##0</c:formatCode>
                <c:ptCount val="11"/>
                <c:pt idx="0">
                  <c:v>4590.8</c:v>
                </c:pt>
                <c:pt idx="1">
                  <c:v>5855.8</c:v>
                </c:pt>
                <c:pt idx="2">
                  <c:v>7252.3</c:v>
                </c:pt>
                <c:pt idx="3">
                  <c:v>8716.5</c:v>
                </c:pt>
                <c:pt idx="4">
                  <c:v>10073.5</c:v>
                </c:pt>
                <c:pt idx="5">
                  <c:v>12290</c:v>
                </c:pt>
                <c:pt idx="6">
                  <c:v>14379</c:v>
                </c:pt>
                <c:pt idx="7">
                  <c:v>16248</c:v>
                </c:pt>
                <c:pt idx="8">
                  <c:v>17711</c:v>
                </c:pt>
                <c:pt idx="9">
                  <c:v>18773</c:v>
                </c:pt>
                <c:pt idx="10">
                  <c:v>19430</c:v>
                </c:pt>
              </c:numCache>
            </c:numRef>
          </c:val>
        </c:ser>
        <c:ser>
          <c:idx val="1"/>
          <c:order val="1"/>
          <c:tx>
            <c:strRef>
              <c:f>Hoja1!$C$1</c:f>
              <c:strCache>
                <c:ptCount val="1"/>
                <c:pt idx="0">
                  <c:v>EBITDA</c:v>
                </c:pt>
              </c:strCache>
            </c:strRef>
          </c:tx>
          <c:spPr>
            <a:solidFill>
              <a:srgbClr val="EB6834"/>
            </a:solidFill>
            <a:ln w="9525">
              <a:noFill/>
            </a:ln>
          </c:spPr>
          <c:invertIfNegative val="0"/>
          <c:cat>
            <c:strRef>
              <c:f>Hoja1!$A$2:$A$12</c:f>
              <c:strCache>
                <c:ptCount val="11"/>
                <c:pt idx="0">
                  <c:v>2021</c:v>
                </c:pt>
                <c:pt idx="1">
                  <c:v>2022</c:v>
                </c:pt>
                <c:pt idx="2">
                  <c:v>2023</c:v>
                </c:pt>
                <c:pt idx="3">
                  <c:v>2024</c:v>
                </c:pt>
                <c:pt idx="4">
                  <c:v>2025</c:v>
                </c:pt>
                <c:pt idx="5">
                  <c:v>2026e</c:v>
                </c:pt>
                <c:pt idx="6">
                  <c:v>2027e</c:v>
                </c:pt>
                <c:pt idx="7">
                  <c:v>2028e</c:v>
                </c:pt>
                <c:pt idx="8">
                  <c:v>2029e</c:v>
                </c:pt>
                <c:pt idx="9">
                  <c:v>2030e</c:v>
                </c:pt>
                <c:pt idx="10">
                  <c:v>2031e</c:v>
                </c:pt>
              </c:strCache>
            </c:strRef>
          </c:cat>
          <c:val>
            <c:numRef>
              <c:f>Hoja1!$C$2:$C$12</c:f>
              <c:numCache>
                <c:formatCode>#,##0</c:formatCode>
                <c:ptCount val="11"/>
                <c:pt idx="0">
                  <c:v>708.9</c:v>
                </c:pt>
                <c:pt idx="1">
                  <c:v>879.7</c:v>
                </c:pt>
                <c:pt idx="2">
                  <c:v>1200.2</c:v>
                </c:pt>
                <c:pt idx="3">
                  <c:v>1554.8</c:v>
                </c:pt>
                <c:pt idx="4">
                  <c:v>2148.1</c:v>
                </c:pt>
                <c:pt idx="5">
                  <c:v>2335</c:v>
                </c:pt>
                <c:pt idx="6">
                  <c:v>2732</c:v>
                </c:pt>
                <c:pt idx="7">
                  <c:v>3087</c:v>
                </c:pt>
                <c:pt idx="8">
                  <c:v>3330</c:v>
                </c:pt>
                <c:pt idx="9">
                  <c:v>3473</c:v>
                </c:pt>
                <c:pt idx="10">
                  <c:v>3595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32.6</c:v>
                </c:pt>
                <c:pt idx="1">
                  <c:v>32.9</c:v>
                </c:pt>
                <c:pt idx="2">
                  <c:v>35.6</c:v>
                </c:pt>
                <c:pt idx="3">
                  <c:v>34.8</c:v>
                </c:pt>
                <c:pt idx="4">
                  <c:v>35.7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15.4</c:v>
                </c:pt>
                <c:pt idx="1">
                  <c:v>15</c:v>
                </c:pt>
                <c:pt idx="2">
                  <c:v>16.5</c:v>
                </c:pt>
                <c:pt idx="3">
                  <c:v>17.8</c:v>
                </c:pt>
                <c:pt idx="4">
                  <c:v>21.3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10.7</c:v>
                </c:pt>
                <c:pt idx="1">
                  <c:v>10.5</c:v>
                </c:pt>
                <c:pt idx="2">
                  <c:v>12.7</c:v>
                </c:pt>
                <c:pt idx="3">
                  <c:v>14.2</c:v>
                </c:pt>
                <c:pt idx="4">
                  <c:v>17.7</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5.8</c:v>
                </c:pt>
                <c:pt idx="1">
                  <c:v>5.5</c:v>
                </c:pt>
                <c:pt idx="2">
                  <c:v>7.2</c:v>
                </c:pt>
                <c:pt idx="3">
                  <c:v>8.1</c:v>
                </c:pt>
                <c:pt idx="4">
                  <c:v>10.5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1S24</c:v>
                </c:pt>
                <c:pt idx="1">
                  <c:v>2S24</c:v>
                </c:pt>
                <c:pt idx="2">
                  <c:v>1S25</c:v>
                </c:pt>
                <c:pt idx="3">
                  <c:v>2S25</c:v>
                </c:pt>
                <c:pt idx="4">
                  <c:v>1S26</c:v>
                </c:pt>
              </c:strCache>
            </c:strRef>
          </c:cat>
          <c:val>
            <c:numRef>
              <c:f>Hoja1!$B$2:$B$6</c:f>
              <c:numCache>
                <c:formatCode>0.0"%"</c:formatCode>
                <c:ptCount val="5"/>
                <c:pt idx="2">
                  <c:v>17.3</c:v>
                </c:pt>
                <c:pt idx="3">
                  <c:v>14.2</c:v>
                </c:pt>
                <c:pt idx="4">
                  <c:v>22.8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326</c:v>
                </c:pt>
                <c:pt idx="1">
                  <c:v>274</c:v>
                </c:pt>
                <c:pt idx="2">
                  <c:v>229</c:v>
                </c:pt>
                <c:pt idx="3">
                  <c:v>244</c:v>
                </c:pt>
                <c:pt idx="4">
                  <c:v>258</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117</c:v>
                </c:pt>
                <c:pt idx="1">
                  <c:v>100</c:v>
                </c:pt>
                <c:pt idx="2">
                  <c:v>94</c:v>
                </c:pt>
                <c:pt idx="3">
                  <c:v>81</c:v>
                </c:pt>
                <c:pt idx="4">
                  <c:v>81</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391</c:v>
                </c:pt>
                <c:pt idx="1">
                  <c:v>339</c:v>
                </c:pt>
                <c:pt idx="2">
                  <c:v>308</c:v>
                </c:pt>
                <c:pt idx="3">
                  <c:v>326</c:v>
                </c:pt>
                <c:pt idx="4">
                  <c:v>335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(CNY,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-229.20000000000002</c:v>
                </c:pt>
                <c:pt idx="1">
                  <c:v>350.6000000000001</c:v>
                </c:pt>
                <c:pt idx="2">
                  <c:v>789.2999999999998</c:v>
                </c:pt>
                <c:pt idx="3">
                  <c:v>269.1</c:v>
                </c:pt>
                <c:pt idx="4">
                  <c:v>646.6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268.1</c:v>
                </c:pt>
                <c:pt idx="1">
                  <c:v>323.8</c:v>
                </c:pt>
                <c:pt idx="2">
                  <c:v>521.2</c:v>
                </c:pt>
                <c:pt idx="3">
                  <c:v>705.6</c:v>
                </c:pt>
                <c:pt idx="4">
                  <c:v>1058.2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c:v>
                </c:pt>
                <c:pt idx="1">
                  <c:v>8.2</c:v>
                </c:pt>
                <c:pt idx="2">
                  <c:v>12.5</c:v>
                </c:pt>
                <c:pt idx="3">
                  <c:v>15.7</c:v>
                </c:pt>
                <c:pt idx="4">
                  <c:v>20.2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7.8</c:v>
                </c:pt>
                <c:pt idx="1">
                  <c:v>7.8</c:v>
                </c:pt>
                <c:pt idx="2">
                  <c:v>7.8</c:v>
                </c:pt>
                <c:pt idx="3">
                  <c:v>7.8</c:v>
                </c:pt>
                <c:pt idx="4">
                  <c:v>7.8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5.8</c:v>
                </c:pt>
                <c:pt idx="1">
                  <c:v>7</c:v>
                </c:pt>
                <c:pt idx="2">
                  <c:v>10.6</c:v>
                </c:pt>
                <c:pt idx="3">
                  <c:v>13.3</c:v>
                </c:pt>
                <c:pt idx="4">
                  <c:v>18.1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0.38</c:v>
                </c:pt>
                <c:pt idx="1">
                  <c:v>0.66</c:v>
                </c:pt>
                <c:pt idx="2">
                  <c:v>-0.37</c:v>
                </c:pt>
                <c:pt idx="3">
                  <c:v>-0.14</c:v>
                </c:pt>
                <c:pt idx="4">
                  <c:v>-0.24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(CNY,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A menos de un año (jun-27)</c:v>
                </c:pt>
                <c:pt idx="1">
                  <c:v>De uno a cuatro años</c:v>
                </c:pt>
              </c:strCache>
            </c:strRef>
          </c:cat>
          <c:val>
            <c:numRef>
              <c:f>Hoja1!$B$2:$B$3</c:f>
              <c:numCache>
                <c:formatCode>#,##0</c:formatCode>
                <c:ptCount val="2"/>
                <c:pt idx="0">
                  <c:v>1440.3</c:v>
                </c:pt>
                <c:pt idx="1">
                  <c:v>904.3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(CNY,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44.5</c:v>
                </c:pt>
                <c:pt idx="1">
                  <c:v>102.9</c:v>
                </c:pt>
                <c:pt idx="2">
                  <c:v>38</c:v>
                </c:pt>
                <c:pt idx="3">
                  <c:v>95</c:v>
                </c:pt>
                <c:pt idx="4">
                  <c:v>7.5</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164.9</c:v>
                </c:pt>
                <c:pt idx="1">
                  <c:v>168.5</c:v>
                </c:pt>
                <c:pt idx="2">
                  <c:v>206.3</c:v>
                </c:pt>
                <c:pt idx="3">
                  <c:v>254.3</c:v>
                </c:pt>
                <c:pt idx="4">
                  <c:v>346.7</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157.1</c:v>
                </c:pt>
                <c:pt idx="2">
                  <c:v>142</c:v>
                </c:pt>
                <c:pt idx="3">
                  <c:v>6.3</c:v>
                </c:pt>
                <c:pt idx="4">
                  <c:v>127.5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Otro externo</c:v>
                </c:pt>
                <c:pt idx="2">
                  <c:v>Independiente</c:v>
                </c:pt>
              </c:strCache>
            </c:strRef>
          </c:cat>
          <c:val>
            <c:numRef>
              <c:f>Hoja1!$B$2:$B$4</c:f>
              <c:numCache>
                <c:formatCode>0</c:formatCode>
                <c:ptCount val="3"/>
                <c:pt idx="0">
                  <c:v>5</c:v>
                </c:pt>
                <c:pt idx="1">
                  <c:v>1</c:v>
                </c:pt>
                <c:pt idx="2">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Star Treasure Investments Holdings (Ji Wei)</c:v>
                </c:pt>
                <c:pt idx="1">
                  <c:v>Autocartera</c:v>
                </c:pt>
                <c:pt idx="2">
                  <c:v>Consejeros (Zheng, Cao, Li, Tian, Chan)</c:v>
                </c:pt>
              </c:strCache>
            </c:strRef>
          </c:cat>
          <c:val>
            <c:numRef>
              <c:f>Hoja1!$B$2:$B$4</c:f>
              <c:numCache>
                <c:formatCode>0.0"%"</c:formatCode>
                <c:ptCount val="3"/>
                <c:pt idx="0">
                  <c:v>52.4</c:v>
                </c:pt>
                <c:pt idx="1">
                  <c:v>1.3</c:v>
                </c:pt>
                <c:pt idx="2">
                  <c:v>0.6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-48.4</c:v>
                </c:pt>
                <c:pt idx="1">
                  <c:v>-8.4</c:v>
                </c:pt>
                <c:pt idx="2">
                  <c:v>-0.3</c:v>
                </c:pt>
                <c:pt idx="3">
                  <c:v>0</c:v>
                </c:pt>
                <c:pt idx="4">
                  <c:v>-39.9</c:v>
                </c:pt>
                <c:pt idx="5">
                  <c:v>49.8</c:v>
                </c:pt>
                <c:pt idx="6">
                  <c:v>-24.2</c:v>
                </c:pt>
                <c:pt idx="7">
                  <c:v>50.8</c:v>
                </c:pt>
                <c:pt idx="8">
                  <c:v>83.4</c:v>
                </c:pt>
                <c:pt idx="9">
                  <c:v>138.2</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0.4</c:v>
                </c:pt>
                <c:pt idx="1">
                  <c:v>36</c:v>
                </c:pt>
                <c:pt idx="2">
                  <c:v>-13.6</c:v>
                </c:pt>
                <c:pt idx="3">
                  <c:v>9.1</c:v>
                </c:pt>
                <c:pt idx="4">
                  <c:v>-3.4</c:v>
                </c:pt>
                <c:pt idx="5">
                  <c:v>-14.1</c:v>
                </c:pt>
                <c:pt idx="6">
                  <c:v>-15.5</c:v>
                </c:pt>
                <c:pt idx="7">
                  <c:v>-13.8</c:v>
                </c:pt>
                <c:pt idx="8">
                  <c:v>17.7</c:v>
                </c:pt>
                <c:pt idx="9">
                  <c:v>27.8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6.3</c:v>
                </c:pt>
                <c:pt idx="1">
                  <c:v>4.9</c:v>
                </c:pt>
                <c:pt idx="2">
                  <c:v>3.9</c:v>
                </c:pt>
                <c:pt idx="3">
                  <c:v>5.4</c:v>
                </c:pt>
                <c:pt idx="4">
                  <c:v>7.9</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5.4</c:v>
                </c:pt>
                <c:pt idx="1">
                  <c:v>5.4</c:v>
                </c:pt>
                <c:pt idx="2">
                  <c:v>5.4</c:v>
                </c:pt>
                <c:pt idx="3">
                  <c:v>5.4</c:v>
                </c:pt>
                <c:pt idx="4">
                  <c:v>5.4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(CNY,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2026e</c:v>
                </c:pt>
                <c:pt idx="1">
                  <c:v>2027e</c:v>
                </c:pt>
                <c:pt idx="2">
                  <c:v>2028e</c:v>
                </c:pt>
                <c:pt idx="3">
                  <c:v>2029e</c:v>
                </c:pt>
                <c:pt idx="4">
                  <c:v>2030e</c:v>
                </c:pt>
                <c:pt idx="5">
                  <c:v>2031e</c:v>
                </c:pt>
              </c:strCache>
            </c:strRef>
          </c:cat>
          <c:val>
            <c:numRef>
              <c:f>Hoja1!$B$2:$B$7</c:f>
              <c:numCache>
                <c:formatCode>#,##0</c:formatCode>
                <c:ptCount val="6"/>
                <c:pt idx="0">
                  <c:v>186</c:v>
                </c:pt>
                <c:pt idx="1">
                  <c:v>336</c:v>
                </c:pt>
                <c:pt idx="2">
                  <c:v>732</c:v>
                </c:pt>
                <c:pt idx="3">
                  <c:v>1378</c:v>
                </c:pt>
                <c:pt idx="4">
                  <c:v>1695</c:v>
                </c:pt>
                <c:pt idx="5">
                  <c:v>2020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(CNY,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4827</c:v>
                </c:pt>
                <c:pt idx="1">
                  <c:v>20394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(CNY) · precio actual 10,46</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11.9</c:v>
                </c:pt>
                <c:pt idx="1">
                  <c:v>19.72</c:v>
                </c:pt>
                <c:pt idx="2">
                  <c:v>24.04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(CNY) · precio actual 10,46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(10,08 – 28,80)</c:v>
                </c:pt>
                <c:pt idx="1">
                  <c:v>Precio objetivo de los analistas (17,93 – 23,11)</c:v>
                </c:pt>
                <c:pt idx="2">
                  <c:v>Comparables: PER NTM (15,90 – 24,13)</c:v>
                </c:pt>
                <c:pt idx="3">
                  <c:v>DCF (WACC y g ± 0,5) (16,62 – 23,89)</c:v>
                </c:pt>
                <c:pt idx="4">
                  <c:v>Escenarios (bajista – alcista) (11,90 – 24,04)</c:v>
                </c:pt>
                <c:pt idx="5">
                  <c:v>Suma de partes (11,90 – 17,75)</c:v>
                </c:pt>
                <c:pt idx="6">
                  <c:v>DCF con la prima implícita del mercado (4,2 %)</c:v>
                </c:pt>
                <c:pt idx="7">
                  <c:v>Precio actual (10,46)</c:v>
                </c:pt>
              </c:strCache>
            </c:strRef>
          </c:cat>
          <c:val>
            <c:numRef>
              <c:f>Hoja1!$B$2:$B$9</c:f>
              <c:numCache>
                <c:formatCode>#,##0.0</c:formatCode>
                <c:ptCount val="8"/>
                <c:pt idx="0">
                  <c:v>10.08</c:v>
                </c:pt>
                <c:pt idx="1">
                  <c:v>17.93</c:v>
                </c:pt>
                <c:pt idx="2">
                  <c:v>15.9</c:v>
                </c:pt>
                <c:pt idx="3">
                  <c:v>16.62</c:v>
                </c:pt>
                <c:pt idx="4">
                  <c:v>11.9</c:v>
                </c:pt>
                <c:pt idx="5">
                  <c:v>11.9</c:v>
                </c:pt>
                <c:pt idx="6">
                  <c:v>22.71</c:v>
                </c:pt>
                <c:pt idx="7">
                  <c:v>10.41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(10,08 – 28,80)</c:v>
                </c:pt>
                <c:pt idx="1">
                  <c:v>Precio objetivo de los analistas (17,93 – 23,11)</c:v>
                </c:pt>
                <c:pt idx="2">
                  <c:v>Comparables: PER NTM (15,90 – 24,13)</c:v>
                </c:pt>
                <c:pt idx="3">
                  <c:v>DCF (WACC y g ± 0,5) (16,62 – 23,89)</c:v>
                </c:pt>
                <c:pt idx="4">
                  <c:v>Escenarios (bajista – alcista) (11,90 – 24,04)</c:v>
                </c:pt>
                <c:pt idx="5">
                  <c:v>Suma de partes (11,90 – 17,75)</c:v>
                </c:pt>
                <c:pt idx="6">
                  <c:v>DCF con la prima implícita del mercado (4,2 %)</c:v>
                </c:pt>
                <c:pt idx="7">
                  <c:v>Precio actual (10,46)</c:v>
                </c:pt>
              </c:strCache>
            </c:strRef>
          </c:cat>
          <c:val>
            <c:numRef>
              <c:f>Hoja1!$C$2:$C$9</c:f>
              <c:numCache>
                <c:formatCode>#,##0.0</c:formatCode>
                <c:ptCount val="8"/>
                <c:pt idx="0">
                  <c:v>18.72</c:v>
                </c:pt>
                <c:pt idx="1">
                  <c:v>5.18</c:v>
                </c:pt>
                <c:pt idx="2">
                  <c:v>8.229999999999999</c:v>
                </c:pt>
                <c:pt idx="3">
                  <c:v>7.27</c:v>
                </c:pt>
                <c:pt idx="4">
                  <c:v>12.139999999999999</c:v>
                </c:pt>
                <c:pt idx="5">
                  <c:v>5.85</c:v>
                </c:pt>
                <c:pt idx="6">
                  <c:v>5.939999999999998</c:v>
                </c:pt>
                <c:pt idx="7">
                  <c:v>0.09999999999999964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8"/>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