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Elevance Health, Inc.</w:t>
      </w:r>
    </w:p>
    <w:p>
      <w:pPr>
        <w:spacing w:after="60"/>
        <w:rPr>
          <w:color w:val="52514E"/>
          <w:sz w:val="22"/>
          <w:szCs w:val="22"/>
        </w:rPr>
      </w:pPr>
      <w:r>
        <w:rPr>
          <w:color w:val="52514E"/>
          <w:sz w:val="22"/>
          <w:szCs w:val="22"/>
        </w:rPr>
        <w:t xml:space="preserve">ELV · NYSE · ISIN US0367521038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439,95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464,78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+7,2 % (base +10,4 %)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441,18 USD · mercado 494,71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95.513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Elevance Health,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ELV / US0367521038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Managed Health Care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Indianápolis (Indiana) · 2004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elevancehealth.com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439,95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274,84 – 450,69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95.513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124.447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468 M USD/día (1,15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464,78 USD</w:t>
      </w:r>
      <w:r>
        <w:t xml:space="preserve"> frente a 439,95 · Rentabilidad a 12 meses </w:t>
      </w:r>
      <w:r>
        <w:rPr>
          <w:b/>
          <w:bCs/>
        </w:rPr>
        <w:t xml:space="preserve">+7,2 % (base +10,4 %)</w:t>
      </w:r>
      <w:r>
        <w:t xml:space="preserve"> · Valor intrínseco 441,18 USD · con la prima implícita del mercado: 494,71 (+12,4 %) · Alcista / bajista +18,3 % / -32,8 %</w:t>
      </w:r>
    </w:p>
    <w:p>
      <w:pPr>
        <w:spacing w:after="100"/>
      </w:pPr>
      <w:r>
        <w:rPr>
          <w:b/>
        </w:rPr>
        <w:t xml:space="preserve">La recomendación y por qué.</w:t>
      </w:r>
      <w:r>
        <w:t xml:space="preserve"> Mantener, con convicción media. El objetivo a 12 meses es de 464,78 USD frente a un precio de 439,95 (cierre del 23-oct-2026): una rentabilidad ponderada del +7,2 % con dividendo y del +10,4 % en el caso base, por debajo del 15 % y el 12 % que pide la compra. El valor intrínseco (441,18 USD) coincide con el precio y el objetivo medio de los analistas (481,48) queda algo por encima de nuestro base (478,62). La razón: el 3T26 confirma la recuperación, pero la subida del 27 % en el año ya la paga. La convicción es media porque las dos reglas coinciden y están lejos de sus umbrales; la subiría un precio por debajo de 409,59 USD o una guía de 2027 por encima de 31 USD de BPA ajustado con un ratio de prestaciones por debajo del 90 %.</w:t>
      </w:r>
    </w:p>
    <w:p>
      <w:pPr>
        <w:spacing w:after="100"/>
      </w:pPr>
      <w:r>
        <w:rPr>
          <w:b/>
        </w:rPr>
        <w:t xml:space="preserve">Qué ha cambiado desde el 14-oct.</w:t>
      </w:r>
      <w:r>
        <w:t xml:space="preserve"> El 3T26 batió (BPA ajustado de 6,99 USD frente a 4,71 de consenso, aunque 1,85 USD fueron no operativos), el ratio de prestaciones bajó 70 pb al 90,6 % y la guía de 2026 subió a ≥ 29,00 USD, con ≥ 12 % de crecimiento en 2027 sobre una base de 26,75 [4, 17]. El BPA ajustado de 2028e del caso base apenas cambia (33,47 USD frente a 33,55); el precio sube un 2,7 % (de 428,26 a 439,95). La señal pasa de Comprar a Mantener por una corrección de método: el informe anterior comparaba una historia del PER sobre el BPA contable (≈ 18-20x) con casos sobre el ajustado, lo que inflaba el múltiplo; con la misma base, la mediana de cinco años es 14,3x y la ponderada baja del 21,2 % al 7,2 %. El valor intrínseco baja de 444,43 a 441,18 USD.</w:t>
      </w:r>
    </w:p>
    <w:p>
      <w:pPr>
        <w:spacing w:after="100"/>
      </w:pPr>
      <w:r>
        <w:rPr>
          <w:b/>
        </w:rPr>
        <w:t xml:space="preserve">El negocio.</w:t>
      </w:r>
      <w:r>
        <w:t xml:space="preserve"> Segunda aseguradora de salud de EE. UU., con 44,9 M de afiliados y Carelon (farmacia y servicios) [4, 37]. ROIC del 11,3 % en 2025, 2,8 puntos por encima del WACC (8,54 %) y por debajo de los 5 que exigimos; el ROIC incremental de 2021-2025 es del 6,3 %. La calidad sostiene el crecimiento proyectado solo en parte: hay poder de precio (−70 pb de ratio con ingresos planos), pero pierde cuota por decisión propia en Medicare Advantage (−15,5 % de afiliados) y Medicaid, y las compras de 2024 aún no rinden [4].</w:t>
      </w:r>
    </w:p>
    <w:p>
      <w:pPr>
        <w:spacing w:after="100"/>
      </w:pPr>
      <w:r>
        <w:rPr>
          <w:b/>
        </w:rPr>
        <w:t xml:space="preserve">Equipo y gobierno.</w:t>
      </w:r>
      <w:r>
        <w:t xml:space="preserve"> Neutral. Tres subidas de guía en 2026 tras incumplir en 2024 y 2025; compras de la consejera delegada y del presidente en julio y una venta de 4,66 M del director financiero el 22-oct, sin plan 10b5-1 [4, 44].</w:t>
      </w:r>
    </w:p>
    <w:p>
      <w:pPr>
        <w:spacing w:after="100"/>
      </w:pPr>
      <w:r>
        <w:rPr>
          <w:b/>
        </w:rPr>
        <w:t xml:space="preserve">Valoración.</w:t>
      </w:r>
      <w:r>
        <w:t xml:space="preserve"> El DCF da 448,43 USD; los escenarios ponderados, 428,24; el PER de los comparables, 481,72, y la suma de partes, 396,67. El DCF inverso dice que el precio descuenta un crecimiento del 3,6 % anual (frente a nuestro 4,0 %) o un margen EBITDA final del 5,9 % (frente a nuestro 6,0 %): rinde un 8,7 % anual, casi nuestro coste de capital. A 14,4 veces el BPA ajustado de 2027e ya no hay descuento frente a su historia.</w:t>
      </w:r>
    </w:p>
    <w:p>
      <w:pPr>
        <w:spacing w:after="100"/>
      </w:pPr>
      <w:r>
        <w:rPr>
          <w:b/>
        </w:rPr>
        <w:t xml:space="preserve">Riesgos y catalizadores.</w:t>
      </w:r>
      <w:r>
        <w:t xml:space="preserve"> El ratio de prestaciones es la palanca: cada punto de margen EBITDA vale ≈ 125 USD, y el bajista (margen de 2025) lleva a 295,73 USD. Medicaid (requisitos de trabajo desde 2027), las tarifas de Medicare Advantage de 2028 (finales de enero) y la demanda del Departamento de Justicia son los riesgos abiertos [5]. Catalizador principal: resultados y guía de 2027 el 27-ene-2027.</w:t>
      </w:r>
    </w:p>
    <w:p>
      <w:pPr>
        <w:spacing w:after="100"/>
      </w:pPr>
      <w:r>
        <w:rPr>
          <w:b/>
        </w:rPr>
        <w:t xml:space="preserve">Qué cambiaría la decisión.</w:t>
      </w:r>
      <w:r>
        <w:t xml:space="preserve"> Compraríamos por debajo de 409,59 USD solo si además el ROIC recuperara 5 puntos sobre el WACC y la sostenibilidad pasara a «Sí»; venderíamos por encima de 523,36. Pasaríamos a Vender si el ratio de prestaciones de 2027 vuelve al 91 % o la guía de 2027 queda por debajo de 29 USD.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464,78 USD</w:t>
      </w:r>
      <w:r>
        <w:t xml:space="preserve"> (rentabilidad +7,2 % (base +10,4 %)) · Valor intrínseco: 441,18 USD (+0,3 % sobre 439,95) · con la prima implícita del mercado: 494,71 (+12,4 %)</w:t>
      </w:r>
    </w:p>
    <w:p>
      <w:pPr>
        <w:spacing w:after="100"/>
      </w:pPr>
      <w:r>
        <w:t xml:space="preserve">Elevance es la mayor licenciataria de Blue Cross Blue Shield y la segunda aseguradora de salud de EE. UU.: 197.584 M USD de ingresos en 2025, 44,9 M de afiliados y negocios propios de farmacia y servicios (Carelon) que aportan cerca de la mitad del resultado operativo [1, 4]. Su modelo cobra primas antes de pagar y apenas invierte en activos, lo que dio un ROIC del 12-14 % en 2021-2024. En 2024-2025 el coste médico de Medicaid y Medicare Advantage subió más que las tarifas: el BPA ajustado cayó de 33,14 USD (2023) a 30,29 (2025) y la acción perdió la mitad [8, 48].</w:t>
      </w:r>
    </w:p>
    <w:p>
      <w:pPr>
        <w:spacing w:after="100"/>
      </w:pPr>
      <w:r>
        <w:t xml:space="preserve">A 439,95 USD el precio descuenta la recuperación: un margen EBITDA final del 5,9 % frente al 6,0 % que proyectamos y un BPA ajustado que vuelve a crecer un 12 % en 2027. Cotiza a 14,4 veces ese beneficio, en su mediana de cinco años.</w:t>
      </w:r>
    </w:p>
    <w:p>
      <w:pPr>
        <w:spacing w:after="100"/>
      </w:pPr>
      <w:r>
        <w:t xml:space="preserve">El mercado acierta en lo esencial. Nuestras cifras de 2027-2028 están cerca del consenso y el valor que sale de ellas (448,43 USD en el DCF, 441,18 en la síntesis) rodea el precio. Para invertir hay que creer que Medicaid sale del suelo de 2026 con los requisitos de trabajo en marcha y que el margen de Medicare Advantage sube al 3-5 %; es posible, pero ya está en 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 × 26,23 = 301,65 · 14,3x × 33,47 = 478,62 · 16,1x × 37,28 = 600,21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481,48 (nuestro base -0,6 %)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 / -32,8 %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8,5 %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frente a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410,13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410,13 y 524,05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524,05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cae por debajo de 409,59 USD con la sostenibilidad en «Sí» y el ROIC 5 puntos por encima del WACC, pasaríamos a Comprar.</w:t>
      </w:r>
    </w:p>
    <w:p>
      <w:pPr>
        <w:pStyle w:val="ListParagraph"/>
        <w:numPr>
          <w:ilvl w:val="0"/>
          <w:numId w:val="2"/>
        </w:numPr>
        <w:spacing w:after="60"/>
      </w:pPr>
      <w:r>
        <w:t xml:space="preserve">Si la guía de 2027 da un BPA ajustado por encima de 31 USD con el ratio de prestaciones por debajo del 90 %, revisaríamos el objetivo al alza.</w:t>
      </w:r>
    </w:p>
    <w:p>
      <w:pPr>
        <w:pStyle w:val="ListParagraph"/>
        <w:numPr>
          <w:ilvl w:val="0"/>
          <w:numId w:val="2"/>
        </w:numPr>
        <w:spacing w:after="60"/>
      </w:pPr>
      <w:r>
        <w:t xml:space="preserve">Si la guía de 2027 queda por debajo de 29 USD o el ratio de prestaciones de 2027 vuelve al 91 %, pasaríamos a Vender.</w:t>
      </w:r>
    </w:p>
    <w:p>
      <w:pPr>
        <w:pStyle w:val="ListParagraph"/>
        <w:numPr>
          <w:ilvl w:val="0"/>
          <w:numId w:val="2"/>
        </w:numPr>
        <w:spacing w:after="60"/>
      </w:pPr>
      <w:r>
        <w:t xml:space="preserve">Si el Departamento de Justicia impone un acuerdo superior a 2.000 M o cambios en la codificación de riesgo, revisaríamos a la baja.</w:t>
      </w:r>
    </w:p>
    <w:p>
      <w:pPr>
        <w:pStyle w:val="ListParagraph"/>
        <w:numPr>
          <w:ilvl w:val="0"/>
          <w:numId w:val="2"/>
        </w:numPr>
        <w:spacing w:after="60"/>
      </w:pPr>
      <w:r>
        <w:t xml:space="preserve">Si el precio supera 523,36 USD,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final del 5,9 % y un crecimiento del 3,6 % anual en 2027-2032: la guía de 2026, el +12 % de 2027 y una recuperación casi completa hacia nuestro 6,0 %. Los analistas van algo más allá: 14 de 22 recomiendan comprar con un objetivo medio de 481,48 USD [49].</w:t>
      </w:r>
    </w:p>
    <w:p>
      <w:pPr>
        <w:keepNext/>
        <w:spacing w:after="100"/>
      </w:pPr>
      <w:r>
        <w:rPr>
          <w:b/>
          <w:bCs/>
        </w:rPr>
        <w:t xml:space="preserve">Lo que creemos nosotros.</w:t>
      </w:r>
    </w:p>
    <w:p>
      <w:pPr>
        <w:spacing w:after="100"/>
      </w:pPr>
      <w:r>
        <w:t xml:space="preserve">Coincidimos con la recuperación, pero no vemos rentabilidad suficiente: con un coste de capital del 8,54 % ya vale lo que cuesta. Nuestro objetivo a 12 meses (464,78 USD) aplica la mediana de cinco años del PER adelantado a nuestro BPA ajustado de 2028e.</w:t>
      </w:r>
    </w:p>
    <w:p>
      <w:pPr>
        <w:keepNext/>
        <w:spacing w:after="100"/>
      </w:pPr>
      <w:r>
        <w:rPr>
          <w:b/>
          <w:bCs/>
        </w:rPr>
        <w:t xml:space="preserve">Por qué podemos tener razón.</w:t>
      </w:r>
    </w:p>
    <w:p>
      <w:pPr>
        <w:spacing w:after="100"/>
      </w:pPr>
      <w:r>
        <w:t xml:space="preserve">El 3T26 tiene una parte no repetible (1,85 USD por acción de beneficio no operativo) y el riesgo regulatorio de Medicaid y Medicare Advantage es mayor que cuando la acción cotizaba a 16 veces el beneficio adelantado (2021-2022). La beta de la acción (0,63) no lo recoge.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39,9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Tercera subida de la guía</w:t>
      </w:r>
      <w:r>
        <w:t xml:space="preserve">: BPA ajustado de 2026 de al menos 29,00 USD, desde 25,50 en enero [4].</w:t>
      </w:r>
    </w:p>
    <w:p>
      <w:pPr>
        <w:pStyle w:val="ListParagraph"/>
        <w:numPr>
          <w:ilvl w:val="0"/>
          <w:numId w:val="2"/>
        </w:numPr>
        <w:spacing w:after="60"/>
      </w:pPr>
      <w:r>
        <w:rPr>
          <w:b/>
        </w:rPr>
        <w:t xml:space="preserve">2027 cuantificado</w:t>
      </w:r>
      <w:r>
        <w:t xml:space="preserve">: al menos un 12 % de crecimiento sobre 26,75 USD (≥ 29,96) [4].</w:t>
      </w:r>
    </w:p>
    <w:p>
      <w:pPr>
        <w:pStyle w:val="ListParagraph"/>
        <w:numPr>
          <w:ilvl w:val="0"/>
          <w:numId w:val="2"/>
        </w:numPr>
        <w:spacing w:after="60"/>
      </w:pPr>
      <w:r>
        <w:rPr>
          <w:b/>
        </w:rPr>
        <w:t xml:space="preserve">El ratio de prestaciones mejora</w:t>
      </w:r>
      <w:r>
        <w:t xml:space="preserve">: 90,6 % en el 3T26, 70 pb menos que un año antes [4].</w:t>
      </w:r>
    </w:p>
    <w:p>
      <w:pPr>
        <w:pStyle w:val="ListParagraph"/>
        <w:numPr>
          <w:ilvl w:val="0"/>
          <w:numId w:val="2"/>
        </w:numPr>
        <w:spacing w:after="60"/>
      </w:pPr>
      <w:r>
        <w:rPr>
          <w:b/>
        </w:rPr>
        <w:t xml:space="preserve">Caja</w:t>
      </w:r>
      <w:r>
        <w:t xml:space="preserve">: flujo operativo de 7.512 M en nueve meses y recompras a 324,88 USD de media [5].</w:t>
      </w:r>
    </w:p>
    <w:p>
      <w:pPr>
        <w:pStyle w:val="ListParagraph"/>
        <w:numPr>
          <w:ilvl w:val="0"/>
          <w:numId w:val="2"/>
        </w:numPr>
        <w:spacing w:after="60"/>
      </w:pPr>
      <w:r>
        <w:rPr>
          <w:b/>
        </w:rPr>
        <w:t xml:space="preserve">Con la prima del mercado</w:t>
      </w:r>
      <w:r>
        <w:t xml:space="preserve"> el valor sube a 494,71 USD y la rentabilidad al 14,0 %.</w:t>
      </w:r>
    </w:p>
    <w:p>
      <w:pPr>
        <w:pStyle w:val="Heading2"/>
      </w:pPr>
      <w:r>
        <w:t xml:space="preserve">En contra</w:t>
      </w:r>
    </w:p>
    <w:p>
      <w:pPr>
        <w:pStyle w:val="ListParagraph"/>
        <w:numPr>
          <w:ilvl w:val="0"/>
          <w:numId w:val="2"/>
        </w:numPr>
        <w:spacing w:after="60"/>
      </w:pPr>
      <w:r>
        <w:rPr>
          <w:b/>
        </w:rPr>
        <w:t xml:space="preserve">El precio ya paga la recuperación</w:t>
      </w:r>
      <w:r>
        <w:t xml:space="preserve">: valor intrínseco de 441,18 USD, el precio de hoy.</w:t>
      </w:r>
    </w:p>
    <w:p>
      <w:pPr>
        <w:pStyle w:val="ListParagraph"/>
        <w:numPr>
          <w:ilvl w:val="0"/>
          <w:numId w:val="2"/>
        </w:numPr>
        <w:spacing w:after="60"/>
      </w:pPr>
      <w:r>
        <w:rPr>
          <w:b/>
        </w:rPr>
        <w:t xml:space="preserve">ROIC solo 2,8 puntos sobre el WACC</w:t>
      </w:r>
      <w:r>
        <w:t xml:space="preserve"> y ROIC incremental del 6,3 %.</w:t>
      </w:r>
    </w:p>
    <w:p>
      <w:pPr>
        <w:pStyle w:val="ListParagraph"/>
        <w:numPr>
          <w:ilvl w:val="0"/>
          <w:numId w:val="2"/>
        </w:numPr>
        <w:spacing w:after="60"/>
      </w:pPr>
      <w:r>
        <w:rPr>
          <w:b/>
        </w:rPr>
        <w:t xml:space="preserve">Batido de baja calidad</w:t>
      </w:r>
      <w:r>
        <w:t xml:space="preserve">: 1,85 USD del BPA del 3T26 fueron no operativos [4].</w:t>
      </w:r>
    </w:p>
    <w:p>
      <w:pPr>
        <w:pStyle w:val="ListParagraph"/>
        <w:numPr>
          <w:ilvl w:val="0"/>
          <w:numId w:val="2"/>
        </w:numPr>
        <w:spacing w:after="60"/>
      </w:pPr>
      <w:r>
        <w:rPr>
          <w:b/>
        </w:rPr>
        <w:t xml:space="preserve">Medicaid</w:t>
      </w:r>
      <w:r>
        <w:t xml:space="preserve">: requisitos de trabajo desde 2027 y margen en su suelo [17].</w:t>
      </w:r>
    </w:p>
    <w:p>
      <w:pPr>
        <w:pStyle w:val="ListParagraph"/>
        <w:numPr>
          <w:ilvl w:val="0"/>
          <w:numId w:val="2"/>
        </w:numPr>
        <w:spacing w:after="60"/>
      </w:pPr>
      <w:r>
        <w:rPr>
          <w:b/>
        </w:rPr>
        <w:t xml:space="preserve">Bajista profundo</w:t>
      </w:r>
      <w:r>
        <w:t xml:space="preserve">: −32,8 % si el margen se queda en el de 2025.</w:t>
      </w:r>
    </w:p>
    <w:p>
      <w:pPr>
        <w:pStyle w:val="Heading2"/>
      </w:pPr>
      <w:r>
        <w:t xml:space="preserve">Qué tiene que pasar para que la tesis funcione</w:t>
      </w:r>
    </w:p>
    <w:p>
      <w:pPr>
        <w:spacing w:after="100"/>
      </w:pPr>
      <w:r>
        <w:t xml:space="preserve">La tesis depende de que el ratio de prestaciones siga bajando por precios y no por reservas o renta de inversiones, con Medicaid saliendo del suelo de 2026 a pesar de los requisitos de trabajo. La señal de que no se cumple: una guía de 2027 por debajo de 29 USD de BPA ajustado (27-ene-2027) o un ratio de prestaciones del 1T27 peor que el del 1T26. La segunda condición es regulatoria: el aviso de tarifas de Medicare Advantage de 2028 (finales de enero) por encima del +2 %.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prestaciones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91 % 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 125 USD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BPA ajustado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29,96 USD prometido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29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base del BPA de 2028e del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Medicaid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Suelo en 2026 (objetivo 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 la recuperación del margen depende de Medicaid.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 de inversiones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 M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mejora operativa de la financiera.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Aviso de tarifas de Medicare Advantage 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 en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aviso de 2027 costó un −14,3 % en un día.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 / 11,6x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18,7x / 14,7x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Elevance Health nace en 2004 de la fusión de Anthem (Indiana) y WellPoint (California), las dos mayores licenciatarias de Blue Cross Blue Shield. Como WellPoint compró Amerigroup en 2012 (Medicaid) y volvió a llamarse Anthem en 2014; su intento de comprar Cigna (2015) lo bloquearon los tribunales en 2017. Desde 2017, con Gail Boudreaux de consejera delegada, ha añadido servicios: gestor de farmacia propio (IngenioRx, hoy CarelonRx, desde 2020), Beacon Health Options (salud conductual, 2020), MMM de Puerto Rico (2021), BioPlus (2023), Paragon y CareBridge (2024). En 2022 cambió el nombre a Elevance Health y agrupó los servicios en Carelon [1]. La lección de 2024-2026 es que la escala Blue no protegió el margen cuando Medicaid y Medicare Advantage subieron de coste más deprisa que las tarifas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Anthem (Indiana) y WellPoint (California), las dos mayores licenciatarias de Blue Cross Blue Shield.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Amerigroup: entrada en Medicaid gestionado.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tribunales bloquean la compra de Cigna; Gail Boudreaux, consejera delegada.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su propio gestor de farmacia (IngenioRx, hoy CarelonRx) y compra Beacon Health Options.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nombre a Elevance Health; los servicios pasan a Carelon.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Paragon, CareBridge y Centers (4.809 M); el ratio de prestaciones sube al 88,5 % y el BPA ajustado cae por primera vez en una década.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prestaciones del 90,0 % y BPA ajustado de 30,29 USD frente a 33,14 en 2023.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CMS sobre datos de riesgo de Medicare Advantage (provisión de 935 M, 342 M pagados, caso cerrado sin sanciones en julio); salida de mercados de Medicare Advantage y Medicaid; guía de BPA ajustado subida tres veces, a al menos 29,00 USD el 21-oct [4, 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Elevance Health es la segunda aseguradora de salud de EE. UU. por afiliados en seguro comercial y la mayor licenciataria de Blue Cross Blue Shield (14 estados): 44,9 M de afiliados médicos a 30-sep-2026 en planes de empresa (asegurados y de autoservicio), individuales del ACA, Medicare Advantage y Medicaid gestionado [4]. Opera en tres negocios: Health Benefits (las primas, ≈ 83 % de los ingresos en 2025), CarelonRx (gestor de farmacia propio desde 2020, farmacia de especialidad e infusión) y Carelon Services (salud conductual, atención domiciliaria, oncología y gestión de especialidades, tras comprar Beacon, CareBridge y Paragon) [1]. Sus clientes son empresas, particulares y, sobre todo, el Estado: Medicaid y Medicare pagan la parte pública de las primas.</w:t>
      </w:r>
    </w:p>
    <w:p>
      <w:pPr>
        <w:pStyle w:val="Heading2"/>
      </w:pPr>
      <w:r>
        <w:t xml:space="preserve">Cómo gana dinero</w:t>
      </w:r>
    </w:p>
    <w:p>
      <w:pPr>
        <w:spacing w:after="100"/>
      </w:pPr>
      <w:r>
        <w:t xml:space="preserve">Cobra primas por adelantado y paga la atención médica después: el margen es la diferencia entre la prima y el coste médico (ratio de prestaciones del 87,0 % en 2023, 88,5 % en 2024 y 90,0 % en 2025; 90,6 % en el 3T26) menos los gastos operativos (10,6 % de los ingresos en 2025) [1, 4]. Un punto de ratio de prestaciones sobre ≈ 165.000 M de primas son ≈ 1.650 M de resultado antes de impuestos, unos 5,8 USD por acción (estimación propia). La prima se fija con un año de antelación (comercial) o la fija el Estado (Medicare Advantage, Medicaid), así que un salto del coste médico se come el margen un año y se recupera con retraso. Gana además la renta de la cartera de las filiales reguladas (2.506 M en nueve meses de 2026) y los márgenes de CarelonRx y Carelon Services, sobre todo con los propios afiliados [4]. Estacionalidad: el primer trimestre es el mejor (BPA ajustado de 12,58 USD en el 1T26) y el cuarto el peor (3,33 USD en el 4T25) por los deducibles y la parte D [7, 8].</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 Benefits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CarelonRx</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Carelon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&amp; Other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-41.689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 Benefits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CarelonRx</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Carelon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&amp; Other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en un cliente privado, pero sí en el pagador público: Medicaid (contratos estatales que se licitan cada 3-5 años) y Medicare Advantage (tarifas fijadas por CMS cada año) concentran el riesgo [1]. El poder de precios se ve en 2026: la empresa ha subido primas y ha salido de mercados de Medicaid, del ACA y de Medicare Advantage con pérdidas, aceptando perder afiliados: los ingresos operativos crecen un 1,0 % en nueve meses con un 15,5 % menos de afiliados de Medicare Advantage [4]. En Medicaid los estados han ido por detrás del coste; la dirección da 2026 como el suelo del margen y apunta a un 2-4 % [17]. En el comercial, varios grandes empleadores volvieron para 2027 [17].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Afiliados médicos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 Medicare Advantage (−15,5 %), Medicaid (−4,9 %) y grupo de riesgo (−6,9 %); suben los de servicios (+1,9 %)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prestaciones (sobre primas)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90,6 % en el 3T26, 70 pb mejor que un año antes; 90,0 % en 2025 frente a 88,5 % en 2024 y 87,0 % en 2023 [4, 8,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gastos operativos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puntuales en tecnología, gestión del coste médico y Carelon, financiadas con la renta no recurrente de la cartera [4,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reservas médicas (DCP)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reservas por día de prestaciones: colchón prudente frente a la tendencia de costes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Recetas ajustadas de CarelonRx (M,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recetas por la pérdida de afiliados; el margen del segmento sube al 5,3 %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 Benefits cae al 2,7 % (3,5 %); Carelon Services al 4,9 %; CarelonRx estable en el 5,3 %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sanitario de EE. UU., donde UnitedHealth cobra primas y servicios: las cuentas nacionales de salud de CMS (National Health Expenditures) lo miden en 5,28 billones de USD en 2024 [24]. Dentro de él, los subsectores de UnitedHealth son el seguro privado (1,64 billones en 2024), Medicare (1,12 billones, del que Medicare Advantage cubre al 55 % de los beneficiarios elegibles en 2026) y Medicaid (0,93 billones), además de los fármacos de receta (467.000 M) que intermedian los gestores de farmacia [24, 27]. Se usa la serie oficial de la Oficina del Actuario de CMS [26]; la segunda fuente, la propia UnitedHealth, sitúa el gasto sanitario en el 19 % del PIB en 2025 [22], frente al 18,0 % de 2024 de CMS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5,28 billones de USD en 2024 (18,0 % del PIB) y 5,66 billones estimados en 2025; CMS proyecta 9,0 billones en 2034 [24, 25,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paso a Medicare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de 65 años o más crece un 2,8 % en 2025 y un 2,7 % en 2026; CMS prevé que el gasto de Medicare crezca un 7,7 % anual en 2025-34, frente al 5,0 % del seguro privado [25,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Medicare Advantage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55 % de los beneficiarios elegibles (35,2 M) está en Medicare Advantage en 2026, frente al 19 % en 2007; la CBO prevé el 63 % en 2034, aunque el crecimiento se frena (+3 % en 2026)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y coste médico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subió el ratio de siniestralidad de todo el sector: UnitedHealth del 85,5 % al 89,1 %, Elevance del 88,5 % al 90,0 %, Centene del 88,3 % al 91,9 % y Molina del 89,1 % al 91,7 % [1, 22, 31, 32]. CMS prevé que el gasto se modere del 7,3 % en 2025 al 6,3 % en 2026 por menor utilización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Medicare Advantage y ajuste por riesgo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pagos del 5,06 % en 2026 y del 2,48 % en 2027 (4,98 % con la tendencia de puntuaciones de riesgo); la revisión del modelo de riesgo resta un 1,12 % en 2027 y la exclusión de diagnósticos de revisiones de historias no vinculadas, un 1,53 % [33,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Medicaid y fin de los subsidios reforzados del ACA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prevé 3,7 M menos de asegurados en compra directa en 2026 por el fin de los subsidios reforzados y 2,6 M menos en Medicaid en 2027-28 por los requisitos de la ley OBBBA; el seguro de la población baja del 91,8 % en 2024 al 90,4 % en 2028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Fármacos de especialidad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en fármacos de receta crece un 11,1 % en 2025 (518.700 M) por diabetes y obesidad [25]; más volumen para los gestores de farmacia y más coste para las aseguradoras. Optum Rx gestionó 87.000 M en especialidad en 2025 [22].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afiliados cambian de aseguradora cada año: en Medicare Advantage Humana ganó 1,3 M de afiliados en 2026 y UnitedHealth perdió 647.000 [27]. Los márgenes operativos de 2025 fueron bajos: del −3,9 % de Centene al 4,2 % de UnitedHealth [1, 22, 28, 29, 30, 31,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fija el precio en Medicare y Medicaid: CMS propuso una subida de solo el 0,09 % para 2027 y es el 44 % de los ingresos de UnitedHealth [22, 34]. Las grandes empresas se autoaseguran: 21,5 M de los 29,7 M de afiliados comerciales de UnitedHealth están en contratos de solo administración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hospitalario creció un 8,9 % en 2024 [24]. UnitedHealth atribuye el coste comercial elevado a precios de los proveedores, servicios agrupados por visita y al arbitraje de la ley No Surprises [23]. Los laboratorios fijan el precio de los fármacos de especialidad.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capital regulado, redes de proveedores y escala: los cinco mayores tienen el 57 % del seguro comercial y en el 97 % de las áreas metropolitanas el mercado está muy concentrado [37]. Hay entrantes en Medicare Advantage: Devoted Health ganó 258.000 afiliados en 2026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de Medicare Advantage es Medicare tradicional (el 45 % de los elegibles sigue en él) [27]; el del seguro con riesgo, el autoaseguramiento de la empresa, que UnitedHealth también administra [22].</w:t>
            </w:r>
          </w:p>
        </w:tc>
      </w:tr>
    </w:tbl>
    <w:p>
      <w:pPr>
        <w:spacing w:after="160" w:before="0"/>
      </w:pPr>
    </w:p>
    <w:p>
      <w:pPr>
        <w:pStyle w:val="Heading2"/>
      </w:pPr>
      <w:r>
        <w:t xml:space="preserve">Ciclo</w:t>
      </w:r>
    </w:p>
    <w:p>
      <w:pPr>
        <w:spacing w:after="100"/>
      </w:pPr>
      <w:r>
        <w:t xml:space="preserve">El sector viene de un ciclo de siniestralidad alta: en 2025 el ratio subió entre 1,5 y 3,6 puntos en las grandes aseguradoras y Centene registró un deterioro de 6.700 M [1, 22, 31, 32]. En 2026 las primas se han subido y se han recortado prestaciones y afiliados: el MCR de UnitedHealth bajó al 86,7 % en el 2T26 [23, 39] y el ratio de prestaciones de Elevance mejoró 70 pb en el 3T26 (90,6 %), con Medicaid ayudado por las tarifas del 1-jul y la tendencia de coste «elevada pero estable» [4, 17]. En 2020 la utilización se hundió (el gasto del seguro privado creció solo un 0,4 %) y repuntó en 2023 (+11,2 %) [26]. La serie de CMS no cubre 2008-09.</w:t>
      </w:r>
    </w:p>
    <w:p>
      <w:pPr>
        <w:pStyle w:val="Heading2"/>
      </w:pPr>
      <w:r>
        <w:t xml:space="preserve">Regulación</w:t>
      </w:r>
    </w:p>
    <w:p>
      <w:pPr>
        <w:spacing w:after="100"/>
      </w:pPr>
      <w:r>
        <w:t xml:space="preserve">Medicare Advantage: CMS subió los pagos un 5,06 % para 2026 (más de 25.000 M) y, tras proponer un 0,09 % el 26-ene-2026, fijó un 2,48 % para 2027 el 6-abr-2026 (más de 13.000 M; 4,98 % con la tendencia de riesgo); renunció al nuevo modelo de riesgo de 2027 y mantiene el de 2024 (V28), pero excluye diagnósticos de revisiones de historias no vinculadas [33, 34, 35]. Farmacia: la ley de presupuestos firmada a principios de febrero de 2026 desvincula la remuneración de los gestores de farmacia del precio de los fármacos en Part D y obliga a trasladar los descuentos [38]. ACA: expiraron los subsidios reforzados (−3,7 M asegurados en 2026) [25]. Medicaid: la ley OBBBA limita impuestos a proveedores y pagos dirigidos y exige requisitos de trabajo [25]. Elevance cita además los arbitrajes de la ley No Surprises (IDR), que le han obligado a reconocer 669 M de pasivos, sobre todo de clientes autoasegurados [5, 17].</w:t>
      </w:r>
    </w:p>
    <w:p>
      <w:pPr>
        <w:pStyle w:val="Heading2"/>
      </w:pPr>
      <w:r>
        <w:t xml:space="preserve">Tendencias y disrupción</w:t>
      </w:r>
    </w:p>
    <w:p>
      <w:pPr>
        <w:spacing w:after="100"/>
      </w:pPr>
      <w:r>
        <w:t xml:space="preserve">Tres tendencias pesan en las cifras. Primera, la integración vertical: aseguradora, gestor de farmacia y médicos propios en un mismo grupo (UnitedHealth con Optum, CVS con Aetna y Caremark, Cigna con Express Scripts); es la base del modelo de UnitedHealth, pero atrae la regulación de los gestores de farmacia [38]. Segunda, el paso de pago por acto a atención basada en valor, que en 2025 dio pérdidas a Optum Health (−278 M) por la reducción de las tarifas de Medicare [22]. Tercera, la caída de la cuota de los grandes en Medicare Advantage frente a Humana, Kaiser y aseguradoras nuevas (Devoted, SCAN) [27]. La inteligencia artificial y la regulación de datos aparecen como riesgo y oportunidad en el 10-K [22].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en seguro médico comercial en EE. UU. (12 % de los afiliados en 2024, detrás de UnitedHealth con el 16 %) [37]; ≈ 5 % de Medicare Advantage [27] (1,9 M de afiliados a 30-sep-2026, −15,5 % en un año); 8,2 M de afiliados de Medicaid y 1,3 M en el ACA [4]. Sus ingresos de 2025 equivalen al 3,5 % del gasto sanitario nacional estimado (estimación propia: 197.584 M sobre 5,66 billones) [1, 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1.º en seguro comercial (16 %) y en Medicare Advantage (26 %), con Optum (servicios, tecnología y farmacia). Ratio de siniestralidad del 89,1 % en 2025 [22, 27,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 (Aetna, CVS Caremark)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integrado como UnitedHealth: aseguradora (26,6 M de afiliados médicos, MBR del 91,2 %), Caremark (1.900,7 M de recetas) y farmacias. Beneficio operativo de 4.660 M en 2025. Cuota en Medicare Advantage [27,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 (Express Scripts, Evernorth)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gestión de farmacia: Express Scripts procesó 2.220 M de recetas en 2025 (≈31 % del mercado, estimación propia) [36]. Vendió Medicare Advantage a HCSC; 18,1 M de clientes médicos y MCR del 84,4 % en Cigna Healthcare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Medicaid gestionado y en el seguro individual del ACA; 27,6 M de afiliados y HBR del 91,9 %. Pérdida operativa de 7.623 M en 2025 por un deterioro de fondo de comercio de 6.700 M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Medicare Advantage y el que más crece (+1,3 M de afiliados en 2026) [27]. Ratio de prestaciones del 90,2 % y 15,0 M de afiliados médicos en 2025; CenterWell (atención primaria y domiciliaria) compite con Optum Health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Molina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Medicaid, Medicare y ACA; 5,5 M de afiliados y MCR del 91,7 % en 2025 (89,1 % en 2024); compite con Community &amp; State en concursos estatales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proveedores de Blue Cross Blue Shield (descuentos negociados en 14 estados) atrae a empresas, pero el afiliado no gana valor con más afiliados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contratos de seguro se renuevan cada año; el grupo de empresa (ASO) es más estable que Medicare Advantage o Medicaid, que se licitan o se eligen cada año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exclusiva de la marca Blue Cross Blue Shield en 14 estados: es la principal barrera y explica el 12 % de cuota en seguro comercial [7, 17].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gastos operativos del 10,6 % en 2025, el más bajo entre las grandes (UnitedHealth 13,3 %, Humana 12,0 %) [1, 7,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44,9 M de afiliados médicos a 30-sep-2026: escala local para negociar con hospitales, pero menor que UnitedHealth (49,8 M en 2025) y sin una Optum [7, 28].</w:t>
            </w:r>
          </w:p>
        </w:tc>
      </w:tr>
    </w:tbl>
    <w:p>
      <w:pPr>
        <w:spacing w:after="160" w:before="0"/>
      </w:pPr>
    </w:p>
    <w:p>
      <w:pPr>
        <w:pStyle w:val="Heading2"/>
      </w:pPr>
      <w:r>
        <w:t xml:space="preserve">Amenazas</w:t>
      </w:r>
    </w:p>
    <w:p>
      <w:pPr>
        <w:spacing w:after="100"/>
      </w:pPr>
      <w:r>
        <w:t xml:space="preserve">La regulación es la amenaza principal: Medicaid (requisitos de trabajo y límites de financiación de la ley H.R. 1 desde 2027), ajuste de riesgo de Medicare Advantage (V28 y fuentes de diagnóstico, y el caso de CMS de 2026) y el fin de los subsidios reforzados del ACA reducen afiliados e ingresos por miembro justo en los negocios públicos donde Elevance perdió margen en 2025 [5, 33, 34]. En comercial, la presión viene de los hospitales (consolidación), de los arbitrajes IDR y de los fármacos GLP-1 y de especialidad [17]. Es una erosión de margen, no de la franquicia Blue: en la campaña de 2027 «varios grandes empleadores» volvieron a Anthem tras un año fuera [17].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2021-2025: ingresos </w:t>
      </w:r>
      <w:r>
        <w:rPr>
          <w:b/>
          <w:bCs/>
        </w:rPr>
        <w:t xml:space="preserve">9,6 %</w:t>
      </w:r>
      <w:r>
        <w:t xml:space="preserve">, EBITDA </w:t>
      </w:r>
      <w:r>
        <w:rPr>
          <w:b/>
          <w:bCs/>
        </w:rPr>
        <w:t xml:space="preserve">0,8 %</w:t>
      </w:r>
      <w:r>
        <w:t xml:space="preserve">, BPA </w:t>
      </w:r>
      <w:r>
        <w:rPr>
          <w:b/>
          <w:bCs/>
        </w:rPr>
        <w:t xml:space="preserve">0,3 %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operativos pasaron de 136.943 M en 2021 a 197.584 M en 2025 (+12,8 % solo en 2025, con primas más altas, más afiliados de Medicaid de alta complejidad y las compras de CareBridge, Centers y Paragon) [1, 2]. El beneficio no acompañó: el EBIT (con la renta de la cartera y después de amortizar intangibles) bajó de 9.439 M en 2023 a 8.765 M en 2025, porque el ratio de prestaciones subió del 87,0 % (2023) al 88,5 % (2024) y al 90,0 % (2025), con Medicaid, el ACA y la parte D por delante de las tarifas [8, 12, 13]. En los últimos doce meses a septiembre de 2026 los ingresos apenas crecen (199.071 M) porque la empresa salió de mercados de Medicare Advantage y Medicaid; el margen operativo ajustado de los nueve meses baja al 4,2 % (4,8 %) por inversiones puntuales, mientras el ratio de prestaciones del 3T26 mejora 70 pb [4]. El BPA aguantó gracias a la recompra (de 246,8 a 224,6 M de acciones entre 2021 y 2025) y a un tipo del 15,6 % en 2025 [1].</w:t>
      </w:r>
    </w:p>
    <w:p>
      <w:pPr>
        <w:pStyle w:val="Heading2"/>
      </w:pPr>
      <w:r>
        <w:t xml:space="preserve">Ajustes y partidas no recurrentes</w:t>
      </w:r>
    </w:p>
    <w:p>
      <w:pPr>
        <w:spacing w:after="100"/>
      </w:pPr>
      <w:r>
        <w:t xml:space="preserve">Cuentas en US GAAP; 2021 y 2022 reexpresados por la norma de contratos de larga duración (LDTI, ASU 2018-12) en el 10-K 2023 [2]. Elevance publica un BPA ajustado que excluye la amortización de intangibles comprados, los resultados de instrumentos financieros, los costes de operaciones e integración, las reorganizaciones, los litigios y, en 2026, la provisión de 935 M por el aviso de CMS sobre datos de riesgo de Medicare Advantage: 30,29 USD en 2025 frente a 25,21 contables, y una guía de 2026 de al menos 29,00 frente a 22,00 contables [4, 8]. Como partidas no recurrentes dentro del EBITDA van las reorganizaciones, los litigios, las ventas de negocios y la provisión de CMS (1.241 M en 2024, 717 M en 2023, 1.120 M en los últimos doce meses); los costes de integración (≈ 130-240 M al año) se repiten y se dejan como gasto [1, 4, 8, 12, 13, 14, 15]. Además, la renta de inversiones de 2026 lleva ajustes de valoración no recurrentes: 0,80 USD por acción en el 2T26 y la mayor parte de los 1,85 USD de beneficio no operativo neto del 3T26 [17, 18].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3T26 (21-oct-2026) la dirección subió la guía de BPA ajustado a «al menos» 29,00 USD y, sobre todo, la base de partida de 2026 para el crecimiento de 2027 a 26,75 USD (26,00 tras el 2T26), y repitió el +12 % de BPA ajustado para 2027 [4, 17]. El 3T26 tuvo ≈ 0,50 USD de mejora operativa (Medicaid por las tarifas del 1-jul, Medicare Advantage por la cartera retenida y el ACA por menor coste de los planes bronce) y 1,85 USD de beneficio no operativo neto, sobre todo ajustes de valoración en la renta de inversiones [17]. Entre una conferencia y otra cambia el tono sobre Medicaid: en julio el margen «se mantenía prudente» y la empresa anunciaba salidas de mercados (Distrito de Columbia) en 12-18 meses; en octubre va «ligeramente por delante» y 2026 es «el suelo», con objetivo del 2-4 % a largo plazo [17, 18]. Medicare Advantage cerrará 2026 con un margen de al menos el 2 % (objetivo 3-5 %) [17]. Los analistas preguntaron sobre todo por Medicaid (requisitos de trabajo de la ley H.R. 1, acuidad, tarifas de 2027), por los arbitrajes de la ley No Surprises (IDR) y por el ACA tras el fin de los subsidios reforzados. La dirección no cuantificó el puente al +12 % de 2027 ni la recompra que incluye («más detalle en enero»)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1472"/>
        <w:gridCol w:w="1338"/>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CareBridge (10-dic-2024) y Centers (31-dic-2024), consolidadas al cierre: entran en el balance de 2024 y en la cuenta desde 2025; Paragon desde marzo de 2024. Pagos por compras de 4.809 M en 2024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pasó de 23.031 M (2021) a 32.046 M (2025) para pagar compras (4.809 M en 2024) y recompras; a 30-sep-2026 baja a 30.757 M tras amortizar 750 M en marzo [1, 4, 5]. La caja consolidada (10.348 M) y la cartera de inversiones respaldan las reservas médicas y el capital exigido a las filiales; la que puede usar el accionista es la de la matriz (2.416 M) [5]. Las cuentas a cobrar suben de 21.542 M a 24.573 M en nueve meses y otros pasivos corrientes de 22.702 M a 27.849 M, por el calendario de cobros y pagos con CMS y los estados; por eso el flujo operativo de los nueve meses (7.512 M) casi duplica el de 2025 (4.206 M)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29.015</w:t>
      </w:r>
      <w:r>
        <w:t xml:space="preserve">, conversión </w:t>
      </w:r>
      <w:r>
        <w:rPr>
          <w:b/>
          <w:bCs/>
        </w:rPr>
        <w:t xml:space="preserve">98 %</w:t>
      </w:r>
      <w:r>
        <w:t xml:space="preserve"> del beneficio neto; adquisiciones 10.486, dividendos 6.765, recompras 12.397.</w:t>
      </w:r>
    </w:p>
    <w:p>
      <w:pPr>
        <w:spacing w:after="100"/>
      </w:pPr>
      <w:r>
        <w:t xml:space="preserve">La conversión del beneficio en caja se ha deteriorado: el flujo operativo cayó de 8.364 M (2021) a 4.290 M (2025), por debajo del beneficio neto (5.662 M), por el aumento de las cuentas a cobrar (−2.526 M en 2025) y el pago de reservas [1]. En 2026 rebota: 7.512 M en nueve meses y una guía de al menos 6.500 M para el año, con efecto favorable del circulante que se dará la vuelta en parte [4, 17]. El capex es pequeño (1.087-1.296 M, 0,6-0,8 % de los ingresos) y es casi todo tecnología de mantenimiento y desarrollo; la inversión que de verdad exige crecer es el capital regulatorio que retienen las filiales (estimación propia en el DCF). De 2021 a 2025 se dedicaron 12.397 M a recompras, 6.765 M a dividendos y 10.486 M a compras [1,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la empresa desde 1944 y señala como asunto clave de auditoría la estimación de las prestaciones ocurridas y no comunicadas [1]. La principal fuente de juicio es la reserva médica: en 2025 la empresa liberó 1.290 M de reservas de años anteriores (1,0 % de las prestaciones del año anterior), menos que los 1.731 M de 2024 (1,4 %), y a septiembre de 2026 los días de reservas suben a 44,9 [4]. El BPA ajustado excluye partidas que se repiten cada año (costes de integración, reorganizaciones) y en 2026 una provisión de 935 M por datos de riesgo de Medicare Advantage, que es un coste del negocio ya pagado en parte [4, 5]. La renta de inversiones de 2026 incluye ajustes de valoración no recurrentes que la empresa sí cuenta en el BPA ajustado (≈ 2,65 USD por acción entre 2T y 3T) pero excluye de la base de 2026 (26,75) [17, 18]. Pagos en acciones moderados (276 M en 2025, 4,9 % del beneficio)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 de inversiones no recurrente dentro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Ajustes de valoración de 0,80 USD (2T26) y la mayor parte de 1,85 USD (3T26) por acción: la guía de 29,00 incluye ≈ 2,25 USD que la propia empresa excluye de la base de 26,75 [4, 17, 18].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por el aviso de CMS sobre datos de riesgo de Medicare Advantage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935 M dotados en el 1T26, excluidos del BPA ajustado; rango ±320 M [5]. El mismo asunto sostiene la demanda del Departamento de Justicia.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baja en 2024-2025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de 4.290 M frente a un beneficio de 5.662 M en 2025, por cobros pendientes de gobiernos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Menos liberación de reservas de años anteriores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 de las prestaciones del año anterior en 2025 frente al 1,4 % de 2023-2024: reservas menos holgadas o costes más altos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61.185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65.476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28.344 M en 2025 (el 43 % del capital invertido medio); ha subido más de un 5 % en 1 de 4 años: compras pequeñas. ROIC publicado 11,3 %; sin fondo de comercio, 20,0 %.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6,3 % · </w:t>
      </w:r>
      <w:r>
        <w:rPr>
          <w:b/>
          <w:bCs/>
        </w:rPr>
        <w:t xml:space="preserve">WACC</w:t>
      </w:r>
      <w:r>
        <w:t xml:space="preserve">: 8,5 %.</w:t>
      </w:r>
    </w:p>
    <w:p>
      <w:pPr>
        <w:spacing w:after="100"/>
      </w:pPr>
      <w:r>
        <w:t xml:space="preserve">Elevance crea valor, pero con poco margen: el ROIC fue del 12,4-14,2 % en 2021-2024 y bajó al 11,3 % en 2025, 2,8 puntos por encima del WACC (8,54 %) y por debajo de los 5 puntos que pedimos para comprar. Sin el fondo de comercio el ROIC sería del 20,0 %: el 44-45 % del capital invertido son compras pasadas (WellPoint, Amerigroup, MMM, BioPlus, Paragon, CareBridge) [1]. La caída de 2025 es de margen, no de rotación: el margen neto pasó del 4,5 % (2021) al 2,9 % (2025) mientras la rotación del capital se mantenía en 1,4-1,6 veces. El ROIC incremental de 2021-2025 es solo del 6,3 %, por debajo del WACC: las compras de 2024 (4.809 M) y el capital puesto en Carelon aún no rinden lo que el negocio original [1, 4]. El NOPAT incluye la renta de las inversiones reguladas; con la cartera dentro del capital invertido el ROIC sería más bajo. La recuperación de 2027 (BPA ajustado ≥ 29,96 USD) llevaría el ROIC hacia el 13 % (estimación propia); frente a los comparables (mediana 9,4 %), sigue en la mitad alta.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28.934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de la matriz de 2.416 M a 30-sep-2026; línea de crédito a 5 años de 5.000 M (vence en septiembre de 2030) sin disponer y programa de pagarés de 5.000 M sin saldo [5].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Reservas médicas de 18.438 M (44,9 días de prestaciones) a 30-sep-2026 [4]. Provisión por el aviso de CMS de febrero de 2026 sobre datos de riesgo de Medicare Advantage de 2015-2023: 935 M dotados, 342 M pagados el 27-may-2026 y 593 M pendientes; el rango posible va de 320 M menos a 320 M más [5]. Demanda del Departamento de Justicia por la Ley de Reclamaciones Falsas (datos de riesgo de la parte C): pruebas periciales hasta el 2-ago-2027 [5]. Arbitrajes IDR: pasivos de 669 M, de los que 625 M son de clientes autoasegurados y se recuperan (cuentas a cobrar de 575 M) [5]. Demanda colectiva de valores por la guía de 2024 (el juez denegó en septiembre de 2026 la desestimación) y tres demandas derivadas [5]. Ratio deuda/capital del 40,7 % según el contrato de la línea de crédito, con holgura sobre el covenant [5].</w:t>
      </w:r>
    </w:p>
    <w:p>
      <w:pPr>
        <w:pStyle w:val="Heading1"/>
      </w:pPr>
      <w:r>
        <w:t xml:space="preserve">12. Asignación de capital</w:t>
      </w:r>
    </w:p>
    <w:p>
      <w:pPr>
        <w:pStyle w:val="Confianza"/>
        <w:spacing w:after="100"/>
      </w:pPr>
      <w:r>
        <w:t xml:space="preserve">Confianza: Media</w:t>
      </w:r>
    </w:p>
    <w:p>
      <w:pPr>
        <w:spacing w:after="100"/>
      </w:pPr>
      <w:r>
        <w:t xml:space="preserve">Dividendo trimestral de 1,72 USD (6,88 al año, ≈ 1,6 % al precio actual), pagado desde 2011 y subido cada año [4]. Autorización de recompra pendiente de 5.007 M a 30-sep-2026; en nueve meses se recompraron 5,2 M de acciones por 1.688 M (324,88 USD de media) [5]. Para 2027 la dirección promete disciplina: mantener la solidez del balance, financiar inversiones y ser «oportunista» en recompras; a largo plazo, reinversión, compras selectivas y devolución de capital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MMM Holdings (Medicare Advantage en Puerto Rico), myNEXUS y otras (total del año)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del fondo de comercio publicados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 Managed Care (Medicaid de cuidados de larga duración en Nueva York)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BioPlus (farmacia de especialidad, CarelonRx)</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farmacia de especialidad; la dirección cita su centro de oncología de 2026 [2,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Paragon Healthcare (infusión), CareBridge (atención domiciliaria) y Centers (Medicaid de larga duración en Nueva York) (total del año)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(7.710 M emitidos en 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Explican el salto de ingresos de Carelon Services en 2025 (+57,7 %) con margen bajo (3,4 %) [1].</w:t>
            </w:r>
          </w:p>
        </w:tc>
      </w:tr>
    </w:tbl>
    <w:p>
      <w:pPr>
        <w:spacing w:after="160" w:before="0"/>
      </w:pPr>
    </w:p>
    <w:p>
      <w:pPr>
        <w:spacing w:after="100"/>
      </w:pPr>
      <w:r>
        <w:t xml:space="preserve">La asignación de capital es razonable pero no excelente. A favor: dividendo creciente desde 2011 (1,72 USD por trimestre), recompras constantes (2.605 M en 2025 y 1.688 M en nueve meses de 2026, a 324,88 USD de media, muy por debajo del precio actual) y deuda estable en ≈ 31.000 M [1, 5]. En contra: 10.486 M de compras en 2021-2024 cuyo rendimiento no se ve todavía (ROIC incremental del 6,3 %) y un flujo operativo que cayó a 4.290 M en 2025, por debajo del beneficio, por el capital circulante con CMS y los estados [1]. En 2026 el flujo vuelve (7.512 M en nueve meses, guía ≥ 6.500 M) y la dirección promete para 2027 «disciplina» y recompras «oportunistas», sin cifra [4, 17]. La caja de la matriz (2.416 M) es la que limita las recompras: depende de los dividendos que las filiales reguladas puedan pagar.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Gail K. Boudreaux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dirigió UnitedHealthcare (2008-2014). Con ella el BPA ajustado pasó de 19,44 USD (2019) a 33,14 (2023) y la empresa creó Carelon (farmacia y servicios); en 2024 y 2025 incumplió la guía de enero (37,10 y 34,50 USD frente a 33,04 y 30,29) [12, 13, 14]. Compró 2.725 acciones (1,0 M USD) en julio de 2026 [44]. Participación: 442.597 acciones con opciones ejercitables (0,2 %)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Kaye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Moody’s (2018-2023) y responsable de planificación en MassMutual [1]. Vendió 10.584 acciones por 4,66 M USD el 22-oct-2026, al día siguiente de los resultados, sin plan 10b5-1 [44]. Remuneración de 7,99 M USD en 2025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Felicia F. Norwood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responsable de Health Benefits (antes de los negocios públicos)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directora del departamento de sanidad de Illinois (2015-2018) y directiva de Aetna [1]. Dirige el negocio de seguros (Medicare, Medicaid y comercial) y explica la recuperación de Medicare Advantage hacia el margen del 2 % en 2026 [17]. 97.429 acciones con opciones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Morgan Kendrick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Commercial Health Benefits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1995; presidente del negocio comercial desde octubre de 2021 [1]: en la campaña de 2027 recuperó grandes empleadores que se habían ido un año antes [17]. Vendió 3.196 acciones (0,91 M USD) en marzo de 2026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 Park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Carelon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Sustituye a Peter Haytaian, que dejó Carelon el 4-may-2026 por motivos familiares y sigue de asesor hasta fin de año [17, 45]. Experiencia previa en servicios sanitarios y farmacia, según la dirección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Ramiro G. Peru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2004 y presidente independiente desde 2025, tras la jubilación de Elizabeth Tallett [40]. Compró 1.000 acciones (0,37 M USD) en julio de 2026 [44].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&gt; 24,50 USD (enero)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25,98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&gt; 28,25 USD (enero)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29,07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&gt; 32,60 USD (enero)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33,14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&gt; 37,10 USD (enero)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33,04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34,15-34,85 USD (enero)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30,29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 25,50 USD (enero); ≥ 26,75 (abril), ≥ 27,00 (julio) y ≥ 29,00 (octubre)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27,06 USD en nueve meses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con experiencia: Boudreaux lleva desde 2017 y antes dirigió UnitedHealthcare; Norwood (negocios de seguro) y Kendrick (comercial) llevan años en sus puestos [1, 40]. La credibilidad sufrió con dos guías incumplidas (2024 y 2025), pero 2026 la recupera: la guía de BPA ajustado se ha subido tres veces, de ≥ 25,50 a ≥ 29,00 USD [4, 8]. La señal de los directivos es mixta: la consejera delegada y el presidente compraron en julio, a ≈ 370 USD, y el director financiero vendió 4,66 M USD el 22-oct, sin plan 10b5-1, el día siguiente a subir la guía [44]. Carelon cambió de presidente en mayo; el sucesor (Jeff Park) es nuevo [17, 45].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Ramiro G. Peru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talento;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Gail K. Boudreaux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 Kerry Clark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 jubiló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H. Collis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D. DeVore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(presidenta); Remuneración y talento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L. Dixon,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talento;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Lewis Hay,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Bahija Jallal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(presidenta); Remuneración y talento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F. Neri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talento (presidente);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M. Schneider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W. Schulman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Deanna D. Strable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2,24 / ventas 6,41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M de acciones a 31-dic-2025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 M de acciones a 31-dic-2025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(19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799.910 acciones con opciones ejercitables a 1-feb-2026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Kaye Mark (EVP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PERU RAMIRO G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BOUDREAUX GAIL (President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Penczek Ronald W (CAO &amp;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Dixon Robert L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Penczek Ronald W (CAO &amp;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SCHULMAN AMY W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Kendrick Charles Morgan JR (EVP &amp; President, Commercial)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COLLIS STEVEN 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22,58 M USD en 2025: 1,60 M de fijo, 2,77 M de variable anual (el 86,5 % del objetivo) y 17,64 M en acciones y opciones; la relación con el empleado mediano es de 286 a 1 [40]. El variable anual pesa un 50 % el beneficio neto ajustado, un 20 % los ingresos operativos y un 30 % iniciativas estratégicas; las acciones por objetivos (PSU) miden el BPA ajustado y los ingresos [40]. Ninguna métrica es de rentabilidad sobre el capital ni de caja, y las dos financieras pueden premiar crecer comprando y recomprando. Hay cláusula de recuperación (también por daño reputacional), prohibición de coberturas y pignoración, y voto consultivo anual: 95,9 % a favor en 2026, 91,7 % en 2025 y 91,6 % en 2024 [40, 41, 42, 43].</w:t>
      </w:r>
    </w:p>
    <w:p>
      <w:pPr>
        <w:pStyle w:val="Heading2"/>
      </w:pPr>
      <w:r>
        <w:t xml:space="preserve">Operaciones vinculadas, estructura de control y defensas</w:t>
      </w:r>
    </w:p>
    <w:p>
      <w:pPr>
        <w:spacing w:after="100"/>
      </w:pPr>
      <w:r>
        <w:t xml:space="preserve">No hay accionista de control: los dos mayores son gestoras indexadas (Vanguard 10,1 %, BlackRock 7,8 %) [40]. Una sola clase de acciones. La defensa principal es el consejo escalonado (cada consejero se elige para tres años): la empresa dice que lo desclasificará si la asociación Blue Cross Blue Shield deja de exigirlo a sus licenciatarias [40, 41]. La licencia Blue limita además quién puede comprar la empresa. El presidente del consejo es independiente desde 2025 y todas las comisiones son de independientes [40].</w:t>
      </w:r>
    </w:p>
    <w:p>
      <w:pPr>
        <w:pStyle w:val="Heading2"/>
      </w:pPr>
      <w:r>
        <w:t xml:space="preserve">Señales de alerta</w:t>
      </w:r>
    </w:p>
    <w:p>
      <w:pPr>
        <w:pStyle w:val="ListParagraph"/>
        <w:numPr>
          <w:ilvl w:val="0"/>
          <w:numId w:val="2"/>
        </w:numPr>
        <w:spacing w:after="60"/>
      </w:pPr>
      <w:r>
        <w:t xml:space="preserve">Aviso de sanciones de CMS en Medicare Advantage (27-feb-2026) por datos de riesgo de 2015-2023: provisión de 935 M y caso cerrado sin sanciones el 13-jul-2026 [5, 46].</w:t>
      </w:r>
    </w:p>
    <w:p>
      <w:pPr>
        <w:pStyle w:val="ListParagraph"/>
        <w:numPr>
          <w:ilvl w:val="0"/>
          <w:numId w:val="2"/>
        </w:numPr>
        <w:spacing w:after="60"/>
      </w:pPr>
      <w:r>
        <w:t xml:space="preserve">Demanda colectiva de valores por la guía de 2024, que sigue adelante tras la decisión de septiembre de 2026, y tres demandas derivadas contra consejeros [5].</w:t>
      </w:r>
    </w:p>
    <w:p>
      <w:pPr>
        <w:pStyle w:val="ListParagraph"/>
        <w:numPr>
          <w:ilvl w:val="0"/>
          <w:numId w:val="2"/>
        </w:numPr>
        <w:spacing w:after="60"/>
      </w:pPr>
      <w:r>
        <w:t xml:space="preserve">Dos guías anuales incumplidas seguidas (2024 y 2025) [12, 13].</w:t>
      </w:r>
    </w:p>
    <w:p>
      <w:pPr>
        <w:pStyle w:val="ListParagraph"/>
        <w:numPr>
          <w:ilvl w:val="0"/>
          <w:numId w:val="2"/>
        </w:numPr>
        <w:spacing w:after="60"/>
      </w:pPr>
      <w:r>
        <w:t xml:space="preserve">Venta del director financiero de 4,66 M USD el 22-oct-2026, al día siguiente de subir la guía [44].</w:t>
      </w:r>
    </w:p>
    <w:p>
      <w:pPr>
        <w:pStyle w:val="ListParagraph"/>
        <w:numPr>
          <w:ilvl w:val="0"/>
          <w:numId w:val="2"/>
        </w:numPr>
        <w:spacing w:after="60"/>
      </w:pPr>
      <w:r>
        <w:t xml:space="preserve">Salida del presidente de Carelon (mayo de 2026); el sucesor llegó en octubre [17, 45].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(21-oct-2026): BPA ajustado de al menos 29,00 USD (≥ 25,50 en enero, ≥ 26,75 en abril, ≥ 27,00 en julio), BPA contable de al menos 22,00 USD y flujo operativo de al menos 6.500 M [4]. La guía incluye partidas no operativas favorables; la «base» de 2026 sin ellas es de al menos 26,75 USD (26,00 en julio), y sobre ella la dirección promete un crecimiento del BPA ajustado de al menos el 12 % en 2027 (≥ 29,96 USD) [4]. Medicare Advantage con margen de al menos el 2 % en 2026 y objetivo del 3-5 %; Medicaid con objetivo del 2-4 % y 2026 como suelo. Detalle de 2027 en enero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S&amp;P Global vía Stock Analysis [49]; ingresos, EBITDA, EBIT y DPA: MarketScreener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S&amp;P Global vía Stock Analysis [49]; resto: MarketScreener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[51] (su BPA de 2028e, 32,82 USD, es contable y no se mezcla con el ajustado)</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213.536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8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406,00 – 523,00</w:t>
            </w:r>
          </w:p>
        </w:tc>
      </w:tr>
    </w:tbl>
    <w:p>
      <w:pPr>
        <w:spacing w:after="160" w:before="0"/>
      </w:pPr>
    </w:p>
    <w:p>
      <w:pPr>
        <w:pStyle w:val="Heading2"/>
      </w:pPr>
      <w:r>
        <w:t xml:space="preserve">Revisiones de estimaciones</w:t>
      </w:r>
    </w:p>
    <w:p>
      <w:pPr>
        <w:spacing w:after="100"/>
      </w:pPr>
      <w:r>
        <w:t xml:space="preserve">Las estimaciones suben desde abril con cada subida de la guía: el BPA ajustado de 2026 pasa de ≈ 26,9 USD antes del 3T26 a 29,08, y el de 2027 a 30,22 (≈ 29,1 antes) [49]. Tras los resultados, TD Cowen subió su objetivo de 465 a 495 USD, Mizuho de 470 a 490, Goldman Sachs de 395 a 451 (Mantener), Truist de 475 a 500 y UBS de 460 a 523 [49]. El objetivo medio de S&amp;P Global (22 analistas) es de 481,48 USD; el de MarketBeat (23, incluye objetivos más viejos) de 455,57 [49, 50]. MarketScreener solo da cifras contables (BPA de 22,43, 28,17 y 32,82 USD en 2026-2028) [51]. Las estimaciones de ingresos de 2026 (198.740 M) incluyen ya la pérdida de afiliados [51].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bl>
    <w:p>
      <w:pPr>
        <w:spacing w:after="160" w:before="0"/>
      </w:pPr>
    </w:p>
    <w:p>
      <w:pPr>
        <w:spacing w:after="100"/>
      </w:pPr>
      <w:r>
        <w:t xml:space="preserve">Elevance sube un 27,3 % en 2026 (frente al 12,3 % del S&amp;P 500 y el 17,2 % del sector) y un 31,1 % en un año, pero en tres años apenas gana un 0,9 % anual frente al 24,1 % del índice [48]. 2024 (−20,7 %) y 2025 (−3,1 %) fueron los años de las guías incumplidas. En 2026 cayó un 14,3 % el 27-ene con una guía floja y el aviso de tarifas de Medicare Advantage de 2027, y un 8,1 % el 2-mar con el aviso de sanciones de CMS; rebotó un 32,2 % en el mes hasta el 29-abr con la tarifa definitiva (+2,48 %) y la primera subida de guía [33, 46, 48]. Tras los resultados del 3T26 marcó un máximo de 52 semanas (450,69 USD intradía el 21-oct) y cierra el 23-oct a 439,95, un 21,8 % por debajo de su máximo histórico [48]. La beta mensual de cinco años (0,63) no recoge el riesgo regulatorio: la caída máxima en cinco años fue del −50,4 % (sep-2024 a ago-2025).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 / +16,3 % / +27,6 % / +27,4 %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 +56,7 %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por debajo de lo esperado (BPA ajustado ≥ 25,50 USD) y aviso de tarifas de Medicare Advantage de 2027 casi plano (27-ene) [8,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sanciones de CMS por datos de riesgo de Medicare Advantage (2-mar); caso cerrado sin sanciones el 13-jul con una provisión de 935 M [5,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definitiva de Medicare Advantage de 2027 (+2,48 %) y primera subida de la guía con el 1T26 [7,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2T26 (15-jul, −8,5 % en el día): guía subida pero ratio de prestaciones +80 pb por Medicaid y Medicare [6,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BPA ajustado de 6,99 USD frente a 4,71 de consenso (con 1,85 USD de beneficio no operativo neto), ratio de prestaciones del 90,6 % (−70 pb) y guía de 2026 subida a ≥ 29,00 USD; ≥ 12 % de crecimiento en 2027 sobre una base de 26,75 [4,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vende 10.584 acciones (4,66 M USD) sin plan 10b5-1; en julio compraron la consejera delegada (1,0 M) y el presidente (0,37 M)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bancos suben el objetivo tras el 3T26 (UBS a 523, TD Cowen a 495, Guggenheim a 485, Barclays a 472, RBC a 455, Morgan Stanley a 449, Baird a 406), Mizuho lo fija en 490 y Goldman reitera «neutral» con 451 [50].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colectiva de valores por la guía de 2024 sigue adelante tras la decisión del juez de septiembre; demanda del Departamento de Justicia por datos de riesgo de la parte C en fase de pruebas hasta agosto de 2027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cierra sin sanciones el caso de datos de riesgo de Medicare Advantage de 2015-2023; quedan 593 M de la provisión de 935 M por pagar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subida de un 10,5 % en un mes y un 27,4 % en un año se explica por hechos publicados: tres subidas de guía, un ratio de prestaciones que baja y el sector entero al alza tras los resultados de UnitedHealth [4, 48]. No hay ampliaciones, colocaciones ni ofertas pendientes. La venta del director financiero es la noticia que más pesa en contra, pero es pequeña frente a las compras de julio de la consejera delegada y el presidente y no anticipa un dato [44]. Los hechos pendientes con fecha son el aviso de tarifas de Medicare Advantage de 2028 (finales de enero) y los resultados del 27-ene-2027 con la guía de 2027; la demanda del Departamento de Justicia no tiene fecha de decisión.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439,95 USD, Elevance cotiza a 11,8 veces el EBITDA de los últimos doce meses, un 7 % por encima de su media de cinco años (11,0x, percentil 60), y a 18,7 veces el beneficio contable, en su media (18,6x). Sobre el BPA ajustado de 2027e (30,49 USD), el PER es de 14,4 veces, en la mediana adelantada de cinco años (14,3x) y por encima de la de 2024-2025 (12,1-12,2x), cuando el mercado dudaba del margen [8, 12]. Con ese múltiplo la acción ya no está barata frente a su historia: la rebaja de 2024-2025 se ha cerrado con la recuperación de 2026. Lo estructural no ha cambiado a mejor: el riesgo regulatorio de Medicaid y Medicare Advantage es mayor que en 2021-2022, cuando cotizaba a 16 veces el beneficio adelantado, y los tipos de interés son más altos.</w:t>
      </w:r>
    </w:p>
    <w:p>
      <w:pPr>
        <w:pStyle w:val="Heading1"/>
      </w:pPr>
      <w:r>
        <w:t xml:space="preserve">18. Comparables cotizados</w:t>
      </w:r>
    </w:p>
    <w:p>
      <w:pPr>
        <w:pStyle w:val="Confianza"/>
        <w:spacing w:after="100"/>
      </w:pPr>
      <w:r>
        <w:t xml:space="preserve">Confianza: Media</w:t>
      </w:r>
    </w:p>
    <w:p>
      <w:pPr>
        <w:spacing w:after="100"/>
      </w:pPr>
      <w:r>
        <w:t xml:space="preserve">Las seis grandes aseguradoras de salud gestionada cotizadas en EE. UU. (UnitedHealth, Cigna, CVS Health con Aetna, Humana, Centene y Molina), con la misma mezcla de primas de Medicare Advantage, Medicaid y planes de empresa, y dos aseguradoras pequeñas de crecimiento (Oscar en el ACA y Alignment en Medicare Advantage), las mismas del informe de UnitedHealth del 18-oct [64]. Cigna, CVS y UnitedHealth suman gestión de farmacia como CarelonRx. Se usa sobre todo el PER: el valor empresa de Stock Analysis resta la caja de las filiales reguladas y no es comparable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Molina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Oscar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Alignment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12,8x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16,1x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0,4x / 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Elevance cotiza a 14,7 veces el beneficio de los próximos doce meses, por debajo de la mediana del grupo (16,1x) y en medio de las dos referencias limpias: UnitedHealth (18,4x, con Optum y un ROIC del 12,4 %) y Cigna y CVS (9,7-11,5x, con más peso de farmacia) [53, 54, 55]. Humana (34,0x) y Molina (25,9x) tienen el beneficio de 2026 hundido y empujan la media; Oscar y Alignment crecen más del 30 % y no son comparables por tamaño [56, 58, 59, 60]. El PER mediano aplicado a su BPA de los próximos doce meses (30,01 USD) da 481,72 USD, un 9,5 % por encima del precio. El descuento frente a la mediana se justifica a medias: su ROIC (11,3 %) supera la mediana del grupo (9,4 %), pero crece menos (1,7 % de ingresos a doce meses frente a 9,3 %). El EV/EBITDA no compara porque Stock Analysis resta la caja regulada de las aseguradoras; usamos solo el PER, con un peso del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Express Scripts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Cigna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48,75 USD en efectivo + 0,2434 acciones por acción (54.000 M en total) y 15.000 M de deuda asumida; prima del 31 % sobre el cierre de 73,42 USD del 7-mar-2018 [65]. Múltiplos sobre 2017: ingresos 100.065 M y EBITDA 7.296 M (resultado operativo 5.494 + amortizaciones 1.802) [70]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Aetna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145 USD en efectivo + 0,8378 acciones de CVS por acción, ≈ 207 USD por acción y 69.000 M de capital; 77.000 M con la deuda asumida [66]. EV/ventas sobre los ingresos de 2017 de Aetna, 60.535 M [71]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25,75 USD por acción en efectivo [67]. Estimación propia del valor empresa: 304,45 M de acciones (27-oct-2020) × 25,75 = 7.840 M + deuda 4.818 M − caja 137 M (31-dic-2020) [72]. Múltiplos sobre el ejercicio cerrado en marzo de 2021: ingresos 3.090 M y EBITDA 691 M (resultado operativo 100 + amortizaciones 591) [72].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Amedisys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USD por acción en efectivo [68]. Estimación propia del valor empresa: 32,56 M de acciones × 101 = 3.289 M + deuda 400 M − caja 49 M + minoritarios 54 M (31-mar-2023) [73]. Múltiplos sobre 2022: ingresos 2.223 M y EBITDA 206 M (resultado operativo 181 + amortizaciones 25)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Signify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30,50 USD por acción en efectivo; valor total de la operación ≈ 8.000 M [69]. Sobre 2021: ingresos 653 M y EBITDA 118 M [74] (cálculo propio). Plataforma de evaluaciones domiciliarias en crecimiento: múltiplo no comparable con un asegurador.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Oak Street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USD por acción en efectivo, valor empresa ≈ 10.600 M; red de atención primaria con EBITDA ajustado aún negativo, que CVS espera que aporte más de 2.000 M de EBITDA ajustado «embebido» en madurez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Kindred at Home (60 %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Humana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8.100 M para el 100 %, incluidos 2.400 M del 40 % que Humana ya tenía; 43.000 cuidadores y más de 550.000 pacientes al año [76]. La nota no publica ingresos ni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Cross and Blue Shield de Luisiana (retirada)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anunciada en 2023 y retirada en 2024 sin precio publicado comparable; muestra el interés de Elevance por sumar licencias Blue, no un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 (13,6x – 18,0x)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524,75 – 740,86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referencia del sector se han pagado a 9-18 veces el EBITDA: 9,2x por Express Scripts (Cigna, 2018) y 17,9-18,1x por Amedisys y Change Healthcare (UnitedHealth) [65, 67, 68]. Son negocios de farmacia y servicios, no aseguradoras enteras, y llevan prima de control (31 % en Express Scripts). La mediana da 736,00 USD por acción, pero no la ponderamos: Elevance es licenciataria de Blue Cross Blue Shield, cuyas reglas impiden en la práctica una compra por un tercero, y con 95.513 M de capitalización no hay comprador plausible. Sirve de contraste para Carelon en la suma de partes. La compra de Blue Cross Blue Shield de Luisiana (2024) se retiró sin precio publicado y queda excluida.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+0,6 % (198.770 M): 149.760 M de ingresos operativos en nueve meses (+1,0 %) y un 4T parecido al de 2025, frente a 198.740 M de consenso [4, 51]. La empresa ha elegido margen frente a volumen: Medicare Advantage −15,5 % de afiliados en un año y salidas de mercados de Medicaid y del ACA [4]. 2027e (+3,0 %) queda un 0,6 % por encima del consenso (203.604 M): la tarifa de Medicare Advantage sube un 2,48 % y las primas comerciales se han fijado con una tendencia de coste elevada, pero Medicaid pierde afiliados con los requisitos de trabajo [17, 33]. 2028e (+4,3 %) coincide con el consenso (212.387 M) [51]; después, 4,5 % y una bajada al 3,5 % en 2032e, por debajo del gasto sanitario de EE. UU. (≈ 5,6 % anual previsto por CMS) y del 9,6 % anual de 2021-2025, que incluía compras y la subida de Medicaid tras la pandemia [26].</w:t>
      </w:r>
    </w:p>
    <w:p>
      <w:pPr>
        <w:keepNext/>
        <w:spacing w:after="100"/>
      </w:pPr>
      <w:r>
        <w:rPr>
          <w:b/>
          <w:bCs/>
        </w:rPr>
        <w:t xml:space="preserve">Márgenes.</w:t>
      </w:r>
    </w:p>
    <w:p>
      <w:pPr>
        <w:spacing w:after="100"/>
      </w:pPr>
      <w:r>
        <w:t xml:space="preserve">El margen EBITDA de 2026e (4,85 %, 9.640 M) sale de 7.296 M de EBIT en nueve meses (5.118 M de resultado de los segmentos más 2.506 M de renta de inversiones menos 328 M de amortización de intangibles) y un 4T estacionalmente flojo, con ≈ 1.490 M de amortizaciones [4]. Incluye la provisión de CMS (935 M) y ≈ 530 M de renta de inversiones no recurrente. El consenso (10.538 M) es un EBITDA ajustado, sin la provisión [51]. 2027e (5,45 %) es coherente con la promesa de BPA ajustado ≥ 29,96 USD (nuestro 30,49); el margen sube al 6,0 % en 2031e, por debajo del 6,8-7,3 % de 2021-2024 (sin partidas no recurrentes). La palanca es el ratio de prestaciones: 90,0 % en 2025 y 90,6 % en el 3T26 (−70 pb), con Medicare Advantage hacia un margen del 3-5 % y Medicaid del 2-4 % desde un suelo en 2026 [1, 4, 17]. Cada punto de margen EBITDA vale ≈ 125 USD por acción (estimación propia).</w:t>
      </w:r>
    </w:p>
    <w:p>
      <w:pPr>
        <w:keepNext/>
        <w:spacing w:after="100"/>
      </w:pPr>
      <w:r>
        <w:rPr>
          <w:b/>
          <w:bCs/>
        </w:rPr>
        <w:t xml:space="preserve">Inversión y circulante.</w:t>
      </w:r>
    </w:p>
    <w:p>
      <w:pPr>
        <w:spacing w:after="100"/>
      </w:pPr>
      <w:r>
        <w:t xml:space="preserve">Elevance invierte poco en activos: capex del 0,6-0,8 % de las ventas en 2021-2025 (1.116 M en 2025) [1]. Al capex sumamos el capital estatutario que las filiales reguladas deben retener cuando crecen las primas (≈ 11 % del aumento de ventas): el capex del DCF sube al 1,0-1,1 % de las ventas desde 2027e. El circulante (7,2 % de las ventas: cuentas a cobrar a CMS, estados y clientes menos proveedores) se mantiene constante; las reservas médicas quedan fuera porque respaldan la caja regulada, que también excluimos del puente [5]. Es conservador: las reservas crecen con las primas y financiarían parte de ese circulante. Amortizaciones del 0,75 % de las ventas (la de intangibles bajó a 106 M por trimestre). Tipo impositivo del 23 %, el de nueve meses de 2026 y de 2023-2024.</w:t>
      </w:r>
    </w:p>
    <w:p>
      <w:pPr>
        <w:keepNext/>
        <w:spacing w:after="100"/>
      </w:pPr>
      <w:r>
        <w:rPr>
          <w:b/>
          <w:bCs/>
        </w:rPr>
        <w:t xml:space="preserve">Coste del capital.</w:t>
      </w:r>
    </w:p>
    <w:p>
      <w:pPr>
        <w:spacing w:after="100"/>
      </w:pPr>
      <w:r>
        <w:t xml:space="preserve">Tasa libre: bono de EE. UU. a 10 años al 5,00 % (23-oct-2026, Tesoro) [61]. Beta de 0,92: la desapalancada de Damodaran para servicios sanitarios (≈ 0,74) reapalancada con la deuda de Elevance (deuda sobre capitalización de 0,32 y un 23 % de impuestos) [63]. No usamos la de la acción (0,63 mensual a cinco años; 0,43 semanal a dos años) porque no recoge el riesgo regulatorio que sí mostró la caída del −50,4 % en 2024-2025 [48]. Prima de mercado del 5,5 %; la implícita de Damodaran (4,20 %) va en la regla relativa [62]. Coste de la deuda del 5,0 % antes de impuestos (intereses de 358 M en el 3T26 sobre 30.757 M de deuda, 4,7 %, y emisiones recientes por encima) [4, 5]. Peso de la deuda del 24,4 % (30.757 M sobre 30.757 + 95.050 M). WACC del 8,54 %. El informe del 14-oct usaba una beta de 0,85, la de UnitedHealth, con menos deuda.</w:t>
      </w:r>
    </w:p>
    <w:p>
      <w:pPr>
        <w:keepNext/>
        <w:spacing w:after="100"/>
      </w:pPr>
      <w:r>
        <w:rPr>
          <w:b/>
          <w:bCs/>
        </w:rPr>
        <w:t xml:space="preserve">Valor terminal.</w:t>
      </w:r>
    </w:p>
    <w:p>
      <w:pPr>
        <w:spacing w:after="100"/>
      </w:pPr>
      <w:r>
        <w:t xml:space="preserve">Media de Gordon (crecimiento del 3,0 %, inflación de largo plazo y algo de crecimiento real del gasto sanitario, por debajo de la tasa libre) y un múltiplo de salida de 9 veces el EBITDA, por debajo de la media de cinco años (11,0x) y del 9,1-9,8x de 2024-2025, sus mínimos [25]. El múltiplo implícito del valor terminal es de 10,9 veces y pesa el 72 %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755,18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7.852 M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(reinvierte el 33 %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 (histórico: 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frente al 3,5 %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7.852 M, el 13 % del NOPAT, con un capex bruto medio del 1,0 % de las ventas). En un negocio de activos ligeros, el crecimiento medio del 3,5 %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44,9 M de afiliados médicos a septiembre frente a 45,6 M en diciembre, con Medicare Advantage −15,5 % en un año y salidas de mercados de Medicaid y del ACA [4, 5]. Precio: tarifas de Medicaid al alza (1-jul), tarifa de Medicare Advantage de 2026 del +5,06 % y primas comerciales subidas [17, 35]. CarelonRx y Carelon Services crecen un 5-8 %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requisitos de trabajo de Medicaid de la ley H.R. 1 desde 2027 y fin de los subsidios reforzados del ACA; la dirección no da afiliados de 2027 [5, 17]. Precio: tarifa de Medicare Advantage de 2027 del +2,48 % (≈ 5 % con la tendencia de riesgo) y primas comerciales con una tendencia de coste elevada [17, 33].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estable: termina la poda de mercados y Carelon sigue creciendo con terceros. Precio en línea con el gasto sanitario por persona [25,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gasto sanitario nacional previsto por CMS (≈ 5,6 % anual)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 Elevance tiene ≈ 12 % del seguro comercial y ≈ 5 % de Medicare Advantage, sin margen de ganancia de cuota grande [27, 37].</w:t>
            </w:r>
          </w:p>
        </w:tc>
      </w:tr>
    </w:tbl>
    <w:p>
      <w:pPr>
        <w:spacing w:after="160" w:before="0"/>
      </w:pPr>
    </w:p>
    <w:p>
      <w:pPr>
        <w:spacing w:after="100"/>
      </w:pPr>
      <w:r>
        <w:t xml:space="preserve">En parte. La prueba financiera pasa (la reinversión que proyectamos financia un 3,7 % de crecimiento frente al 3,5 % proyectado), pero dos señales no acompañan: el ROIC incremental de 2021-2025 es del 6,3 %, por debajo del WACC (8,54 %), y la cuota cae por decisión propia en Medicare Advantage (−15,5 % de afiliados en un año) y en Medicaid [4]. El poder de precio sí existe: el ratio de prestaciones bajó 70 pb en el 3T26 con ingresos planos, y en la campaña comercial de 2027 volvieron grandes empleadores [4, 17]. Prueba de cuota a mano: los ingresos de 2025 equivalen al 3,5 % del gasto sanitario de EE. UU.; con un crecimiento del 3,5-4,5 % frente al 5,6 % del gasto, la cuota de 2030e sería menor (estimación propia) [26]. El caso base no pide ganar cuota: lo exigente es devolver el margen al 6,0 %.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(base: 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8,5 %)</w:t>
            </w:r>
          </w:p>
        </w:tc>
      </w:tr>
    </w:tbl>
    <w:p>
      <w:pPr>
        <w:spacing w:after="160" w:before="0"/>
      </w:pPr>
    </w:p>
    <w:p>
      <w:pPr>
        <w:spacing w:after="100"/>
      </w:pPr>
      <w:r>
        <w:t xml:space="preserve">El DCF da 448,43 USD por acción, un 1,9 % por encima del precio, con un WACC del 8,54 % y un valor terminal que pesa el 72 %. Baja desde 465,14 USD en el informe del 14-oct por la beta (0,92 frente a 0,85) y por el circulante, que ahora se mantiene en su nivel real; sube por el margen de 2026-2027 (la guía pasó de ≥ 27,00 a ≥ 29,00 USD) y por una tasa libre algo menor (5,00 % frente a 5,22 %). El DCF inverso dice que el precio de 439,95 USD descuenta un crecimiento anual del 3,6 % en 2027e-2032e (frente a nuestro 4,0 %) o, con nuestro crecimiento, un margen EBITDA final del 5,9 % (frente a nuestro 6,0 %): rinde un 8,7 % anual, 0,2 puntos más que nuestro coste de capital. El mercado paga casi toda la recuperación que esperamos. Con la prima implícita del mercado (4,20 %) el DCF sube a 521,63 USD: la distancia entre valor y precio es de tasa de descuento, no de cifras. La variable que decide es el ratio de prestaciones: cada punto de margen EBITDA vale unos 125 USD por acción.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médico de Medicaid y del comercial sigue por delante de las tarifas, los estados no compensan la cartera más enferma que dejan los requisitos de trabajo y la renta de inversiones vuelve a su nivel normal. El margen EBITDA se queda ≈ 0,8 puntos por debajo del base (≈ 5,2 % en 2030, el de 2025), los ingresos crecen 2 puntos menos al año y el mercado exige más prima. Es lo que pasó en 2024-2025.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(BPA ajustado ≥ 29,00 USD) y el +12 % de 2027 sobre la base de 26,75 (≥ 29,96); Medicare Advantage sube del 2 % al 3-5 % de margen y Medicaid sale del suelo de 2026. El margen EBITDA llega al 6,0 % en 2031, por debajo del 6,8-7,3 % de 2021-2024, con ingresos al 3-4,5 % anual, menos que el gasto sanitario.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Medicaid vuelve al 2-4 % de margen con tarifas actualizadas por los estados, Carelon crece con terceros y la eficiencia (IA en siniestros y autorizaciones) baja el ratio de gastos: el margen supera en 0,4 puntos al base y los ingresos crecen un punto más con el envejecimiento y nuevas licitaciones.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439,9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428,24 USD (-2,7 %).</w:t>
      </w:r>
    </w:p>
    <w:p>
      <w:pPr>
        <w:spacing w:after="100"/>
      </w:pPr>
      <w:r>
        <w:t xml:space="preserve">La asimetría con nuestro coste de capital es de 0,56 veces: el alcista gana un 18,3 % (520,38 USD) y el bajista pierde un 32,8 % (295,73 USD), y el valor ponderado (428,24 USD) queda un 2,7 % por debajo del precio. El bajista no es cosmético: es el margen de 2025 (≈ 5,2 %) mantenido, algo que la empresa ya vivió en 2024-2025 con dos guías incumplidas. Con la prima implícita del mercado, la asimetría sube a 1,70 veces. Para quien exija nuestro 8,54 %, el perfil no compensa; para quien se conforme con lo que hoy pide el mercado (7,64 %), es aceptable pero no da para comprar.</w:t>
      </w:r>
    </w:p>
    <w:p>
      <w:pPr>
        <w:pStyle w:val="Heading1"/>
      </w:pPr>
      <w:r>
        <w:t xml:space="preserve">22. Suma de partes</w:t>
      </w:r>
    </w:p>
    <w:p>
      <w:pPr>
        <w:pStyle w:val="Confianza"/>
        <w:spacing w:after="100"/>
      </w:pPr>
      <w:r>
        <w:t xml:space="preserve">Confianza: Media</w:t>
      </w:r>
    </w:p>
    <w:p>
      <w:pPr>
        <w:spacing w:after="100"/>
      </w:pPr>
      <w:r>
        <w:t xml:space="preserve">Con resultados normalizados por segmento (estimación propia a partir de los nueve meses de 2026 y de 2023-2025) y múltiplos de cada negocio, la suma de partes da 396,67 USD por acción, un 9,8 % por debajo del precio. Health Benefits vale la mitad del valor empresa (57.200 M), CarelonRx y Carelon Services el 36 % y la renta de inversiones neta de gastos corporativos el resto. La lectura: el precio ya paga algo más que un Health Benefits a mitad de camino de su margen de 2023-2024. No aplicamos descuento de conglomerado: los negocios comparten clientes (las eliminaciones internas suman 35.320 M en nueve meses) [4]. Pesa un 10 % en la síntesis porque los resultados normalizados son estimaciones propias.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 Benefits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ajustado normalizado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3.489 M de resultado operativo en nueve meses de 2026 (2,7 % de margen) y 4.158 M en 2025, frente a 6.243-6.888 M en 2023-2024 [1, 4]. Normalizamos en 5.200 M (≈ 3,2 % de margen sobre ≈ 162.000 M de ingresos, la mitad del camino hacia 2023-2024) y aplicamos 11 veces, el EV/EBITDA de CVS y por encima de Cigna (8,3x) [54, 55]. Sin la renta de inversiones, que va aparte.</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CarelonRx</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1.780 M en nueve meses (5,3 % de margen) y 2.418 M en 2025 [1, 4]; 2026e ≈ 2.350 M. Express Scripts se compró a 9,2 veces el EBITDA y Cigna cotiza a 8,3 veces [54, 65]; 10 veces por la farmacia de especialidad y la infusión (BioPlus, Paragon), a pesar de la reforma de los gestores de farmacia [38].</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Carelon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1.128 M en nueve meses (4,9 % de margen) y 960 M en 2025, con un 3T26 +33 % [1, 4]. 13 veces: servicios de salud conductual, domicilio (CareBridge) y especialidades con terceros, por debajo de los 17,9-18,1 veces pagados por Amedisys y Change Healthcare [67, 68, 72, 73].</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 de inversiones (cartera regulada, neta de gastos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normal de inversiones menos gastos corporativos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de inversiones de 2.506 M en nueve meses, con ≈ 530 M de ajustes de valoración no recurrentes; normal ≈ 2.600 M al año, menos ≈ 500 M de gastos corporativos [4, 17]. 8 veces: depende de los tipos de interés y de una cartera que respalda reservas y capital estatutario.</w:t>
            </w:r>
          </w:p>
        </w:tc>
      </w:tr>
    </w:tbl>
    <w:p>
      <w:pPr>
        <w:spacing w:after="160" w:before="0"/>
      </w:pPr>
    </w:p>
    <w:p>
      <w:pPr>
        <w:spacing w:after="100"/>
      </w:pPr>
      <w:r>
        <w:rPr>
          <w:b/>
          <w:bCs/>
        </w:rPr>
        <w:t xml:space="preserve">Valor por acción por suma de partes:</w:t>
      </w:r>
      <w:r>
        <w:t xml:space="preserve"> 396,67 (-9,8 %); con ±1x en los múltiplos, 317,17 – 476,16.</w:t>
      </w:r>
    </w:p>
    <w:p>
      <w:pPr>
        <w:pStyle w:val="Heading1"/>
      </w:pPr>
      <w:r>
        <w:t xml:space="preserve">23. Síntesis de valoración</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439,9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441,18 USD (+0,3 % sobre 439,95).</w:t>
      </w:r>
    </w:p>
    <w:p>
      <w:pPr>
        <w:spacing w:after="100"/>
      </w:pPr>
      <w:r>
        <w:t xml:space="preserve">El puente es el balance de 30-sep-2026 del 10-Q: deuda de 30.757 M (toda a largo plazo), sin minoritarios relevantes, y solo 2.416 M de caja, la de la matriz [5]. Es la decisión clave, como en UnitedHealth: la caja consolidada (10.348 M) y la cartera de inversiones respaldan las reservas médicas y el capital estatutario, y su rendimiento ya está en el EBITDA; contarla añadiría ≈ 37 USD por acción (estimación propia). En otros ajustes van los 593 M pendientes de pago de la provisión de CMS [5]. Sin arrendamientos: en US GAAP los operativos no son deuda. Pesos: DCF 40 % y escenarios 35 %, porque el valor depende de la recuperación del margen; comparables (PER) un 15 % y suma de partes un 10 %, porque miden un 2026 aún deprimido o estimaciones propias; transacciones 0 %, porque no hay comprador posible. El valor objetivo (441,18 USD) apenas supera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(14.4x) a mitad de camino hacia abajo, hacia la mediana de 5 años (14.3x)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r>
    </w:tbl>
    <w:p>
      <w:pPr>
        <w:spacing w:after="160" w:before="0"/>
      </w:pPr>
    </w:p>
    <w:p>
      <w:pPr>
        <w:spacing w:after="100"/>
      </w:pPr>
      <w:r>
        <w:rPr>
          <w:b/>
          <w:bCs/>
        </w:rPr>
        <w:t xml:space="preserve">Objetivo a 12 meses (ponderado):</w:t>
      </w:r>
      <w:r>
        <w:t xml:space="preserve"> 464,78 USD · rentabilidad +7,2 % (base +10,4 %) · señal Mantener.</w:t>
      </w:r>
    </w:p>
    <w:p>
      <w:pPr>
        <w:spacing w:after="100"/>
      </w:pPr>
      <w:r>
        <w:t xml:space="preserve">Para comparar, con la regla v2 (historia al cierre, mismo precio): 11,2x / 14,2x / 16,1x, 6,4 %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2027e (30,49 USD) supera en un 0,9 % al consenso (30,22) y a la promesa de la empresa (≥ 29,96) [4, 49]; no hay consenso ajustado de 2028e (el de MarketScreener, 32,82, es contable), pero nuestro EBITDA de 2028e (12.065 M) queda un 4,2 % por encima del de consenso (11.581 M) [51]. Nuestro precio base (478,62 USD) queda un 0,6 % por debajo del objetivo medio de los analistas (481,48, 22 analistas, con subidas en la semana de resultados) [49, 50]: la diferencia es pequeña y sale del múltiplo (14,3x, la mediana de cinco años), no del BPA.</w:t>
      </w:r>
    </w:p>
    <w:p>
      <w:pPr>
        <w:keepNext/>
        <w:spacing w:after="100"/>
      </w:pPr>
      <w:r>
        <w:rPr>
          <w:b/>
          <w:bCs/>
        </w:rPr>
        <w:t xml:space="preserve">Del valor intrínseco al objetivo a 12 meses.</w:t>
      </w:r>
    </w:p>
    <w:p>
      <w:pPr>
        <w:spacing w:after="100"/>
      </w:pPr>
      <w:r>
        <w:t xml:space="preserve">El objetivo a 12 meses (464,78 USD, ponderado; +7,2 % con dividendo; base 478,62, +10,4 %) queda un 5 % por encima del valor intrínseco (441,18 USD). La distancia es pequeña: el mercado puede pagar dentro de un año el PER de hoy sobre un BPA de 2028e un 10 % mayor que el de 2027e, pero el DCF, con nuestro coste de capital, apenas ve valor por encima del precio. La asimetría es pobre porque el bajista aplica 11,5 veces (base × 0,80) a un BPA de margen hundido. Lo que subiría la cifra sería un precio más bajo, no un catalizador.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 a 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Inscripción abierta de Medicare Advantage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afiliados de 2027; la dirección ha recortado planes con pérdidas y espera otro año de menos afiliados con más margen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el ≥ 12 % de crecimiento del BPA ajustado (≥ 29,96 USD); nuestro base usa 30,49 [4, 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tarifas de Medicare Advantage para 2028 (CMS)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aviso de 2027 casi plano costó un −14,3 % en un día; la tarifa definitiva llega en abril [33, 34, 48]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 en adelante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Requisitos de trabajo de Medicaid (ley H.R. 1) y tarifas estatales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afiliados de Medicaid y cartera más enferma; las tarifas de los estados deciden si Medicaid sale del suelo de margen de 2026 [5,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ago-2027 (pruebas periciales)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del Departamento de Justicia por datos de riesgo de Medicare Advantage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multa o acuerdo; sin cuantificar por la empresa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la autorización pendiente de 5.007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será «oportunista» en 2027; cada 1.000 M recompra ≈ 1 % de las acciones [5,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médico por encima de las primas en Medicaid y comercial: el ratio de prestaciones vuelve al 91-92 % y Medicaid no sale del suelo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en el escenario bajista; ≈ −125 USD por acción por punto de margen EBITDA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de Medicaid actualizadas el 1-jul y precios comerciales de 2027 fijados con una tendencia de coste elevada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prestaciones anual por encima del 91 % o margen de Medicaid de 2027 por debajo de cero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Medicaid (requisitos de trabajo y financiación de la ley H.R. 1) y fin de los subsidios reforzados del ACA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(estimación propia: −2 puntos de crecimiento y 0,3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mercados con pérdidas y tarifas estatales ajustadas a la nueva cartera [5,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Afiliados de Medicaid por debajo de 7,5 M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y ajuste de riesgo de Medicare Advantage (V28, estrellas) más duros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(0,3-0,5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Medicare Advantage es ≈ 1,9 M de afiliados y la empresa prioriza margen sobre volumen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tarifas de 2028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del Departamento de Justicia por la Ley de Reclamaciones Falsas (datos de riesgo de la parte C) y demanda colectiva de valores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Multa no cuantificable; 1.000 M serían ≈ −4,6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cerró sin sanciones su propio caso de 2015-2023 en julio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o sentencia; provisiones nuevas en el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beneficio: la renta de inversiones de 2026 lleva ajustes de valoración no recurrentes y los días de reservas bajan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−1,85 USD de BPA si no se repiten (ya excluidos de 2027e)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separa la base de 26,75 USD sin ellos [4,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reservas por debajo de 42 o desarrollo desfavorable de reservas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Arbitrajes de facturación (ley No Surprises) y reforma de los gestores de farmacia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669 M ya reconocidos como pasivo; CarelonRx crece con la farmacia de especialidad [5,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CarelonRx por debajo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 de Blue Cross Blue Shield: restricciones de marca y de control que limitan la expansión y cualquier operación corporativa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quita la opción de compra por un tercero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marca Blue da escala local en 14 estados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las reglas de la asociación Blue tras el acuerdo antimonopolio de 2024</w:t>
            </w:r>
          </w:p>
        </w:tc>
      </w:tr>
    </w:tbl>
    <w:p>
      <w:pPr>
        <w:spacing w:after="160" w:before="0"/>
      </w:pPr>
    </w:p>
    <w:p>
      <w:pPr>
        <w:pStyle w:val="Heading2"/>
      </w:pPr>
      <w:r>
        <w:t xml:space="preserve">Pre-mortem</w:t>
      </w:r>
    </w:p>
    <w:p>
      <w:pPr>
        <w:spacing w:after="100"/>
      </w:pPr>
      <w:r>
        <w:t xml:space="preserve">Octubre de 2029: la acción vale 280 USD y ha perdido un 36 %. La recuperación de 2026 fue en parte de inversiones: los ajustes de valoración (1,85 USD por acción solo en el 3T26) no se repitieron y el margen operativo de Health Benefits se quedó por debajo del 3 %. Los requisitos de trabajo de Medicaid sacaron a los afiliados sanos y los estados tardaron dos años en ajustar las tarifas; Medicaid siguió en pérdidas en 2027 y 2028. El aviso de tarifas de Medicare Advantage de 2028 vino casi plano, la tendencia comercial siguió alta con los fármacos GLP-1 y los arbitrajes de facturación, y el Departamento de Justicia cerró su demanda con un acuerdo de más de 1.000 M. El BPA ajustado se quedó en 28-29 USD en 2027-2028, la dirección incumplió por tercera vez su promesa de crecimiento y el mercado volvió a pagar 11-12 veces el beneficio, como en 2024-2025. Lo habrían anticipado el margen de Medicaid de 2027, el ratio de prestaciones del 1T27 y el aviso de tarifas de enero de 2027.</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 a 3-5 años (estimación propia: ≈ 0,2 puntos de margen EBITDA en gastos operativos), con riesgo regulatorio sobre el uso de algoritmos</w:t>
      </w:r>
    </w:p>
    <w:p>
      <w:pPr>
        <w:spacing w:after="100"/>
      </w:pPr>
      <w:r>
        <w:t xml:space="preserve">La IA toca sobre todo los costes: los gastos operativos son el 11,4 % de los ingresos (5.752 M en el 3T26) y buena parte es trabajo administrativo que se puede automatizar (siniestros, autorizaciones previas, atención al cliente, codificación) [4]. La dirección cita inversiones en tecnología que explican parte de la subida del gasto operativo de 2026 (+13,2 % en nueve meses) [4, 17]. Carelon Services vende servicios de gestión de especialidades y de pagos que la IA puede abaratar a sus clientes o a sus competidores. El riesgo es regulatorio: el uso de algoritmos para denegar autorizaciones está bajo escrutinio y figura entre los riesgos del 10-Q [5]. Señal: un ratio de gastos operativos ajustado por debajo del 11 % en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son el acceso y el coste de la atención (denegaciones, autorizaciones previas, revisión de terapias conductuales en Medicaid) y la integridad de los datos de riesgo enviados a CMS, que ya costaron 935 M en 2026 [5, 17]. La privacidad de los datos sigue siendo un riesgo: Elevance sufrió en 2015 el mayor robo de datos sanitarios de EE. UU. (78,8 M de personas) [1]. No hay riesgo climático material en las cifras.</w:t>
      </w:r>
    </w:p>
    <w:p>
      <w:pPr>
        <w:pStyle w:val="Heading2"/>
      </w:pPr>
      <w:r>
        <w:t xml:space="preserve">Controversias</w:t>
      </w:r>
    </w:p>
    <w:p>
      <w:pPr>
        <w:spacing w:after="100"/>
      </w:pPr>
      <w:r>
        <w:t xml:space="preserve">Aviso de CMS de febrero de 2026 sobre diagnósticos de Medicare Advantage de 2015-2023: provisión de 935 M, 342 M pagados el 27-may-2026 y caso cerrado sin sanciones el 13-jul-2026 [5]. Demanda del Departamento de Justicia por la Ley de Reclamaciones Falsas (datos de riesgo de la parte C), en fase de pruebas hasta 2027 [5]. Demanda colectiva de valores por la guía de 2024, que sigue adelante tras la decisión de septiembre de 2026 [5]. Robo de datos de 2015 (78,8 M de personas)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 de inversiones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exacta de la renta de inversiones de 2026 son ajustes de valoración no recurrentes y cuál es la renta normal esperada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renta de inversiones del 3T26 fue de 1.037 M frente a 625 M un año antes; casi un tercio del BPA del trimestre fue no operativo.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Medicaid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 Medicaid se espera en 2027 con los requisitos de trabajo y las tarifas estatales ya firmadas?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es el «suelo» según la dirección; el objetivo es el 2-4 % y de él depende la mitad de la recuperación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bajan los días de reservas y cuánto desarrollo favorable de años anteriores incluye el ratio del 3T26?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ratio de prestaciones mejorado con reservas no es repetible.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Departamento de Justicia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exposición estima la empresa en la demanda por datos de riesgo de la parte C y en qué se diferencia del caso que cerró CMS?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riesgo legal abierto y no está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Carelon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rendimiento sobre el capital dan Paragon y CareBridge tras dos años, y cuánto crece Carelon Services con clientes externos?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incremental de 2021-2025 (6,3 %) está por debajo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de la matriz</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¿Cuántos dividendos esperan de las filiales reguladas en 2027 y cuánto de la autorización de 5.007 M se usará?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caja de libre uso es de 2.416 M; recompras y dividendos dependen de ella.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tres análisis desde julio no recomiendan comprar: el del 21-oct reconoce mejores resultados pero «no suficientes para comprar» y el del 19-oct no ve valor a este precio; en julio, «potencial, pero aún no es compra»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titulares de agosto a octubre mezclan buenas noticias propias (guía subida, encuesta de UBS a empleadores que pone a Elevance primera) con regulación adversa: bajas en el ACA, transparencia de precios y primas de Medicare Advantage que bajan en 2027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sobre todo informativos alrededor de los resultados; pocos marcados (3 alcistas, ningún bajista). Se celebra que el coste de Medicare Advantage está bajo control, pero se señala que la mejora vino de la renta de inversiones, la caída del final del 21-oct y la venta de acciones del director financiero [78].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SentiSense (Reddit, X, noticias y YouTube)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Tono «ligeramente alcista» a 30 días pero enfriándose: alcista en noticias y X, neutro en Reddit y YouTube; el tema principal es que la mayor parte del batido de BPA fue no operativo [79].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batido del 3T26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razón: el BPA ajustado de 6,99 USD incluye ganancias no operativas netas de 1,85 USD (valoración de inversiones); sin ellas habría sido ≈ 5,14 USD, aún por encima del consenso de 4,71 USD. El informe trata esa renta como no recurrente en 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coste médico de Medicare Advantage está bajo control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lo apoyan: el ratio de prestaciones bajó 70 pb al 90,6 % y la dirección habla de tendencia «elevada pero estable», como UnitedHealth una semana antes. Medicaid sigue siendo el punto débil (2026 es el suelo de margen).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ya en máximos de 52 semanas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Razonable: la acción sube un 27 % en el año y cotiza a ≈ 14,5 veces el BPA ajustado de 2027e, en línea con su mediana de cinco años; el descuento que veían los inversores de valor en primavera ya no existe.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del director financiero (22-oct)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4,66 M USD sin plan 10b5-1 un día después de subir la guía; es su primera venta relevante y en julio la consejera delegada y el presidente compraron. Señal débil: en el contexto de la cotización se registra como «no cambia».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ACA, Medicaid y primas de Medicare Advantage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y recogido en el informe: la ley H.R. 1 y el fin de los subsidios del ACA restan afiliados en 2027, y Elevance lo compensa con salidas de mercados y precios.</w:t>
            </w:r>
          </w:p>
        </w:tc>
      </w:tr>
    </w:tbl>
    <w:p>
      <w:pPr>
        <w:spacing w:after="160" w:before="0"/>
      </w:pPr>
    </w:p>
    <w:p>
      <w:pPr>
        <w:spacing w:after="100"/>
      </w:pPr>
      <w:r>
        <w:t xml:space="preserve">El sentimiento no es extremo y sigue por detrás de los analistas. Los particulares y los autores de Seeking Alpha reconocen la mejora del coste médico pero dudan de la calidad del batido (casi un tercio del BPA del trimestre fue renta de inversiones no operativa) y de comprar en máximos de 52 semanas. Los analistas, en cambio, subieron objetivos el 22-23 de octubre (UBS a 523, TD Cowen a 495, Guggenheim a 485, Morgan Stanley a 449, RBC a 455; Baird a 406 con «neutral») [50]. Nada de lo que se lee añade un riesgo que el informe no tenga; refuerza dos cautelas: no capitalizar la renta de inversiones de 2026 y no pagar por la recuperación de 2027 antes de verla en los márgenes de Medicaid.</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79 (52 primarias); citas distintas en el texto: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7,2 % frente a 7,2 % real: genera una variación de circulante de 91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 fuentes (52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9, 10, 11, 19, 20, 21, 47,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habla de los ratings en los riesgos, sin notas); 2) 10-Q del 3T26 (sin notas); 3) folleto de emisión no consultado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10-K 2025 (solo vencimientos); 2) 10-Q del 3T26; 3) derivarla exige el detalle bono a bono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combinaciones de negocios del 10-K 2025 y 2023 (sin EBITDA); 2) comunicados de cada compra (importes no publicados); 3) prensa (sin múltiplos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Sustainalytics no accesible; 2) búsqueda MSCI ESG Elevance; 3) informe de sostenibilidad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consejo.desde (R. Kerry Clark)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(su ficha ya no figura: se jubila); 2) proxy 2025 no descargado; 3) 10-K 2025 (no lo dice)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2028e BPA ajustado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dos años de BPA); 2) MarketScreener (BPA contable); 3) MarketBeat (solo año en curso y siguiente)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LTM); 2) MarketScreener de cada comparable (EV con la caja regulada restada); 3) consenso de EBITDA por empresa no disponible gratis con la misma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leídos directamente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reddit.com/search.json (bloqueado desde la nube); 2) búsqueda web de hilos sobre el 3T26 (sin resultados del mes); 3) agregado de SentiSense (Reddit neutro a 30 días)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https://www.sec.gov/Archives/edgar/data/1156039/000115603926000013/elv-20251231.htm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informe anual 10-K 2023 (2021-2022 reexpresados por LDTI)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https://www.sec.gov/Archives/edgar/data/1156039/000115603924000015/elv-20231231.htm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informe anual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https://www.sec.gov/Archives/edgar/data/1156039/000115603923000007/elv-20221231.htm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Reports Third Quarter 2026 Results; Raises Full-Year Guidance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https://www.sec.gov/Archives/edgar/data/1156039/000115603926000068/a3q2026elvearningsrelease.htm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informe trimestral 10-Q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https://www.sec.gov/Archives/edgar/data/1156039/000115603926000071/elv-20260930.htm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resultados del 2T26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https://www.sec.gov/Archives/edgar/data/1156039/000115603926000058/a2q2026elvearningsrelease.htm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resultados del 1T26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https://www.sec.gov/Archives/edgar/data/1156039/000115603926000039/a1q2026elvearningsrelease.htm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resultados del 4T25 y del año 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https://www.sec.gov/Archives/edgar/data/1156039/000115603926000006/a4q2025elvearningsrelease.htm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resultados del 3T25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https://www.sec.gov/Archives/edgar/data/1156039/000119312525244191/d270615dex991.htm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resultados del 2T25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https://www.sec.gov/Archives/edgar/data/1156039/000115603925000111/a2q2025elvearningsrelease.htm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resultados del 1T25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https://www.sec.gov/Archives/edgar/data/1156039/000115603925000056/a1q2025elvearningsrelease.htm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resultados del 4T24 y del año 2024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https://www.sec.gov/Archives/edgar/data/1156039/000115603925000007/a4q2024elvearningsrelease.htm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resultados del 4T23 y del año 2023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https://www.sec.gov/Archives/edgar/data/1156039/000119312524013498/d736006dex991.htm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resultados del 4T22 y del año 2022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https://www.sec.gov/Archives/edgar/data/1156039/000119312523014676/d418386dex991.htm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Anthem, resultados del 4T21 y del año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Anthem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https://www.sec.gov/Archives/edgar/data/1156039/000119312522017585/d279540dex991.htm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Anthem, resultados del 4T20 y del año 2020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Anthem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https://www.sec.gov/Archives/edgar/data/1156039/000119312521018334/d100984dex991.htm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Q3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https://www.fool.com/earnings/call-transcripts/2026/10/21/elevance-elv-q3-2026-earnings-call-transcript/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https://www.fool.com/earnings/call-transcripts/2026/07/15/elevance-health-elv-q2-2026-earnings-call-transcript/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earnings history: consensus estimate vs reported EPS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https://www.marketbeat.com/stocks/NYSE/ELV/earnings/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Tops Earnings Expectations and Lifts Guidance (Dow Jones, con el consenso de FactSet)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 Jones vía 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https://www.itiger.com/news/2677986627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hechos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https://data.sec.gov/api/xbrl/companyfacts/CIK0001156039.json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https://www.sec.gov/Archives/edgar/data/731766/000073176626000062/unh-20251231.htm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informe trimestral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https://www.sec.gov/Archives/edgar/data/731766/000073176626000197/unh-20260630.htm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Fact Sheet (National Health Expenditures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https://www.cms.gov/data-research/statistics-trends-and-reports/national-health-expenditure-data/nhe-fact-sheet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Health Expenditure Projections 2025-2034: Forecast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https://www.cms.gov/files/document/nhe-projections-forecast-summary.pdf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Projections 2025-2034, Table 1: National Health Expenditures and Selected Economic Indicators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https://www.cms.gov/files/zip/nhe-projections-tables.zip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Advantage in 2026: Enrollment Update and Key Trends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KFF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https://www.kff.org/medicare/medicare-advantage-in-2026-enrollment-update-and-key-trends/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https://www.sec.gov/Archives/edgar/data/1739940/000173994026000006/ci-20251231.htm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https://www.sec.gov/Archives/edgar/data/64803/000006480326000010/cvs-20251231.htm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https://www.sec.gov/Archives/edgar/data/49071/000004907126000009/hum-20251231.htm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https://www.sec.gov/Archives/edgar/data/1071739/000107173926000049/cnc-20251231.htm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https://www.sec.gov/Archives/edgar/data/1179929/000117992926000005/moh-20251231.htm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Advance Notice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https://www.cms.gov/newsroom/fact-sheets/2027-medicare-advantage-part-d-advance-notice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https://www.cms.gov/newsroom/fact-sheets/2026-medicare-advantage-part-d-rate-announcement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Top Pharmacy Benefit Managers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Drug Channels Institute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https://www.drugchannels.net/2026/03/the-top-pharmacy-benefit-managers-of.html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in Health Insurance: A Comprehensive Study of U.S. Markets (actualización 2025, datos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Medical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https://www.ama-assn.org/system/files/competition-health-insurance-us-markets.pdf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Chairman Guthrie Celebrates Long-Awaited PBM Reform Being Signed into Law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Energía y Comercio de la Cámara de Representantes de EE. UU.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https://republicans-energycommerce.house.gov/posts/chairman-guthrie-celebrates-long-awaited-pbm-reform-being-signed-into-law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nota de prensa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https://www.sec.gov/Archives/edgar/data/731766/000073176626000191/earningsrelease2q26_7152.htm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proxy statement (DEF 14A)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https://www.sec.gov/Archives/edgar/data/1156039/000115603926000031/elv-20260326.htm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8-K de resultados de la junta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https://www.sec.gov/Archives/edgar/data/1156039/000115603926000046/elv-20260513.htm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8-K de resultados de la junta de 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https://www.sec.gov/Archives/edgar/data/1156039/000115603925000065/elv-20250514.htm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8-K de resultados de la junta de 2024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https://www.sec.gov/Archives/edgar/data/1156039/000115603924000069/axsubmissionofmatterstoavo.htm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Form 4 de consejeros y directivos (26-oct-2025 a 26-oct-2026), resumidos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https://www.sec.gov/cgi-bin/browse-edgar?action=getcompany&amp;CIK=0001156039&amp;type=4&amp;dateb=&amp;owner=include&amp;count=40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8-K del 26-feb-2026 (item 5.02: salida de Peter Haytaian de Carelon; guía reafirmada)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https://www.sec.gov/Archives/edgar/data/1156039/000115603926000019/elv-20260226.htm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8-K del 2-mar-2026 (item 8.01: aviso de sanciones de CMS en Medicare Advantage)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https://www.sec.gov/Archives/edgar/data/1156039/000115603926000022/elv-20260302.htm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8-K del 10-sep-2026 (item 7.01: guía de 2026 reafirmada)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https://www.sec.gov/Archives/edgar/data/1156039/000115603926000063/elv-20260910.htm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CI, CVS, HUM, CNC, MOH, OSCR, ALHC, UNH, SPY y XLV: históricos diarios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https://finance.yahoo.com/quote/ELV/history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Stock Forecast &amp; Analyst Price Targets (S&amp;P Global, 22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Stock Forecast and Price Target (23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https://www.marketbeat.com/stocks/NYSE/ELV/forecast/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Inc.: valoración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https://uk.marketscreener.com/quote/stock/ELEVANCE-HEALTH-INC-18740543/valuation/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(UNH)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https://stockanalysis.com/stocks/unh/statistics/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(CVS)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https://stockanalysis.com/stocks/cvs/statistics/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(HUM)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(CNC)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https://stockanalysis.com/stocks/cnc/statistics/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(MOH)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Oscar Health (OSCR)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https://stockanalysis.com/stocks/oscr/statistics/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Alignment Healthcare (ALHC)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5,00 %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UnitedHealth del 18-oct-2026 (comparables: crecimiento, margen y deuda de cada aseguradora de sus 10-K y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(informes/unitedhealth-2026-10-18)</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informes/unitedhealth-2026-10-18/datos.json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to Acquire Express Scripts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https://www.sec.gov/Archives/edgar/data/701221/000095015918000059/ex99-1.htm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Aetna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https://www.sec.gov/Archives/edgar/data/64803/000119312517359526/d482402dex991.htm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OptumInsight and Change Healthcare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https://www.sec.gov/Archives/edgar/data/731766/000119312521002419/d60247dex991.htm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and Optum to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https://www.sec.gov/Archives/edgar/data/896262/000110465923074547/tm2319648d1_ex99-1.htm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Signify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https://www.sec.gov/Archives/edgar/data/64803/000119312522238311/d344935dex991.htm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Express Scripts Holding,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https://data.sec.gov/api/xbrl/companyfacts/CIK0001532063.json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Aetna,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https://data.sec.gov/api/xbrl/companyfacts/CIK0001122304.json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Healthcare,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https://data.sec.gov/api/xbrl/companyfacts/CIK0001756497.json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https://data.sec.gov/api/xbrl/companyfacts/CIK0000896262.json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Health,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https://data.sec.gov/api/xbrl/companyfacts/CIK0001828182.json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Oak Street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https://www.sec.gov/Archives/edgar/data/64803/000094787123000133/ss1747225_ex9901.htm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to acquire remaining interest in Kindred at Home (exhibit 99.3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https://www.sec.gov/Archives/edgar/data/49071/000004907121000079/exhibit993kindredathome-.htm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Better Results, But Not Enough To Buy; Why I Don't Believe In The Stock At This Price; Has Upside, But Not Yet A Buy (análisis de autores externos, titulares y entradillas del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https://seekingalpha.com/api/sa/combined/ELV.xml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ELV: flujo de mensajes (30 mensajes, 8 a 24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https://stocktwits.com/symbol/ELV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Inc. (ELV) Sentiment: Bullish or Bearish? (30 días: noticias, X, Reddit y YouTube)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https://app.sentisense.ai/stocks/ELV/sentiment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93,2 %</w:t>
      </w:r>
      <w:r>
        <w:t xml:space="preserve"> · Secciones con menos del 60 % de campos cubiertos: </w:t>
      </w:r>
      <w:r>
        <w:rPr>
          <w:b/>
          <w:bCs/>
        </w:rPr>
        <w:t xml:space="preserve">ninguna</w:t>
      </w:r>
      <w:r>
        <w:t xml:space="preserve"> · Generado el 26 oct 2026.</w:t>
      </w:r>
    </w:p>
    <w:p>
      <w:pPr>
        <w:pStyle w:val="Nota"/>
        <w:spacing w:after="100"/>
      </w:pPr>
      <w:r>
        <w:t xml:space="preserve">Iteración del informe del 14-oct-2026 tras los resultados del 3T26 (21-oct-2026); todos los datos se han vuelto a comprobar con el 10-Q, la nota de prensa y la conferencia del 3T26 y con el XBRL de la SEC. Precio de cierre del viernes 23-oct-2026 (la sesión del lunes 26 no había cerrado). Cuenta de resultados en formato por función: EBIT = ingresos − prestaciones − coste de productos − gastos operativos + renta de inversiones − amortización de intangibles; los resultados de instrumentos financieros, los intereses y la amortización anticipada de deuda van al resultado financiero. Criterio de flotante (como en UnitedHealth): el EBITDA incluye la renta de las inversiones de las filiales reguladas, así que el puente solo cuenta la caja de la matriz (2.416 M a 30-sep-2026), las reservas médicas quedan fuera del circulante y el capital estatutario que exige el crecimiento se suma al capex del DCF. El BPA de los escenarios a 12 meses y la historia del PER usan el BPA ajustado publicado por la empresa (sin amortización de intangibles ni partidas no recurrentes); el informe del 14-oct mezclaba una historia sobre el BPA contable con casos sobre el ajustado. 2021 y 2022 están reexpresados por la norma LDTI en el 10-K 2023. Los comparables usan el PER: el valor empresa de Stock Analysis resta la caja regulada.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Elevance Health, Inc. (ELV)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439,95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(274,84 – 450,69)</c:v>
                </c:pt>
                <c:pt idx="1">
                  <c:v>Precio objetivo de los analistas (406,00 – 523,00)</c:v>
                </c:pt>
                <c:pt idx="2">
                  <c:v>Comparables: PER NTM (414,94 – 608,53)</c:v>
                </c:pt>
                <c:pt idx="3">
                  <c:v>Transacciones precedentes (EV/EBITDA) (524,75 – 740,86)</c:v>
                </c:pt>
                <c:pt idx="4">
                  <c:v>DCF (WACC y g ± 0,5) (399,67 – 515,89)</c:v>
                </c:pt>
                <c:pt idx="5">
                  <c:v>Escenarios (bajista – alcista) (295,73 – 520,38)</c:v>
                </c:pt>
                <c:pt idx="6">
                  <c:v>Suma de partes (317,17 – 476,16)</c:v>
                </c:pt>
                <c:pt idx="7">
                  <c:v>DCF con la prima implícita del mercado (4,2 %)</c:v>
                </c:pt>
                <c:pt idx="8">
                  <c:v>Precio actual (439,95)</c:v>
                </c:pt>
              </c:strCache>
            </c:strRef>
          </c:cat>
          <c:val>
            <c:numRef>
              <c:f>Hoja1!$B$2:$B$10</c:f>
              <c:numCache>
                <c:formatCode>#,##0</c:formatCode>
                <c:ptCount val="9"/>
                <c:pt idx="0">
                  <c:v>274.84</c:v>
                </c:pt>
                <c:pt idx="1">
                  <c:v>406</c:v>
                </c:pt>
                <c:pt idx="2">
                  <c:v>414.94</c:v>
                </c:pt>
                <c:pt idx="3">
                  <c:v>524.75</c:v>
                </c:pt>
                <c:pt idx="4">
                  <c:v>399.67</c:v>
                </c:pt>
                <c:pt idx="5">
                  <c:v>295.73</c:v>
                </c:pt>
                <c:pt idx="6">
                  <c:v>317.17</c:v>
                </c:pt>
                <c:pt idx="7">
                  <c:v>478.39</c:v>
                </c:pt>
                <c:pt idx="8">
                  <c:v>437.75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(274,84 – 450,69)</c:v>
                </c:pt>
                <c:pt idx="1">
                  <c:v>Precio objetivo de los analistas (406,00 – 523,00)</c:v>
                </c:pt>
                <c:pt idx="2">
                  <c:v>Comparables: PER NTM (414,94 – 608,53)</c:v>
                </c:pt>
                <c:pt idx="3">
                  <c:v>Transacciones precedentes (EV/EBITDA) (524,75 – 740,86)</c:v>
                </c:pt>
                <c:pt idx="4">
                  <c:v>DCF (WACC y g ± 0,5) (399,67 – 515,89)</c:v>
                </c:pt>
                <c:pt idx="5">
                  <c:v>Escenarios (bajista – alcista) (295,73 – 520,38)</c:v>
                </c:pt>
                <c:pt idx="6">
                  <c:v>Suma de partes (317,17 – 476,16)</c:v>
                </c:pt>
                <c:pt idx="7">
                  <c:v>DCF con la prima implícita del mercado (4,2 %)</c:v>
                </c:pt>
                <c:pt idx="8">
                  <c:v>Precio actual (439,95)</c:v>
                </c:pt>
              </c:strCache>
            </c:strRef>
          </c:cat>
          <c:val>
            <c:numRef>
              <c:f>Hoja1!$C$2:$C$10</c:f>
              <c:numCache>
                <c:formatCode>#,##0</c:formatCode>
                <c:ptCount val="9"/>
                <c:pt idx="0">
                  <c:v>175.85000000000002</c:v>
                </c:pt>
                <c:pt idx="1">
                  <c:v>117</c:v>
                </c:pt>
                <c:pt idx="2">
                  <c:v>193.58999999999997</c:v>
                </c:pt>
                <c:pt idx="3">
                  <c:v>216.11</c:v>
                </c:pt>
                <c:pt idx="4">
                  <c:v>116.21999999999997</c:v>
                </c:pt>
                <c:pt idx="5">
                  <c:v>224.64999999999998</c:v>
                </c:pt>
                <c:pt idx="6">
                  <c:v>158.99</c:v>
                </c:pt>
                <c:pt idx="7">
                  <c:v>95.53999999999996</c:v>
                </c:pt>
                <c:pt idx="8">
                  <c:v>4.399999999999977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Health Benefits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121728</c:v>
                </c:pt>
                <c:pt idx="1">
                  <c:v>138484</c:v>
                </c:pt>
                <c:pt idx="2">
                  <c:v>148571</c:v>
                </c:pt>
                <c:pt idx="3">
                  <c:v>150275</c:v>
                </c:pt>
                <c:pt idx="4">
                  <c:v>167094</c:v>
                </c:pt>
              </c:numCache>
            </c:numRef>
          </c:val>
        </c:ser>
        <c:ser>
          <c:idx val="1"/>
          <c:order val="1"/>
          <c:tx>
            <c:strRef>
              <c:f>Hoja1!$C$1</c:f>
              <c:strCache>
                <c:ptCount val="1"/>
                <c:pt idx="0">
                  <c:v>CarelonRx</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25431</c:v>
                </c:pt>
                <c:pt idx="1">
                  <c:v>28526</c:v>
                </c:pt>
                <c:pt idx="2">
                  <c:v>33835</c:v>
                </c:pt>
                <c:pt idx="3">
                  <c:v>35961</c:v>
                </c:pt>
                <c:pt idx="4">
                  <c:v>43400</c:v>
                </c:pt>
              </c:numCache>
            </c:numRef>
          </c:val>
        </c:ser>
        <c:ser>
          <c:idx val="2"/>
          <c:order val="2"/>
          <c:tx>
            <c:strRef>
              <c:f>Hoja1!$D$1</c:f>
              <c:strCache>
                <c:ptCount val="1"/>
                <c:pt idx="0">
                  <c:v>Carelon Services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10130</c:v>
                </c:pt>
                <c:pt idx="1">
                  <c:v>12860</c:v>
                </c:pt>
                <c:pt idx="2">
                  <c:v>14147</c:v>
                </c:pt>
                <c:pt idx="3">
                  <c:v>17961</c:v>
                </c:pt>
                <c:pt idx="4">
                  <c:v>28316</c:v>
                </c:pt>
              </c:numCache>
            </c:numRef>
          </c:val>
        </c:ser>
        <c:ser>
          <c:idx val="3"/>
          <c:order val="3"/>
          <c:tx>
            <c:strRef>
              <c:f>Hoja1!$E$1</c:f>
              <c:strCache>
                <c:ptCount val="1"/>
                <c:pt idx="0">
                  <c:v>Corporate &amp; Other</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95</c:v>
                </c:pt>
                <c:pt idx="1">
                  <c:v>399</c:v>
                </c:pt>
                <c:pt idx="2">
                  <c:v>479</c:v>
                </c:pt>
                <c:pt idx="3">
                  <c:v>309</c:v>
                </c:pt>
                <c:pt idx="4">
                  <c:v>463</c:v>
                </c:pt>
              </c:numCache>
            </c:numRef>
          </c:val>
        </c:ser>
        <c:ser>
          <c:idx val="4"/>
          <c:order val="4"/>
          <c:tx>
            <c:strRef>
              <c:f>Hoja1!$F$1</c:f>
              <c:strCache>
                <c:ptCount val="1"/>
                <c:pt idx="0">
                  <c:v>Eliminaciones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-20441</c:v>
                </c:pt>
                <c:pt idx="1">
                  <c:v>-24609</c:v>
                </c:pt>
                <c:pt idx="2">
                  <c:v>-26823</c:v>
                </c:pt>
                <c:pt idx="3">
                  <c:v>-29302</c:v>
                </c:pt>
                <c:pt idx="4">
                  <c:v>-41689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Health Benefits</c:v>
                </c:pt>
                <c:pt idx="1">
                  <c:v>CarelonRx</c:v>
                </c:pt>
                <c:pt idx="2">
                  <c:v>Carelon Services</c:v>
                </c:pt>
                <c:pt idx="3">
                  <c:v>Corporate &amp; Other</c:v>
                </c:pt>
                <c:pt idx="4">
                  <c:v>Eliminaciones</c:v>
                </c:pt>
              </c:strCache>
            </c:strRef>
          </c:cat>
          <c:val>
            <c:numRef>
              <c:f>Hoja1!$B$2:$B$6</c:f>
              <c:numCache>
                <c:formatCode>General</c:formatCode>
                <c:ptCount val="5"/>
                <c:pt idx="0">
                  <c:v>84.6</c:v>
                </c:pt>
                <c:pt idx="1">
                  <c:v>22</c:v>
                </c:pt>
                <c:pt idx="2">
                  <c:v>14.3</c:v>
                </c:pt>
                <c:pt idx="3">
                  <c:v>0.2</c:v>
                </c:pt>
                <c:pt idx="4">
                  <c:v>-21.1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Estados Unidos</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2019</c:v>
                </c:pt>
                <c:pt idx="1">
                  <c:v>2020</c:v>
                </c:pt>
                <c:pt idx="2">
                  <c:v>2021</c:v>
                </c:pt>
                <c:pt idx="3">
                  <c:v>2022</c:v>
                </c:pt>
                <c:pt idx="4">
                  <c:v>2023</c:v>
                </c:pt>
                <c:pt idx="5">
                  <c:v>2024</c:v>
                </c:pt>
                <c:pt idx="6">
                  <c:v>2025e</c:v>
                </c:pt>
                <c:pt idx="7">
                  <c:v>2026e</c:v>
                </c:pt>
                <c:pt idx="8">
                  <c:v>2027e</c:v>
                </c:pt>
                <c:pt idx="9">
                  <c:v>2028e</c:v>
                </c:pt>
              </c:strCache>
            </c:strRef>
          </c:cat>
          <c:val>
            <c:numRef>
              <c:f>Hoja1!$B$2:$B$11</c:f>
              <c:numCache>
                <c:formatCode>#,##0</c:formatCode>
                <c:ptCount val="10"/>
                <c:pt idx="0">
                  <c:v>3805100</c:v>
                </c:pt>
                <c:pt idx="1">
                  <c:v>4204300</c:v>
                </c:pt>
                <c:pt idx="2">
                  <c:v>4376900</c:v>
                </c:pt>
                <c:pt idx="3">
                  <c:v>4586600</c:v>
                </c:pt>
                <c:pt idx="4">
                  <c:v>4925300</c:v>
                </c:pt>
                <c:pt idx="5">
                  <c:v>5278600</c:v>
                </c:pt>
                <c:pt idx="6">
                  <c:v>5661700</c:v>
                </c:pt>
                <c:pt idx="7">
                  <c:v>6017400</c:v>
                </c:pt>
                <c:pt idx="8">
                  <c:v>6301600</c:v>
                </c:pt>
                <c:pt idx="9">
                  <c:v>6627100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Elevance</c:v>
                </c:pt>
                <c:pt idx="1">
                  <c:v>UnitedHealth Group</c:v>
                </c:pt>
                <c:pt idx="2">
                  <c:v>CVS Health (Aetna, CVS Caremark)</c:v>
                </c:pt>
                <c:pt idx="3">
                  <c:v>The Cigna Group (Express Scripts, Evernorth)</c:v>
                </c:pt>
                <c:pt idx="4">
                  <c:v>Centene</c:v>
                </c:pt>
                <c:pt idx="5">
                  <c:v>Humana</c:v>
                </c:pt>
                <c:pt idx="6">
                  <c:v>Molina Healthcare</c:v>
                </c:pt>
              </c:strCache>
            </c:strRef>
          </c:cat>
          <c:val>
            <c:numRef>
              <c:f>Hoja1!$B$2:$B$8</c:f>
              <c:numCache>
                <c:formatCode>0.0"%"</c:formatCode>
                <c:ptCount val="7"/>
                <c:pt idx="0">
                  <c:v>4.4</c:v>
                </c:pt>
                <c:pt idx="1">
                  <c:v>4.2</c:v>
                </c:pt>
                <c:pt idx="2">
                  <c:v>1.2</c:v>
                </c:pt>
                <c:pt idx="3">
                  <c:v>3.3</c:v>
                </c:pt>
                <c:pt idx="4">
                  <c:v>-3.9</c:v>
                </c:pt>
                <c:pt idx="5">
                  <c:v>2.1</c:v>
                </c:pt>
                <c:pt idx="6">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136943</c:v>
                </c:pt>
                <c:pt idx="1">
                  <c:v>155660</c:v>
                </c:pt>
                <c:pt idx="2">
                  <c:v>170209</c:v>
                </c:pt>
                <c:pt idx="3">
                  <c:v>175204</c:v>
                </c:pt>
                <c:pt idx="4">
                  <c:v>197584</c:v>
                </c:pt>
                <c:pt idx="5">
                  <c:v>198770</c:v>
                </c:pt>
                <c:pt idx="6">
                  <c:v>204733</c:v>
                </c:pt>
                <c:pt idx="7">
                  <c:v>213536</c:v>
                </c:pt>
                <c:pt idx="8">
                  <c:v>223145</c:v>
                </c:pt>
                <c:pt idx="9">
                  <c:v>233187</c:v>
                </c:pt>
                <c:pt idx="10">
                  <c:v>242514</c:v>
                </c:pt>
                <c:pt idx="11">
                  <c:v>251002</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10027</c:v>
                </c:pt>
                <c:pt idx="1">
                  <c:v>10683</c:v>
                </c:pt>
                <c:pt idx="2">
                  <c:v>11901</c:v>
                </c:pt>
                <c:pt idx="3">
                  <c:v>11967</c:v>
                </c:pt>
                <c:pt idx="4">
                  <c:v>10338</c:v>
                </c:pt>
                <c:pt idx="5">
                  <c:v>9640</c:v>
                </c:pt>
                <c:pt idx="6">
                  <c:v>11158</c:v>
                </c:pt>
                <c:pt idx="7">
                  <c:v>12065</c:v>
                </c:pt>
                <c:pt idx="8">
                  <c:v>12942</c:v>
                </c:pt>
                <c:pt idx="9">
                  <c:v>13875</c:v>
                </c:pt>
                <c:pt idx="10">
                  <c:v>14551</c:v>
                </c:pt>
                <c:pt idx="11">
                  <c:v>15060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17.1</c:v>
                </c:pt>
                <c:pt idx="1">
                  <c:v>16.7</c:v>
                </c:pt>
                <c:pt idx="2">
                  <c:v>16.8</c:v>
                </c:pt>
                <c:pt idx="3">
                  <c:v>15.9</c:v>
                </c:pt>
                <c:pt idx="4">
                  <c:v>14.3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7.3</c:v>
                </c:pt>
                <c:pt idx="1">
                  <c:v>6.9</c:v>
                </c:pt>
                <c:pt idx="2">
                  <c:v>7</c:v>
                </c:pt>
                <c:pt idx="3">
                  <c:v>6.8</c:v>
                </c:pt>
                <c:pt idx="4">
                  <c:v>5.2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6.4</c:v>
                </c:pt>
                <c:pt idx="1">
                  <c:v>5.8</c:v>
                </c:pt>
                <c:pt idx="2">
                  <c:v>6</c:v>
                </c:pt>
                <c:pt idx="3">
                  <c:v>6</c:v>
                </c:pt>
                <c:pt idx="4">
                  <c:v>4.4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4.5</c:v>
                </c:pt>
                <c:pt idx="1">
                  <c:v>3.8</c:v>
                </c:pt>
                <c:pt idx="2">
                  <c:v>3.5</c:v>
                </c:pt>
                <c:pt idx="3">
                  <c:v>3.4</c:v>
                </c:pt>
                <c:pt idx="4">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6</c:v>
                </c:pt>
                <c:pt idx="1">
                  <c:v>15.4</c:v>
                </c:pt>
                <c:pt idx="2">
                  <c:v>14.3</c:v>
                </c:pt>
                <c:pt idx="3">
                  <c:v>12</c:v>
                </c:pt>
                <c:pt idx="4">
                  <c:v>9.6</c:v>
                </c:pt>
                <c:pt idx="5">
                  <c:v>1.5</c:v>
                </c:pt>
                <c:pt idx="6">
                  <c:v>0.8</c:v>
                </c:pt>
                <c:pt idx="7">
                  <c:v>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36</c:v>
                </c:pt>
                <c:pt idx="1">
                  <c:v>38</c:v>
                </c:pt>
                <c:pt idx="2">
                  <c:v>38</c:v>
                </c:pt>
                <c:pt idx="3">
                  <c:v>40</c:v>
                </c:pt>
                <c:pt idx="4">
                  <c:v>40</c:v>
                </c:pt>
              </c:numCache>
            </c:numRef>
          </c:val>
          <c:smooth val="0"/>
        </c:ser>
        <c:ser>
          <c:idx val="1"/>
          <c:order val="1"/>
          <c:tx>
            <c:strRef>
              <c:f>Hoja1!$C$1</c:f>
              <c:strCache>
                <c:ptCount val="1"/>
                <c:pt idx="0">
                  <c:v>Días de pago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c:v>
                </c:pt>
                <c:pt idx="1">
                  <c:v>16</c:v>
                </c:pt>
                <c:pt idx="2">
                  <c:v>18</c:v>
                </c:pt>
                <c:pt idx="3">
                  <c:v>17</c:v>
                </c:pt>
                <c:pt idx="4">
                  <c:v>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7277</c:v>
                </c:pt>
                <c:pt idx="1">
                  <c:v>7247</c:v>
                </c:pt>
                <c:pt idx="2">
                  <c:v>6765</c:v>
                </c:pt>
                <c:pt idx="3">
                  <c:v>4552</c:v>
                </c:pt>
                <c:pt idx="4">
                  <c:v>3174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6158</c:v>
                </c:pt>
                <c:pt idx="1">
                  <c:v>5894</c:v>
                </c:pt>
                <c:pt idx="2">
                  <c:v>5987</c:v>
                </c:pt>
                <c:pt idx="3">
                  <c:v>5980</c:v>
                </c:pt>
                <c:pt idx="4">
                  <c:v>5662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12.4</c:v>
                </c:pt>
                <c:pt idx="1">
                  <c:v>13</c:v>
                </c:pt>
                <c:pt idx="2">
                  <c:v>14.2</c:v>
                </c:pt>
                <c:pt idx="3">
                  <c:v>13.1</c:v>
                </c:pt>
                <c:pt idx="4">
                  <c:v>11.3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8.5</c:v>
                </c:pt>
                <c:pt idx="1">
                  <c:v>8.5</c:v>
                </c:pt>
                <c:pt idx="2">
                  <c:v>8.5</c:v>
                </c:pt>
                <c:pt idx="3">
                  <c:v>8.5</c:v>
                </c:pt>
                <c:pt idx="4">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17.1</c:v>
                </c:pt>
                <c:pt idx="1">
                  <c:v>16.3</c:v>
                </c:pt>
                <c:pt idx="2">
                  <c:v>15.8</c:v>
                </c:pt>
                <c:pt idx="3">
                  <c:v>14.8</c:v>
                </c:pt>
                <c:pt idx="4">
                  <c:v>13.3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1.81</c:v>
                </c:pt>
                <c:pt idx="1">
                  <c:v>1.57</c:v>
                </c:pt>
                <c:pt idx="2">
                  <c:v>1.56</c:v>
                </c:pt>
                <c:pt idx="3">
                  <c:v>1.92</c:v>
                </c:pt>
                <c:pt idx="4">
                  <c:v>2.18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1100</c:v>
                </c:pt>
                <c:pt idx="1">
                  <c:v>1625</c:v>
                </c:pt>
                <c:pt idx="2">
                  <c:v>2000</c:v>
                </c:pt>
                <c:pt idx="3">
                  <c:v>1425</c:v>
                </c:pt>
                <c:pt idx="4">
                  <c:v>1850</c:v>
                </c:pt>
                <c:pt idx="5">
                  <c:v>24126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3476</c:v>
                </c:pt>
                <c:pt idx="1">
                  <c:v>649</c:v>
                </c:pt>
                <c:pt idx="2">
                  <c:v>1552</c:v>
                </c:pt>
                <c:pt idx="3">
                  <c:v>4809</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1104</c:v>
                </c:pt>
                <c:pt idx="1">
                  <c:v>1229</c:v>
                </c:pt>
                <c:pt idx="2">
                  <c:v>1395</c:v>
                </c:pt>
                <c:pt idx="3">
                  <c:v>1508</c:v>
                </c:pt>
                <c:pt idx="4">
                  <c:v>1529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1900</c:v>
                </c:pt>
                <c:pt idx="1">
                  <c:v>2316</c:v>
                </c:pt>
                <c:pt idx="2">
                  <c:v>2676</c:v>
                </c:pt>
                <c:pt idx="3">
                  <c:v>2900</c:v>
                </c:pt>
                <c:pt idx="4">
                  <c:v>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 (19 personas)</c:v>
                </c:pt>
              </c:strCache>
            </c:strRef>
          </c:cat>
          <c:val>
            <c:numRef>
              <c:f>Hoja1!$B$2:$B$4</c:f>
              <c:numCache>
                <c:formatCode>0.0"%"</c:formatCode>
                <c:ptCount val="3"/>
                <c:pt idx="0">
                  <c:v>10.1</c:v>
                </c:pt>
                <c:pt idx="1">
                  <c:v>7.8</c:v>
                </c:pt>
                <c:pt idx="2">
                  <c:v>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5.1</c:v>
                </c:pt>
                <c:pt idx="1">
                  <c:v>58.7</c:v>
                </c:pt>
                <c:pt idx="2">
                  <c:v>18.1</c:v>
                </c:pt>
                <c:pt idx="3">
                  <c:v>16.3</c:v>
                </c:pt>
                <c:pt idx="4">
                  <c:v>7.7</c:v>
                </c:pt>
                <c:pt idx="5">
                  <c:v>46.1</c:v>
                </c:pt>
                <c:pt idx="6">
                  <c:v>11.8</c:v>
                </c:pt>
                <c:pt idx="7">
                  <c:v>-6.9</c:v>
                </c:pt>
                <c:pt idx="8">
                  <c:v>-20.7</c:v>
                </c:pt>
                <c:pt idx="9">
                  <c:v>-3.1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13.2</c:v>
                </c:pt>
                <c:pt idx="1">
                  <c:v>13.2</c:v>
                </c:pt>
                <c:pt idx="2">
                  <c:v>11</c:v>
                </c:pt>
                <c:pt idx="3">
                  <c:v>9.1</c:v>
                </c:pt>
                <c:pt idx="4">
                  <c:v>9.8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11</c:v>
                </c:pt>
                <c:pt idx="1">
                  <c:v>11</c:v>
                </c:pt>
                <c:pt idx="2">
                  <c:v>11</c:v>
                </c:pt>
                <c:pt idx="3">
                  <c:v>11</c:v>
                </c:pt>
                <c:pt idx="4">
                  <c:v>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Elevance</c:v>
                </c:pt>
                <c:pt idx="1">
                  <c:v>UnitedHealth Group</c:v>
                </c:pt>
                <c:pt idx="2">
                  <c:v>The Cigna Group</c:v>
                </c:pt>
                <c:pt idx="3">
                  <c:v>CVS Health</c:v>
                </c:pt>
                <c:pt idx="4">
                  <c:v>Humana</c:v>
                </c:pt>
                <c:pt idx="5">
                  <c:v>Centene</c:v>
                </c:pt>
                <c:pt idx="6">
                  <c:v>Molina Healthcare</c:v>
                </c:pt>
                <c:pt idx="7">
                  <c:v>Oscar Health</c:v>
                </c:pt>
                <c:pt idx="8">
                  <c:v>Alignment Healthcare</c:v>
                </c:pt>
              </c:strCache>
            </c:strRef>
          </c:cat>
          <c:val>
            <c:numRef>
              <c:f>Hoja1!$B$2:$B$10</c:f>
              <c:numCache>
                <c:formatCode>0.0"x"</c:formatCode>
                <c:ptCount val="9"/>
                <c:pt idx="0">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Express Scripts</c:v>
                </c:pt>
                <c:pt idx="1">
                  <c:v>Aetna</c:v>
                </c:pt>
                <c:pt idx="2">
                  <c:v>Change Healthcare</c:v>
                </c:pt>
                <c:pt idx="3">
                  <c:v>Amedisys</c:v>
                </c:pt>
                <c:pt idx="4">
                  <c:v>Signify Health</c:v>
                </c:pt>
                <c:pt idx="5">
                  <c:v>Oak Street Health</c:v>
                </c:pt>
                <c:pt idx="6">
                  <c:v>Kindred at Home (60 % restante)</c:v>
                </c:pt>
                <c:pt idx="7">
                  <c:v>Blue Cross and Blue Shield de Luisiana (retirada)</c:v>
                </c:pt>
              </c:strCache>
            </c:strRef>
          </c:cat>
          <c:val>
            <c:numRef>
              <c:f>Hoja1!$B$2:$B$9</c:f>
              <c:numCache>
                <c:formatCode>0.0"x"</c:formatCode>
                <c:ptCount val="8"/>
                <c:pt idx="0">
                  <c:v>9.2</c:v>
                </c:pt>
                <c:pt idx="2">
                  <c:v>18.1</c:v>
                </c:pt>
                <c:pt idx="3">
                  <c:v>17.9</c:v>
                </c:pt>
                <c:pt idx="4">
                  <c:v>67.8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6482</c:v>
                </c:pt>
                <c:pt idx="1">
                  <c:v>6570</c:v>
                </c:pt>
                <c:pt idx="2">
                  <c:v>6675</c:v>
                </c:pt>
                <c:pt idx="3">
                  <c:v>7160</c:v>
                </c:pt>
                <c:pt idx="4">
                  <c:v>7751</c:v>
                </c:pt>
                <c:pt idx="5">
                  <c:v>8356</c:v>
                </c:pt>
                <c:pt idx="6">
                  <c:v>8858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35906</c:v>
                </c:pt>
                <c:pt idx="1">
                  <c:v>90382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439,95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295.73</c:v>
                </c:pt>
                <c:pt idx="1">
                  <c:v>448.43</c:v>
                </c:pt>
                <c:pt idx="2">
                  <c:v>520.38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439,95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(274,84 – 450,69)</c:v>
                </c:pt>
                <c:pt idx="1">
                  <c:v>Precio objetivo de los analistas (406,00 – 523,00)</c:v>
                </c:pt>
                <c:pt idx="2">
                  <c:v>Comparables: PER NTM (414,94 – 608,53)</c:v>
                </c:pt>
                <c:pt idx="3">
                  <c:v>Transacciones precedentes (EV/EBITDA) (524,75 – 740,86)</c:v>
                </c:pt>
                <c:pt idx="4">
                  <c:v>DCF (WACC y g ± 0,5) (399,67 – 515,89)</c:v>
                </c:pt>
                <c:pt idx="5">
                  <c:v>Escenarios (bajista – alcista) (295,73 – 520,38)</c:v>
                </c:pt>
                <c:pt idx="6">
                  <c:v>Suma de partes (317,17 – 476,16)</c:v>
                </c:pt>
                <c:pt idx="7">
                  <c:v>DCF con la prima implícita del mercado (4,2 %)</c:v>
                </c:pt>
                <c:pt idx="8">
                  <c:v>Precio actual (439,95)</c:v>
                </c:pt>
              </c:strCache>
            </c:strRef>
          </c:cat>
          <c:val>
            <c:numRef>
              <c:f>Hoja1!$B$2:$B$10</c:f>
              <c:numCache>
                <c:formatCode>#,##0</c:formatCode>
                <c:ptCount val="9"/>
                <c:pt idx="0">
                  <c:v>274.84</c:v>
                </c:pt>
                <c:pt idx="1">
                  <c:v>406</c:v>
                </c:pt>
                <c:pt idx="2">
                  <c:v>414.94</c:v>
                </c:pt>
                <c:pt idx="3">
                  <c:v>524.75</c:v>
                </c:pt>
                <c:pt idx="4">
                  <c:v>399.67</c:v>
                </c:pt>
                <c:pt idx="5">
                  <c:v>295.73</c:v>
                </c:pt>
                <c:pt idx="6">
                  <c:v>317.17</c:v>
                </c:pt>
                <c:pt idx="7">
                  <c:v>478.39</c:v>
                </c:pt>
                <c:pt idx="8">
                  <c:v>437.75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(274,84 – 450,69)</c:v>
                </c:pt>
                <c:pt idx="1">
                  <c:v>Precio objetivo de los analistas (406,00 – 523,00)</c:v>
                </c:pt>
                <c:pt idx="2">
                  <c:v>Comparables: PER NTM (414,94 – 608,53)</c:v>
                </c:pt>
                <c:pt idx="3">
                  <c:v>Transacciones precedentes (EV/EBITDA) (524,75 – 740,86)</c:v>
                </c:pt>
                <c:pt idx="4">
                  <c:v>DCF (WACC y g ± 0,5) (399,67 – 515,89)</c:v>
                </c:pt>
                <c:pt idx="5">
                  <c:v>Escenarios (bajista – alcista) (295,73 – 520,38)</c:v>
                </c:pt>
                <c:pt idx="6">
                  <c:v>Suma de partes (317,17 – 476,16)</c:v>
                </c:pt>
                <c:pt idx="7">
                  <c:v>DCF con la prima implícita del mercado (4,2 %)</c:v>
                </c:pt>
                <c:pt idx="8">
                  <c:v>Precio actual (439,95)</c:v>
                </c:pt>
              </c:strCache>
            </c:strRef>
          </c:cat>
          <c:val>
            <c:numRef>
              <c:f>Hoja1!$C$2:$C$10</c:f>
              <c:numCache>
                <c:formatCode>#,##0</c:formatCode>
                <c:ptCount val="9"/>
                <c:pt idx="0">
                  <c:v>175.85000000000002</c:v>
                </c:pt>
                <c:pt idx="1">
                  <c:v>117</c:v>
                </c:pt>
                <c:pt idx="2">
                  <c:v>193.58999999999997</c:v>
                </c:pt>
                <c:pt idx="3">
                  <c:v>216.11</c:v>
                </c:pt>
                <c:pt idx="4">
                  <c:v>116.21999999999997</c:v>
                </c:pt>
                <c:pt idx="5">
                  <c:v>224.64999999999998</c:v>
                </c:pt>
                <c:pt idx="6">
                  <c:v>158.99</c:v>
                </c:pt>
                <c:pt idx="7">
                  <c:v>95.53999999999996</c:v>
                </c:pt>
                <c:pt idx="8">
                  <c:v>4.399999999999977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