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Laboratorios Farmacéuticos Rovi, S.A.</w:t>
      </w:r>
    </w:p>
    <w:p>
      <w:pPr>
        <w:spacing w:after="60"/>
        <w:rPr>
          <w:color w:val="52514E"/>
          <w:sz w:val="22"/>
          <w:szCs w:val="22"/>
        </w:rPr>
      </w:pPr>
      <w:r>
        <w:rPr>
          <w:color w:val="52514E"/>
          <w:sz w:val="22"/>
          <w:szCs w:val="22"/>
        </w:rPr>
        <w:t xml:space="preserve">ROVI · Bolsa de Madrid (Mercado Continuo) · ISIN ES0157261019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61,40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67,00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+10,7 % (base +22,6 %)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59,03 EUR · mercado 71,11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Laboratorios Farmacéuticos Rovi,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ROVI / ES0157261019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 especialidades (heparinas, Okedi) y fabricación de inyectables para terceros (CDMO)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61,40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53,10 – 86,70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 M EUR/día (92.247 acciones/día, 65 sesiones a 26-oct-2026) [58]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67,00 EUR</w:t>
      </w:r>
      <w:r>
        <w:t xml:space="preserve"> frente a 61,40 · Rentabilidad a 12 meses </w:t>
      </w:r>
      <w:r>
        <w:rPr>
          <w:b/>
          <w:bCs/>
        </w:rPr>
        <w:t xml:space="preserve">+10,7 % (base +22,6 %)</w:t>
      </w:r>
      <w:r>
        <w:t xml:space="preserve"> · Valor intrínseco 59,03 EUR · con la prima implícita del mercado: 71,11 (+15,8 %) · Alcista / bajista +27,4 % / -34,6 %</w:t>
      </w:r>
    </w:p>
    <w:p>
      <w:pPr>
        <w:spacing w:after="100"/>
      </w:pPr>
      <w:r>
        <w:rPr>
          <w:b/>
        </w:rPr>
        <w:t xml:space="preserve">La recomendación y por qué.</w:t>
      </w:r>
      <w:r>
        <w:t xml:space="preserve"> Mantener, con convicción baja; no es compra. Con nuestro BPA y la regla común de múltiplos, el objetivo a 12 meses es de 67,00 EUR frente a 61,40 EUR (cierre del 26-oct): +10,7 % ponderado con el dividendo y +22,6 % en el caso base, por debajo del 15 % que pide una compra. El valor intrínseco (59,03 EUR) queda un 3,9 % por debajo del precio, así que tampoco pasa el filtro de valor real. El objetivo medio de los analistas (73,69 EUR) cae dentro de nuestro rango y casi igual que nuestro base. La convicción es baja porque las dos reglas del valor intrínseco discrepan (absoluta Mantener, relativa Comprar) y porque todo depende de un contrato sin fecha; subiría si la guía de 2027 incluye las jeringas con fecha de arranque.</w:t>
      </w:r>
    </w:p>
    <w:p>
      <w:pPr>
        <w:spacing w:after="100"/>
      </w:pPr>
      <w:r>
        <w:rPr>
          <w:b/>
        </w:rPr>
        <w:t xml:space="preserve">El negocio.</w:t>
      </w:r>
      <w:r>
        <w:t xml:space="preserve"> Rovi tiene dos patas: especialidades (473,9 M en 2025: heparinas 258,1 M y Okedi 56,7 M) y fabricación de inyectables para terceros (CDMO, 269,5 M) [1]. Rinde un ROIC del 20,8 % frente a un WACC del 8,02 %, sin deuda. La sostenibilidad del crecimiento es «En parte»: el capital nuevo que suponemos rinde un 26,4 %, dentro de lo que la empresa ha demostrado, pero el crecimiento depende de llenar capacidad vacía de la CDMO con clientes que ya han fallado (Moderna bajó de 409 a 270 M; las jeringas se retrasaron), y la heparina pierde precio [1, 8].</w:t>
      </w:r>
    </w:p>
    <w:p>
      <w:pPr>
        <w:spacing w:after="100"/>
      </w:pPr>
      <w:r>
        <w:rPr>
          <w:b/>
        </w:rPr>
        <w:t xml:space="preserve">Finanzas.</w:t>
      </w:r>
      <w:r>
        <w:t xml:space="preserve"> El 1S26 creció un 9,4 % en ingresos, pero el EBITDA lleva 62,4 M de badwill por la planta de Phoenix comprada a BMS; sin él cayó un 10 % [10]. En mayo la empresa rebajó la guía de 2026 al 0-10 % y el contrato de Neparvis (56,7 M de ventas, el 7,6 %) terminó el 16-oct [8, 10]. Deuda neta ajustada de 27 M, contando el dividendo pagado en julio.</w:t>
      </w:r>
    </w:p>
    <w:p>
      <w:pPr>
        <w:spacing w:after="100"/>
      </w:pPr>
      <w:r>
        <w:rPr>
          <w:b/>
        </w:rPr>
        <w:t xml:space="preserve">Equipo y gobierno.</w:t>
      </w:r>
      <w:r>
        <w:t xml:space="preserve"> La familia López-Belmonte controla el 58,2 % a través de Norbel, y el presidente es también primer ejecutivo; Mayoral subió al 13,4 % en junio, comprando en la caída [37, 42]. Las comisiones son independientes y no hay ventas de directivos. Resta el historial de guía: 2026 se rebajó a los cuatro meses.</w:t>
      </w:r>
    </w:p>
    <w:p>
      <w:pPr>
        <w:spacing w:after="100"/>
      </w:pPr>
      <w:r>
        <w:rPr>
          <w:b/>
        </w:rPr>
        <w:t xml:space="preserve">Valoración.</w:t>
      </w:r>
      <w:r>
        <w:t xml:space="preserve"> El DCF da 61,35 EUR, el precio exacto, y el DCF inverso dice lo mismo: el mercado descuenta un crecimiento del 6,4 % anual en 2027e-2035e con un margen del 30 %, nuestro caso base. No es una apuesta barata ni cara: paga la recuperación de la CDMO sin el plan de 2030. Los comparables (47,64 EUR) están por debajo porque cotizan a 14,5 veces el beneficio frente a 18,6. Nuestro BPA de 2028e (3,44 EUR) queda un 17 % por debajo del consenso (4,16) porque partimos de la guía rebajada y sin Neparvis.</w:t>
      </w:r>
    </w:p>
    <w:p>
      <w:pPr>
        <w:spacing w:after="100"/>
      </w:pPr>
      <w:r>
        <w:rPr>
          <w:b/>
        </w:rPr>
        <w:t xml:space="preserve">Riesgos y catalizadores.</w:t>
      </w:r>
      <w:r>
        <w:t xml:space="preserve"> El mayor riesgo es otro retraso del contrato de jeringas: el bajista del DCF pierde un 34,6 %. Después, Moderna y el precio de la heparina. Catalizadores: los resultados del 5-nov y la guía de 2027 en febrero. Los foros son optimistas y poco activos; no señalan nada que el informe no tenga [E].</w:t>
      </w:r>
    </w:p>
    <w:p>
      <w:pPr>
        <w:spacing w:after="100"/>
      </w:pPr>
      <w:r>
        <w:rPr>
          <w:b/>
        </w:rPr>
        <w:t xml:space="preserve">Qué cambiaría la decisión.</w:t>
      </w:r>
      <w:r>
        <w:t xml:space="preserve"> Compraríamos a mercado por debajo de 55,73 EUR (nivel C, tamaño máximo del 3,3 %, porque la sostenibilidad es «En parte») o de 53,31 EUR (nivel B2, 4 %). Para quien la tenga, el filtro de mantener deja de cumplirse por encima de 61,80 EUR (la banda Vender de la regla, ponderada ≤ −10 %, está mucho más arriba). Si el 5-nov baja la guía de 2026 o la de 2027 no trae las jeringas, rebajaríamos el BPA y los límites.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67,00 EUR</w:t>
      </w:r>
      <w:r>
        <w:t xml:space="preserve"> (rentabilidad +10,7 % (base +22,6 %)) · Valor intrínseco: 59,03 EUR (-3,9 % sobre 61,40) · con la prima implícita del mercado: 71,11 (+15,8 %)</w:t>
      </w:r>
    </w:p>
    <w:p>
      <w:pPr>
        <w:spacing w:after="100"/>
      </w:pPr>
      <w:r>
        <w:t xml:space="preserve">Rovi es una farmacéutica española con dos negocios: heparinas y un antipsicótico propio (Okedi) en especialidades, y llenado aséptico de jeringas y viales para terceros, con más de 500 millones de jeringas de capacidad [20]. Gana un ROIC del 20,8 % sin deuda, y la familia López-Belmonte controla el 58,2 % [42].</w:t>
      </w:r>
    </w:p>
    <w:p>
      <w:pPr>
        <w:spacing w:after="100"/>
      </w:pPr>
      <w:r>
        <w:t xml:space="preserve">A 61,40 EUR el precio descuenta un crecimiento del 6,4 % anual hasta 2035 con un margen EBITDA del 30 %: la vuelta de la CDMO tras la caída de Moderna, sin el plan de 2030 de la empresa. Cotiza a 18,6 veces el beneficio de los próximos 12 meses, con prima sobre los comparables (14,5x) [67].</w:t>
      </w:r>
    </w:p>
    <w:p>
      <w:pPr>
        <w:spacing w:after="100"/>
      </w:pPr>
      <w:r>
        <w:t xml:space="preserve">Para invertir hay que creer que la capacidad vacía se llena en 2027-2028 (Phoenix, Roche y el contrato de jeringas) y que la heparina deja de perder precio. Nosotros lo creemos a medias: el contrato de jeringas ya se retrasó una vez y la guía de 2026 duró cuatro meses. A este precio el accionista gana un 8 % anual si se cumple nuestro base;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2,74 = 30,96 · 21,6x × 3,44 = 74,30 · 22,5x × 3,93 = 88,43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 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73,69 (nuestro base +0,8 %)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 -34,6 %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8,0 %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(6,2 % anual proyectado; financiable al ROIC actual: 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59,03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59,03 y 75,51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75,51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a mercado de 55,73 EUR o menos: compra posible de nivel C (3,3 %); 53,31 EUR o menos: nivel B2 (4 %).</w:t>
      </w:r>
    </w:p>
    <w:p>
      <w:pPr>
        <w:pStyle w:val="ListParagraph"/>
        <w:numPr>
          <w:ilvl w:val="0"/>
          <w:numId w:val="2"/>
        </w:numPr>
        <w:spacing w:after="60"/>
      </w:pPr>
      <w:r>
        <w:t xml:space="preserve">Por encima de 61,80 EUR deja de pasar el filtro de mantener para quien la tenga.</w:t>
      </w:r>
    </w:p>
    <w:p>
      <w:pPr>
        <w:pStyle w:val="ListParagraph"/>
        <w:numPr>
          <w:ilvl w:val="0"/>
          <w:numId w:val="2"/>
        </w:numPr>
        <w:spacing w:after="60"/>
      </w:pPr>
      <w:r>
        <w:t xml:space="preserve">Guía de 2027 con el contrato de jeringas en marcha y crecimiento de doble dígito: subiríamos el BPA de 2028e hacia el consenso.</w:t>
      </w:r>
    </w:p>
    <w:p>
      <w:pPr>
        <w:pStyle w:val="ListParagraph"/>
        <w:numPr>
          <w:ilvl w:val="0"/>
          <w:numId w:val="2"/>
        </w:numPr>
        <w:spacing w:after="60"/>
      </w:pPr>
      <w:r>
        <w:t xml:space="preserve">Rebaja de la guía de 2026 el 5-nov o ventas de heparinas con caída de más del 10 %: bajaríamos el BPA y los límites.</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6,4 % anual hasta 2035 con un margen EBITDA del 30 %: la CDMO se recupera y el BPA sube un 25 % hasta 2028. Los analistas esperan aún más (BPA de 4,16 EUR en 2028e) y un objetivo de 73,69 EUR.</w:t>
      </w:r>
    </w:p>
    <w:p>
      <w:pPr>
        <w:keepNext/>
        <w:spacing w:after="100"/>
      </w:pPr>
      <w:r>
        <w:rPr>
          <w:b/>
          <w:bCs/>
        </w:rPr>
        <w:t xml:space="preserve">Lo que creemos nosotros.</w:t>
      </w:r>
    </w:p>
    <w:p>
      <w:pPr>
        <w:spacing w:after="100"/>
      </w:pPr>
      <w:r>
        <w:t xml:space="preserve">Lo mismo en el largo plazo, pero más despacio hasta 2028: un BPA de 3,44 EUR porque el contrato de jeringas no tiene fecha, Neparvis se va y la heparina pierde precio.</w:t>
      </w:r>
    </w:p>
    <w:p>
      <w:pPr>
        <w:keepNext/>
        <w:spacing w:after="100"/>
      </w:pPr>
      <w:r>
        <w:rPr>
          <w:b/>
          <w:bCs/>
        </w:rPr>
        <w:t xml:space="preserve">Por qué podemos tener razón.</w:t>
      </w:r>
    </w:p>
    <w:p>
      <w:pPr>
        <w:spacing w:after="100"/>
      </w:pPr>
      <w:r>
        <w:t xml:space="preserve">La empresa ya ha fallado su guía de 2026 por el mismo contrato, y la caída de Moderna enseña que la CDMO depende de pocos clientes. No tenemos una visión distinta del mercado en el valor; la diferencia es el ritmo.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alto sin deuda</w:t>
      </w:r>
      <w:r>
        <w:t xml:space="preserve">: 20,8 % frente a un WACC del 8,02 % y deuda neta ajustada de 27 M.</w:t>
      </w:r>
    </w:p>
    <w:p>
      <w:pPr>
        <w:pStyle w:val="ListParagraph"/>
        <w:numPr>
          <w:ilvl w:val="0"/>
          <w:numId w:val="2"/>
        </w:numPr>
        <w:spacing w:after="60"/>
      </w:pPr>
      <w:r>
        <w:rPr>
          <w:b/>
        </w:rPr>
        <w:t xml:space="preserve">Capacidad ya construida</w:t>
      </w:r>
      <w:r>
        <w:t xml:space="preserve">: más de 500 millones de jeringas al año; llenarla no exige capex nuevo [20].</w:t>
      </w:r>
    </w:p>
    <w:p>
      <w:pPr>
        <w:pStyle w:val="ListParagraph"/>
        <w:numPr>
          <w:ilvl w:val="0"/>
          <w:numId w:val="2"/>
        </w:numPr>
        <w:spacing w:after="60"/>
      </w:pPr>
      <w:r>
        <w:rPr>
          <w:b/>
        </w:rPr>
        <w:t xml:space="preserve">Clientes nuevos con mínimos</w:t>
      </w:r>
      <w:r>
        <w:t xml:space="preserve">: BMS paga al menos 50 M USD al año durante cinco años y Roche suma un 20-25 % a la CDMO de 2024 en 2030 [10, 12].</w:t>
      </w:r>
    </w:p>
    <w:p>
      <w:pPr>
        <w:pStyle w:val="ListParagraph"/>
        <w:numPr>
          <w:ilvl w:val="0"/>
          <w:numId w:val="2"/>
        </w:numPr>
        <w:spacing w:after="60"/>
      </w:pPr>
      <w:r>
        <w:rPr>
          <w:b/>
        </w:rPr>
        <w:t xml:space="preserve">Okedi crece</w:t>
      </w:r>
      <w:r>
        <w:t xml:space="preserve">: 56,7 M en 2025 (+97 %) y +27 % en el 1S26, con ventas máximas estimadas de 100-200 M [1].</w:t>
      </w:r>
    </w:p>
    <w:p>
      <w:pPr>
        <w:pStyle w:val="ListParagraph"/>
        <w:numPr>
          <w:ilvl w:val="0"/>
          <w:numId w:val="2"/>
        </w:numPr>
        <w:spacing w:after="60"/>
      </w:pPr>
      <w:r>
        <w:rPr>
          <w:b/>
        </w:rPr>
        <w:t xml:space="preserve">Accionistas que compran</w:t>
      </w:r>
      <w:r>
        <w:t xml:space="preserve">: Mayoral sube al 13,4 % tras la caída de mayo [42].</w:t>
      </w:r>
    </w:p>
    <w:p>
      <w:pPr>
        <w:pStyle w:val="Heading2"/>
      </w:pPr>
      <w:r>
        <w:t xml:space="preserve">En contra</w:t>
      </w:r>
    </w:p>
    <w:p>
      <w:pPr>
        <w:pStyle w:val="ListParagraph"/>
        <w:numPr>
          <w:ilvl w:val="0"/>
          <w:numId w:val="2"/>
        </w:numPr>
        <w:spacing w:after="60"/>
      </w:pPr>
      <w:r>
        <w:rPr>
          <w:b/>
        </w:rPr>
        <w:t xml:space="preserve">Guía rebajada</w:t>
      </w:r>
      <w:r>
        <w:t xml:space="preserve">: la de 2026 pasó de un dígito alto a 0-10 % en mayo [8].</w:t>
      </w:r>
    </w:p>
    <w:p>
      <w:pPr>
        <w:pStyle w:val="ListParagraph"/>
        <w:numPr>
          <w:ilvl w:val="0"/>
          <w:numId w:val="2"/>
        </w:numPr>
        <w:spacing w:after="60"/>
      </w:pPr>
      <w:r>
        <w:rPr>
          <w:b/>
        </w:rPr>
        <w:t xml:space="preserve">Contrato de jeringas sin fecha</w:t>
      </w:r>
      <w:r>
        <w:t xml:space="preserve">: pendiente de autorización regulatoria del cliente [8].</w:t>
      </w:r>
    </w:p>
    <w:p>
      <w:pPr>
        <w:pStyle w:val="ListParagraph"/>
        <w:numPr>
          <w:ilvl w:val="0"/>
          <w:numId w:val="2"/>
        </w:numPr>
        <w:spacing w:after="60"/>
      </w:pPr>
      <w:r>
        <w:rPr>
          <w:b/>
        </w:rPr>
        <w:t xml:space="preserve">Heparina bajo presión</w:t>
      </w:r>
      <w:r>
        <w:t xml:space="preserve">: caída de un dígito medio prevista en 2026 [10].</w:t>
      </w:r>
    </w:p>
    <w:p>
      <w:pPr>
        <w:pStyle w:val="ListParagraph"/>
        <w:numPr>
          <w:ilvl w:val="0"/>
          <w:numId w:val="2"/>
        </w:numPr>
        <w:spacing w:after="60"/>
      </w:pPr>
      <w:r>
        <w:rPr>
          <w:b/>
        </w:rPr>
        <w:t xml:space="preserve">Neparvis se va</w:t>
      </w:r>
      <w:r>
        <w:t xml:space="preserve">: 56,7 M de ventas (7,6 %) desde el 16-oct-2026 [10].</w:t>
      </w:r>
    </w:p>
    <w:p>
      <w:pPr>
        <w:pStyle w:val="ListParagraph"/>
        <w:numPr>
          <w:ilvl w:val="0"/>
          <w:numId w:val="2"/>
        </w:numPr>
        <w:spacing w:after="60"/>
      </w:pPr>
      <w:r>
        <w:rPr>
          <w:b/>
        </w:rPr>
        <w:t xml:space="preserve">Sin margen de seguridad</w:t>
      </w:r>
      <w:r>
        <w:t xml:space="preserve">: valor intrínseco de 59,03 EUR, un 3,9 % por debajo del precio.</w:t>
      </w:r>
    </w:p>
    <w:p>
      <w:pPr>
        <w:pStyle w:val="Heading2"/>
      </w:pPr>
      <w:r>
        <w:t xml:space="preserve">Qué tiene que pasar para que la tesis funcione</w:t>
      </w:r>
    </w:p>
    <w:p>
      <w:pPr>
        <w:spacing w:after="100"/>
      </w:pPr>
      <w:r>
        <w:t xml:space="preserve">La tesis depende de que la CDMO vuelva a crecer en 2027 con el contrato de jeringas, Phoenix y Roche. La señal de que no se cumple: una guía de 2027 sin fecha para las jeringas o ventas de la CDMO del segundo semestre de 2026 por debajo de las del segundo semestre de 2025 (unos 192 M). En heparinas, una caída del año mayor de un dígito medio.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CDMO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 M en el 1S26 (+38 %)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2S26 por debajo de 192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la recuperación.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 +0-10 %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el 5-nov o guía de 2027 &lt;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ya la rebajó una vez.</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heparinas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 M en el 1S26 (−5 %)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anual &gt;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35 % de las ventas y pierde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Okedi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M en el 1S26 (+27 %)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producto propio con más recorrido.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sin extraordinarios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 esperado en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24 %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absorción de costes fijos de las plantas.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 / 18,6x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Rovi se funda en 1946 en Madrid y desde 1981 investiga heparinas de bajo peso molecular: en 1998 lanza en España la bemiparina, su molécula propia, que en 2003 ya se vende en 59 países [21]. Sale a bolsa en 2007 y entra en el Ibex 35 en diciembre de 2021 [20]. Dos apuestas industriales cambian la empresa: el biosimilar de enoxaparina, que empieza a vender en Alemania en 2017 y en 2018 en España, Francia, Reino Unido e Italia [21], y la fabricación para terceros, que salta en 2020 con la vacuna de ARNm de Moderna y un contrato de diez años firmado en febrero de 2022 [20, 21]. En 2022 la EMA aprueba Okedi, primer producto de su tecnología de liberación prolongada ISM [20]. Desde 2024, con la vacuna en retroceso (ventas CDMO −20 % en 2025), busca nuevos clientes de llenado: una farmacéutica global (2024), Roche (2025) y la planta de Phoenix comprada a BMS (abril de 2026) [1, 10,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compañía en Madrid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bemiparina (Hibor), heparina de bajo peso molecular propia, tras investigarla desde 1981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Madrid, Barcelona, Bilbao y Valencia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planta de inyectables de San Sebastián de los Reyes, hoy el centro de llenado de jeringas de alta velocidad [19,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co-marketing con Novartis para Neparvis en España (56,7 M EUR de ventas en 2025; la empresa dice que el contrato termina el 16-oct-2026) [1, 10,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venta del biosimilar de enoxaparina en Alemania; en 2018, en España, Francia, Reino Unido e Italia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fuera de EE. UU. del principio activo y del llenado de la vacuna covid de Moderna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Ibex 35 en diciembre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EMA aprueba Okedi (risperidona ISM) en febrero; acuerdo a diez años con Moderna como socio preferente de ARNm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con una farmacéutica global para llenar hasta 100 millones de jeringas al año en San Sebastián de los Reyes [19,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CDMO −20 % por la caída de Moderna; acuerdos con Roche (línea de alta velocidad) y con BMS para la planta de Phoenix [1,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 Phoenix (1-abr) con contrato de fabricación para BMS a cinco años y mínimo de 50 M USD al año; diferencia negativa de 62,4 M EUR [1,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Rovi tiene dos negocios. </w:t>
      </w:r>
      <w:r>
        <w:rPr>
          <w:b/>
        </w:rPr>
        <w:t xml:space="preserve">Especialidades farmacéuticas</w:t>
      </w:r>
      <w:r>
        <w:t xml:space="preserve"> (473,9 M EUR en 2025, el 64 % de los ingresos operativos de 743,5 M): heparinas de bajo peso molecular (258,1 M; biosimilar de enoxaparina 157,7 M y bemiparina 100,3 M), Okedi, su antipsicótico inyectable mensual con tecnología ISM (56,7 M), productos licenciados que distribuye en España (Neparvis de Novartis 56,7 M, Orvatez 13,4 M, Volutsa 9,0 M, Rolcya de Sandoz desde noviembre de 2025) y agentes de contraste (58,8 M) [1]. Vende directamente en España, Portugal, Alemania, Reino Unido, Italia, Francia y Austria, y en el resto a través de socios: la enoxaparina está aprobada en 26 países europeos y 33 del resto del mundo, con 82 territorios licenciados [19, 20]. </w:t>
      </w:r>
      <w:r>
        <w:rPr>
          <w:b/>
        </w:rPr>
        <w:t xml:space="preserve">Fabricación a terceros (CDMO)</w:t>
      </w:r>
      <w:r>
        <w:t xml:space="preserve"> (269,5 M): llenado aséptico de jeringas precargadas, cartuchos y viales en Madrid y San Sebastián de los Reyes, ensamblaje y empaquetado en Alcalá de Henares, principio activo de ARNm en Granada y, desde abril de 2026, viales de alta potencia en Phoenix (EE. UU.) [18, 20]. Capacidad a fin de 2025: más de 500 millones de jeringas y 160 millones de viales al año [20]. Plantilla: 2.232 personas [20].</w:t>
      </w:r>
    </w:p>
    <w:p>
      <w:pPr>
        <w:pStyle w:val="Heading2"/>
      </w:pPr>
      <w:r>
        <w:t xml:space="preserve">Cómo gana dinero</w:t>
      </w:r>
    </w:p>
    <w:p>
      <w:pPr>
        <w:spacing w:after="100"/>
      </w:pPr>
      <w:r>
        <w:t xml:space="preserve">En especialidades el margen depende de la mezcla: Okedi, con patente propia, y la enoxaparina vendida directamente dejan más margen que los productos licenciados, que pierden precio cuando llegan genéricos (Orvatez −38 % en 2025 tras bajar el precio un 40 %; Volutsa −47 % de precio en 2023) [1, 19]. El coste clave de las heparinas es la mucosa intestinal de cerdo, que viene sobre todo de China; su abaratamiento subió el margen bruto en 2025 y el 1S26 [10, 20]. En CDMO cobra por lote y por reserva de capacidad: los contratos llevan mínimos (BMS: 50 M USD al año durante cinco años) pero el volumen depende de la demanda del cliente, como mostró la caída de Moderna (ventas CDMO de 336,2 M en 2024 a 269,5 M en 2025) [1, 19]. Hay apalancamiento operativo alto porque las líneas se construyen antes de llenarlas. Estacionalidad: las heparinas y la vacuna estacional cargan el cuarto trimestre (heparinas de bajo peso molecular: 74,5 M en el 4T25 frente a 52,3 M en el 3T25)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Especialidades farmacéuticas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a terceros (CDMO)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Especialidades farmacéuticas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a terceros (CDMO)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especialidades los clientes finales son hospitales y sistemas públicos de salud (en España hay descuentos al Sistema Nacional de Salud de 11,7 M EUR en 2025) y socios que revenden la bemiparina y la enoxaparina fuera de los siete países con venta directa; sus pedidos son irregulares (bemiparina exterior −17 % en el 1S26 por inventario alto de los socios) [1, 10]. En CDMO hay pocos clientes y muy grandes: Moderna (contrato de diez años desde 2022), una farmacéutica global sin nombre (hasta 100 millones de jeringas al año; arranque retrasado a la espera de autorización regulatoria), BMS (13 % de las ventas CDMO del 1S26, mínimo de 50 M USD anuales) y Roche (producto en desarrollo; la empresa estima que sumará al menos un 20-25 % a las ventas CDMO de 2024 en 2030) [10, 19]. Poder de precios limitado en heparinas: la empresa cita «creciente presión competitiva en precios» para rebajar la guía de 2026 [10]. Riesgo inmediato: según la empresa, el contrato de distribución de Neparvis (56,7 M EUR, 7,6 % de las ventas de 2025) terminaba el 16-oct-2026; no consta renovación en sus comunicados hasta el 27-oct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heparinas de bajo peso molecular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125,3 M en el 1S26 (−5 %); guía 2026: caída en la banda media de 0-10 %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 de enoxaparina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78,6 M en el 1S26 (−2 %)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Okedi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 M en el 1S26 (+27 %); ventas máximas estimadas por la empresa: 100-200 M [1,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CDMO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106,3 M en el 1S26 (+38 %), con Phoenix desde abril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llenado (jeringas al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 millones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160 millones de viales; tercera línea de 36.000 jeringas/hora en el 2T26 y línea de 65-70 millones en Phoenix en 2027 [19,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fuera de España (% de ingresos operativos)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 en el 1S26 frente al 55 % del 1S25 [1,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Rovi juega en tres mercados distintos. </w:t>
      </w:r>
      <w:r>
        <w:rPr>
          <w:b/>
        </w:rPr>
        <w:t xml:space="preserve">Heparinas de bajo peso molecular</w:t>
      </w:r>
      <w:r>
        <w:t xml:space="preserve"> (enoxaparina, bemiparina), mundial: el que más pesa en especialidades. </w:t>
      </w:r>
      <w:r>
        <w:rPr>
          <w:b/>
        </w:rPr>
        <w:t xml:space="preserve">Fabricación por encargo de inyectables estériles</w:t>
      </w:r>
      <w:r>
        <w:t xml:space="preserve"> (CDMO de llenado aséptico de jeringas, cartuchos y viales), mundial. </w:t>
      </w:r>
      <w:r>
        <w:rPr>
          <w:b/>
        </w:rPr>
        <w:t xml:space="preserve">Antipsicóticos inyectables de liberación prolongada</w:t>
      </w:r>
      <w:r>
        <w:t xml:space="preserve"> (Okedi), Europa y Australia. Para el tamaño de heparinas usamos dos estudios: Global Market Insights (heparina total 5.400 M USD en 2024, el 79,6 % de bajo peso molecular) y Research and Markets (solo bajo peso molecular, 5.400 M USD en 2026); cuadran entre sí si el segmento crece un 6-7 % anual [22, 23]. Para CDMO estéril las estimaciones van de 4.730 a 42.100 M USD según el perímetro [24, 25, 26]; usamos la de Mordor (15.500 M USD en 2025), que separa el llenado y acabado (51 % del total)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Heparina ≈ 5.800 M USD en 2025 (≈ 4.600 M de bajo peso molecular, estimación con el 79,6 % de 2024) [23]; bajo peso molecular 5.400 M USD en 2026 [22]. CDMO de inyectables estériles ≈ 15.500 M USD en 2025 [24]. Antipsicóticos inyectables de larga duración: al menos 4.600 M USD en 2025 sumando solo cuatro familias de producto (estimación propia: Invega 3.810 M USD, Abilify LAI de Lundbeck 3.776 M DKK, Uzedy 191 M USD y Okedi 56,7 M EUR) [1, 28, 29, 30]. Market Research Future da 3.000 M USD para este segmento en 2024, menos de lo que vendió solo J&amp;J, y no se usa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ercado mundial de heparina,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profilaxis de trombosis en hospital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heparina previsto al 7,2 % anual 2025-2034 (GMI) y bajo peso molecular al 5,6 % 2026-2034 (Research and Markets)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 precio por biosimilares y licitaciones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Lovenox de Sanofi −14,4 % en 2025 (822 M EUR; Europa −19,9 %) por competencia; Rovi rebaja su guía 2026 de heparinas por presión de precios [10,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del llenado aséptico y escasez de capacidad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Ocupación del llenado mundial por encima del 85 % en 2024 y una línea propia cuesta más de 300 M USD y hasta cinco años; CDMO estéril previsto al 10,4 % anual 2026-2031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vacunas covid de ARNm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CDMO de Rovi −20 % en 2025 (336,2 a 269,5 M EUR) por menor producción para Moderna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antipsicóticos orales a inyectables de larga duración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Uzedy +63 % y Abilify LAI +10 % (moneda constante) en 2025, pero la familia Invega −9,8 % por erosión en EE. UU.; Okedi +97 % [1, 28, 29,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y origen de la materia prima de heparina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mucosa porcina viene sobre todo de China; su abaratamiento subió el margen bruto de Rovi en 2025-1S26 (65,2 % sin subvenciones en el 1S26) [10,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heparinas compiten el original (Sanofi), varios biosimilares europeos y los fabricantes chinos integrados (Hepalink/Techdow dice tener la mayor cuota de enoxaparina en varios países europeos); Lovenox cayó un 14,4 % en 2025 [31,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sistemas públicos por licitación (descuentos al SNS de 11,7 M EUR en 2025) y, en CDMO, unos pocos laboratorios globales; Moderna redujo pedidos y la farmacéutica global retrasó el arranque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heparina cruda sale de mucosa porcina, mayoritariamente china; Rovi construye la planta de Glicopepton en Huesca para reducir esa dependencia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línea aséptica supera los 300 M USD y tarda hasta cinco años; el Anexo 1 de las GMP europeas exige inversiones de 5-20 M USD por planta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Anticoagulantes orales directos fuera del hospital; en esquizofrenia, antipsicóticos orales y otros inyectables (Invega, Abilify Maintena, Uzedy) [28, 29, 30].</w:t>
            </w:r>
          </w:p>
        </w:tc>
      </w:tr>
    </w:tbl>
    <w:p>
      <w:pPr>
        <w:spacing w:after="160" w:before="0"/>
      </w:pPr>
    </w:p>
    <w:p>
      <w:pPr>
        <w:pStyle w:val="Heading2"/>
      </w:pPr>
      <w:r>
        <w:t xml:space="preserve">Ciclo</w:t>
      </w:r>
    </w:p>
    <w:p>
      <w:pPr>
        <w:spacing w:after="100"/>
      </w:pPr>
      <w:r>
        <w:t xml:space="preserve">La demanda de heparinas y antipsicóticos depende poco del PIB. El ciclo lo marcan el precio y los inventarios de los socios: en 2025 los socios compraron de más (heparinas +7 %) y en 2026 reducen pedidos (bemiparina exterior −17 % en el 1S26) [1, 10]. La CDMO tuvo su auge en 2020-2022 con la vacuna covid, retroceso en 2023-2025 y vuelve a crecer en 2026 (+38 % en el 1S26) con nuevos clientes [1, 10]. El llenado estéril lleva desde 2024 con ocupación superior al 85 % [24]. No hay datos sectoriales publicados de 2008-09; Rovi pasó 2020 con la vacuna como motor.</w:t>
      </w:r>
    </w:p>
    <w:p>
      <w:pPr>
        <w:pStyle w:val="Heading2"/>
      </w:pPr>
      <w:r>
        <w:t xml:space="preserve">Regulación</w:t>
      </w:r>
    </w:p>
    <w:p>
      <w:pPr>
        <w:spacing w:after="100"/>
      </w:pPr>
      <w:r>
        <w:t xml:space="preserve">El Anexo 1 revisado de las GMP europeas (en vigor desde agosto de 2023) endurece el control de contaminación en el llenado aséptico; Rovi cerró temporalmente su planta de Madrid en el 1S25 para adaptarse [10, 24]. Los biosimilares de enoxaparina y los productos híbridos como Okedi se aprueban por la vía del artículo 10(3) de la Directiva 2001/83/CE en Europa y la 505(b)(2) en EE. UU. [10]. En España, el sistema de precios de referencia obliga a bajar precio cuando entran genéricos (Orvatez −40 % en octubre de 2024, Volutsa −47 % en 2023) [1, 19]. Los aranceles de EE. UU. afectaron en 2025 a la enoxaparina china (Hepalink ajustó precios) y la planta de Phoenix da a Rovi producción dentro de EE. UU. [10, 32].</w:t>
      </w:r>
    </w:p>
    <w:p>
      <w:pPr>
        <w:pStyle w:val="Heading2"/>
      </w:pPr>
      <w:r>
        <w:t xml:space="preserve">Tendencias y disrupción</w:t>
      </w:r>
    </w:p>
    <w:p>
      <w:pPr>
        <w:spacing w:after="100"/>
      </w:pPr>
      <w:r>
        <w:t xml:space="preserve">Tres tendencias favorecen a Rovi. La primera, la escasez de capacidad aséptica y el paso a jeringas precargadas y plumas para biológicos y GLP-1, que llevan a las grandes farmacéuticas a comprar plantas (Novo Holdings compró Catalent por 16.500 M USD) o firmar contratos largos (Roche y BMS con Rovi) [19, 24]. La segunda, la preferencia por inyectables de acción prolongada en esquizofrenia, donde Rovi prepara Risperidona trimestral [10]. La tercera, la integración vertical en materia prima de heparina. En contra: la competencia china integrada en heparinas (Hepalink tiene capacidad para 550 millones de dosis de enoxaparina al año) y la erosión de precios en licitaciones [32].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Mercado que más pesa en el beneficio: heparinas de bajo peso molecular, con una cuota mundial estimada del 6,3 % (estimación propia: 258,1 M EUR = 292 M USD al cambio medio de 2025 sobre ≈ 4.600 M USD de mercado) y líder en España con la bemiparina [1, 23, 36]. En CDMO de inyectables estériles, ≈ 2 % (269,5 M EUR frente a 15.500 M USD; estimación propia) y, según la empresa, uno de los principales fabricantes de jeringas precargadas de Europa por volumen [20, 24]. En inyectables de larga duración para esquizofrenia, ≈ 1 % (Okedi frente a al menos 4.600 M USD) [1, 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(Lovenox, enoxaparina original)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Lovenox vendió 822 M EUR en 2025 (−14,4 %; Europa −19,9 %) por la competencia de biosimilares. El margen es el resultado operativo de negocio (BOI), no el EBIT NIIF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Shenzhen Hepalink (Techdow)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9989.HK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desde la heparina cruda; dice tener la mayor cuota de enoxaparina en varios países europeos y en China. Ingresos de 5.438,3 M RMB (formulados 3.500,4 M, +17 %); tiene también CDMO de biológicos (1.033,0 M RMB). Margen EBIT estimado con beneficio antes de impuestos más costes financieros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(Invega Sustenna/Xeplion/Trinza/Trevicta)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antipsicóticos inyectables de larga duración: 3.810 M USD en 2025 (−9,8 %). El margen, estimado como beneficio antes de impuestos más intereses netos, incluye 7.209 M USD de otros ingresos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Lundbeck (Abilify Maintena/Asimtufii, con Otsuka)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HLUN-B.CO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Abilify LAI: 3.776 M DKK en 2025 (+10 % a tipos constantes); ingresos del grupo 24.630 M DKK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Teva (Uzedy, risperidona subcutánea)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Uzedy, la risperidona de acción prolongada que compite con Okedi en EE. UU., vendió 191 M USD en 2025 (+63 %)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Vetter 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CDMO familiar de llenado aséptico en jeringas y cartuchos, referencia europea; ingresos provisionales de 1.260 M EUR en 2025 (+13 %); no publica márgenes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Siegfried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SFZN.SW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CDMO con división de producto terminado (llenado estéril incluido) de 411,6 M CHF; margen EBIT «core» del 16,4 % en 2025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llenador exige revalidar el proceso ante FDA y EMA; los contratos son largos y con mínimos (Moderna diez años, BMS cinco años con 50 M USD anuales) [4, 5]. Pero Moderna redujo volumen pese al contrato (CDMO −20 %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ISM propia (Okedi +97 % en 2025; Risperidona y Letrozol trimestrales en camino a fase III) y bemiparina, única heparina de segunda generación según la empresa [1, 3]. La enoxaparina es un biosimilar sin protección.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66,5 % en 2025, muy por encima del 30,8 % de Hepalink, pero Hepalink está integrada en materia prima y Rovi no hasta que funcione Glicopepton [1, 17,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500 millones de jeringas y 160 millones de viales al año: escala relevante en Europa, pero ingresos CDMO de 269,5 M EUR frente a 1.260 M de Vetter [5, 18].</w:t>
            </w:r>
          </w:p>
        </w:tc>
      </w:tr>
    </w:tbl>
    <w:p>
      <w:pPr>
        <w:spacing w:after="160" w:before="0"/>
      </w:pPr>
    </w:p>
    <w:p>
      <w:pPr>
        <w:pStyle w:val="Heading2"/>
      </w:pPr>
      <w:r>
        <w:t xml:space="preserve">Amenazas</w:t>
      </w:r>
    </w:p>
    <w:p>
      <w:pPr>
        <w:spacing w:after="100"/>
      </w:pPr>
      <w:r>
        <w:t xml:space="preserve">La más probable es la presión de precio en heparinas: la competencia de Hepalink/Techdow y otros biosimilares ya baja el precio del original (Lovenox −14,4 % en 2025) y Rovi prevé caída de ventas de heparinas en 2026 [10, 31]. En CDMO, que los clientes no llenen la capacidad reservada (Moderna ya lo hizo; la farmacéutica global retrasó el arranque) mientras Vetter, Siegfried y los compradores de plantas (Novo-Catalent, Thermo Fisher) añaden capacidad [10, 24]. En Okedi, Uzedy de Teva y los genéricos de paliperidona inyectable. Y la pérdida de Neparvis, licencia de terceros que puede no renovarse [10].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2020-2025: ingresos </w:t>
      </w:r>
      <w:r>
        <w:rPr>
          <w:b/>
          <w:bCs/>
        </w:rPr>
        <w:t xml:space="preserve">12,1 %</w:t>
      </w:r>
      <w:r>
        <w:t xml:space="preserve">, EBITDA </w:t>
      </w:r>
      <w:r>
        <w:rPr>
          <w:b/>
          <w:bCs/>
        </w:rPr>
        <w:t xml:space="preserve">18,1 %</w:t>
      </w:r>
      <w:r>
        <w:t xml:space="preserve">, BPA </w:t>
      </w:r>
      <w:r>
        <w:rPr>
          <w:b/>
          <w:bCs/>
        </w:rPr>
        <w:t xml:space="preserve">20,1 %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operativos pasaron de 420,0 M en 2020 a 743,5 M en 2025, con un pico de 829,5 M en 2023 que se debió a la fabricación de la vacuna de Moderna: el negocio de fabricación a terceros (CDMO) pasó de 92 M en 2020 a 409 M en 2023 y volvió a 336 M en 2024 y a 269,5 M en 2025 [1, 17]. Las especialidades farmacéuticas crecieron de 328 M a 473,9 M (un 7,6 % anual), con Okedi en 56,7 M (+97 %) y la franquicia de heparinas en 266,8 M (+7 %) en 2025 [1, 17]. Todo el crecimiento es orgánico salvo Phoenix, que entra el 1-abr-26.</w:t>
      </w:r>
    </w:p>
    <w:p>
      <w:pPr>
        <w:spacing w:after="100"/>
      </w:pPr>
      <w:r>
        <w:t xml:space="preserve">El margen EBITDA fue del 22,5 % en 2020, 34,1 % en 2022 (el máximo, con la vacuna), 27,2 % en 2024 y 29,1 % en 2025. El de 2025 lleva 12,6 M de «otros ingresos» por la ayuda del CDTI al proyecto LAISOLID, que reconoce de una vez los gastos de I+D de enero de 2023 a diciembre de 2025; sin ellos, el margen bruto habría sido del 64,8 % y no del 66,5 % [1]. La I+D subió de 25,8 M a 37,8 M en 2025 y a 33,3 M solo en el 1S26 (fase III de Letrozol SIE) [1, 10]. En el 1S26 el EBITDA publicado de 121,2 M incluye 62,4 M de badwill de Phoenix; sin él, el EBITDA cae un 10 %, a 58,8 M, y el margen baja al 17,1 % [10].</w:t>
      </w:r>
    </w:p>
    <w:p>
      <w:pPr>
        <w:pStyle w:val="Heading2"/>
      </w:pPr>
      <w:r>
        <w:t xml:space="preserve">Ajustes y partidas no recurrentes</w:t>
      </w:r>
    </w:p>
    <w:p>
      <w:pPr>
        <w:spacing w:after="100"/>
      </w:pPr>
      <w:r>
        <w:t xml:space="preserve">Uso cifras publicadas. Rovi no publica un EBITDA ajustado: da medidas «antes de I+D» y «con I+D plana», que no uso. No recurrentes: proyectos estratégicos dentro de los gastos generales de 8,5 M en 2024 y 3,2 M en 2025, que se repiten y no ajusto [1]. En 2025, la ayuda del CDTI aporta 12,6 M de otros ingresos, en su mayor parte de gastos de 2023-2024; Rovi no da el reparto por años, así que no ajusto. En el 1S26 hay un badwill de 62,4 M (ingreso sin efecto fiscal, que baja el tipo efectivo al 16,9 %) y 4,5 M de gastos no recurrentes: la inspección fiscal de retenciones de 2020-2022, bajas de activos y proyectos estratégicos [10, 12]. En el LTM pongo -57,9 M de no recurrentes (-62,4 + 4,5). La inspección también deja intereses de demora en el resultado financiero: sin ellos, el gasto financiero neto habría sido de 0,3 M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Conferencia del 1T26 (6-may-26): Rovi rebajó la guía de 2026 de un crecimiento de los ingresos operativos «de un dígito alto a doble dígito bajo» a «entre la banda baja y la media de la primera decena» (un dígito bajo a medio; la nota en español añade «es decir, entre 0 % y 10 %») [1, 8, 11]. La acción cayó más de un 15 % ese día; según XTB, el EBIT (12,1 M) quedó un 12,5 % por debajo del consenso y el beneficio (9,5 M), un 9,5 % por debajo [16]. Dio dos motivos. El primero, que el contrato de llenado de jeringas precargadas con una farmacéutica global (información privilegiada del 25-abr-24) se retrasa porque la fabricación rutinaria espera la autorización regulatoria y hay más incertidumbre sobre la demanda, aunque se mantienen los mínimos contractuales. El segundo, la presión en precios de las heparinas y menos pedidos de socios que tienen inventario alto [8]. En el trimestre, el EBITDA cayó un 33 % (20,3 M), con las especialidades un 3 % abajo y la bemiparina 9,4 M por debajo [8, 9].</w:t>
      </w:r>
    </w:p>
    <w:p>
      <w:pPr>
        <w:spacing w:after="100"/>
      </w:pPr>
      <w:r>
        <w:t xml:space="preserve">Conferencia del 1S26 (23-jul-26): mantuvo la guía, mejoró la de heparinas (caída de un dígito medio frente al dígito alto previsto antes) y puso el foco en la CDMO (+38 %, con BMS en torno al 13 % de esas ventas) y en Okedi (34,0 M, +27 %; pico de 100-200 M) [10, 11]. Añadió una guía de gastos generales sin Phoenix: subida de un dígito medio a alto [12]. No dio guía de márgenes ni de EBITDA, ni fecha para el contrato de jeringas. Los trimestres de la tabla salen por diferencia entre los acumulados publicados (1T, 1S, 9M y año) [1, 8, 10, 13, 14, 15]; el 2T26 lleva el badwill de 62,4 M (sin él, el EBITDA es de 38,5 M y el margen del 20,1 %). No he encontrado transcripción pública de las preguntas de los analistas: lo que se dice sobre ellas sale de las presentaciones y notas, no de la conferencia.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Cells IA Technologies (94,995 %), consolidada por integración global desde el 27-ene-25 (antes, puesta en equivalencia); fondo de comercio de 2,7 M; efecto inmaterial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sin arrendamientos pasó de 55,5 M en 2021 a 106,0 M en 2025: Rovi tomó préstamos a tipo fijo (2,75-3,49 %) en 2024 y 2025 mientras recompraba acciones, y la caja bajó a 25-27 M en 2023-2024 [1]. En 2025 la deuda neta (definición de Rovi, con arrendamientos) se redujo de 85,1 M a 21,9 M, y a 30-jun-26 había caja neta de 22,5 M [1, 10]. El circulante es pesado: existencias de 288-338 M en 2023-2025, más de un año de coste de ventas, por la materia prima de las heparinas. En 2025 bajaron 42,0 M por el abaratamiento de esa materia prima [1]. Los clientes subieron 48,1 M en 2025 [1]. El vencimiento por años es el contractual sin descontar (incluye intereses) de préstamos y deuda pública a cierre de 2025, sin arrendamientos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530</w:t>
      </w:r>
      <w:r>
        <w:t xml:space="preserve">, conversión </w:t>
      </w:r>
      <w:r>
        <w:rPr>
          <w:b/>
          <w:bCs/>
        </w:rPr>
        <w:t xml:space="preserve">61 %</w:t>
      </w:r>
      <w:r>
        <w:t xml:space="preserve"> del beneficio neto; adquisiciones 23, dividendos 255, recompras 265.</w:t>
      </w:r>
    </w:p>
    <w:p>
      <w:pPr>
        <w:spacing w:after="100"/>
      </w:pPr>
      <w:r>
        <w:t xml:space="preserve">El flujo operativo va a golpes por los anticipos de clientes de la CDMO: 237,6 M en 2022, cuando los pasivos por contrato subieron a 116 M, y 113,2 M en 2023, cuando se consumieron [4, 5]. En 2025 subió a 187,1 M por el cobro de 40,1 M de la ayuda del CDTI y la bajada de 43,0 M de existencias, aunque los clientes absorbieron 30,2 M y los servicios de fabricación prepagados restaron 17,9 M [1]. Rovi da su propio flujo libre: 120,0 M en 2025 frente a 76,2 M en 2024, y 64,7 M en el 1S26 [1, 10]. El capex de 2025 fue de 67,8 M, de los que la empresa llama mantenimiento 21,6 M y crecimiento 46,2 M (líneas de llenado 33,3 M y Glicopepton 11,1 M) [1]. Las recompras son netas de las reventas de autocartera, porque Rovi compra y revende acciones de forma continua: en 2025, 54,9 M de compras y 54,9 M de reventas [1]. Los pagos de arrendamientos de 2024-2025 son una estimación propia (saldo inicial + altas de derechos de uso − saldo final); los de 2022-2023, la parte a corto plazo del pasivo al cierre anterior [2, 4,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Auditores,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Cuestiones clave de auditoría: reconocimiento de ingresos por venta de bienes (472,5 M) y por servicios de fabricación a terceros, incluidos los que se reconocen por grado de avance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Rovi desde el ejercicio 2017 y se le renueva cada año; la opinión de 2025 es favorable [2]. Rovi no capitaliza I+D de forma relevante: los intangibles se quedan en unos 33-41 M en todo el periodo y los trabajos para el inmovilizado son de 0,7 M en 2025 [1, 3, 4, 5, 6, 7]. No hay pagos en acciones relevantes ni acciones dilutivas [2]. La cuenta se presenta por naturaleza: el coste de ventas y los gastos generales de esta nota siguen la definición de Rovi. Hay tres partidas que distorsionan la comparación entre años. La primera, los anticipos de la CDMO, que en 2022-2023 movieron el flujo operativo en más de 100 M. La segunda, la ayuda del CDTI reconocida de golpe en 2025. La tercera, el badwill de Phoenix en 2026, que hace que el beneficio del 1S26 (84,4 M) no sirva como base: sin badwill, el EBIT del semestre fue de 40,9 M, un 20 % menos [10]. Los indicadores del motor (Altman, Piotroski, Beneish) hay que leerlos con estas tres partidas presentes.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Badwill de 62,4 M por Phoenix, provisional y sin efecto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Rovi pagó 28,0 M USD (24,1 M EUR) por una planta cuyos activos netos valoró en 86,5 M: inmovilizado a valor razonable de 141,0 M frente a 165,4 M en libros, menos 35,9 M de pasivos por contrato y 20,8 M de impuestos diferidos. La asignación es provisional durante 12 meses. Duplica el beneficio del 1S26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Ayuda del CDTI reconocida de golpe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12,6 M de otros ingresos de 2025 cubren gastos de I+D desde enero de 2023: inflan el margen de 2025 y el del 1S26 (12,8 M) frente a años anteriores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Inspección fiscal de 2020-2022 (sociedades y retenciones)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la Agencia Tributaria que modifica las bases imponibles de 2020-2022, con 15,3 M más de activos por impuesto diferido, y gastos e intereses de demora en el 1S26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la CDMO por grado de avance y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los ingresos por servicios se reconoce en el tiempo, y en 2022-2023 los anticipos de Moderna movieron el circulante y el flujo operativo en más de 100 M. Es cuestión clave de auditoría [2, 4,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 M en 2025 (el 0 % del capital invertido medio); ha subido más de un 5 % en 0 de 5 años: sin compras. ROIC publicado 20,8 %; sin fondo de comercio, 20,8 %. Sin compras relevantes: el publicado ya es el ROIC del negocio.</w:t>
      </w:r>
    </w:p>
    <w:p>
      <w:pPr>
        <w:spacing w:after="100"/>
      </w:pPr>
      <w:r>
        <w:rPr>
          <w:b/>
          <w:bCs/>
        </w:rPr>
        <w:t xml:space="preserve">ROIC incremental</w:t>
      </w:r>
      <w:r>
        <w:t xml:space="preserve"> (variación del NOPAT sobre variación del capital invertido en el periodo): 21,8 % · </w:t>
      </w:r>
      <w:r>
        <w:rPr>
          <w:b/>
          <w:bCs/>
        </w:rPr>
        <w:t xml:space="preserve">WACC</w:t>
      </w:r>
      <w:r>
        <w:t xml:space="preserve">: 8,0 %.</w:t>
      </w:r>
    </w:p>
    <w:p>
      <w:pPr>
        <w:spacing w:after="100"/>
      </w:pPr>
      <w:r>
        <w:t xml:space="preserve">Rovi crea valor con holgura: un ROIC del 20,8 % en 2025 frente a un WACC del 8,02 %, 12,8 puntos de diferencia, y por encima del 19 % todos los años desde 2020. El ROIC se movió con el contrato de la vacuna de Moderna: del 19,6 % en 2020 al 43,3 % en 2022 y de vuelta al 20,8 % en 2025, cuando la CDMO cayó a 269,5 M [1]. Lo que lo mueve es el margen (EBITDA del 34,1 % en 2022 frente al 29,1 % en 2025) y el capital invertido, que casi se duplicó (de 321 a más de 600 M) por las plantas de llenado y las existencias de heparina, con un ciclo de caja de unos 200 días. El ROIC incremental de la serie es del 21,8 %: la capacidad nueva rinde lo mismo que la vieja, pero hoy está a medio usar. Entre los comparables, Recordati e Ipsen tienen márgenes EBITDA de 35-38 % con más deuda; Rovi rinde más sobre el capital por no tener fondo de comercio [67].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efectivo de 127,0 M más 3,3 M de depósitos y activos a coste amortizado (130,2 M de tesorería bruta) frente a 107,7 M de deuda con arrendamientos, es decir, caja neta de 22,5 M; además, tres pólizas de 20 M cada una sin disponer, que vencen en 2026 y 2027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bonos emitidos; financiación bancaria, BEI y anticipos públicos)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por contrato (anticipos de clientes de la CDMO, sobre todo Moderna) llegaron a 116,4 M en 2022 y bajaron a 6,1 M en 2025. En el 1S26 suben 46,4 M, sobre todo por los 35,9 M que se asumen con Phoenix, y entran 20,8 M de impuestos diferidos por la misma compra [10, 12]. Los ingresos diferidos suman 29,0 M a cierre de 2025, en su mayoría la ayuda LAISOLID cobrada y pendiente de imputar [1]. Hay 11,0 M de anticipos reembolsables de organismos públicos sin interés [1]. Rovi cerró con Hacienda la inspección del impuesto de sociedades de 2020-2022 (los activos por impuesto diferido suben 15,3 M) y la de retenciones, con gastos e intereses de demora en el 1S26 [10]. Paga alquileres a sociedades de la familia López-Belmonte (Norba y Lobelvia) [4, 6]. No hay pensiones de prestación definida relevantes. No he encontrado covenants publicados en las notas revisadas.</w:t>
      </w:r>
    </w:p>
    <w:p>
      <w:pPr>
        <w:pStyle w:val="Heading1"/>
      </w:pPr>
      <w:r>
        <w:t xml:space="preserve">12. Asignación de capital</w:t>
      </w:r>
    </w:p>
    <w:p>
      <w:pPr>
        <w:pStyle w:val="Confianza"/>
        <w:spacing w:after="100"/>
      </w:pPr>
      <w:r>
        <w:t xml:space="preserve">Confianza: Media</w:t>
      </w:r>
    </w:p>
    <w:p>
      <w:pPr>
        <w:spacing w:after="100"/>
      </w:pPr>
      <w:r>
        <w:t xml:space="preserve">Rovi reparte en torno al 35 % del beneficio consolidado atribuido en un único dividendo anual tras la junta: 0,9351 EUR con cargo a 2024 y 0,9594 EUR con cargo a 2025, este último pagado el 15-jul-26 [1, 10]. Hubo programas de recompra con amortización de acciones (el capital bajó de 3,36 M a 3,07 M de nominal entre 2021 y 2025) y compra y reventa continua de autocartera [3, 7]. Las prioridades que declara son la capacidad de llenado estéril (CDMO), la I+D de la tecnología ISM, con una media de 40-60 M al año de I+D en 2025-2030, y la integración vertical de la heparina (Glicopepton) [17]. Objetivos para 2030 del Capital Markets Day: ingresos operativos de 1,5 a 1,8 veces los de 2024, CDMO de unos 700 M y EBITDA antes de I+D de 2,5 a 2,8 veces el de 2024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inyectables de Bristol Myers Squibb en Phoenix (Arizona,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(28,0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Badwill de 62,4 M. Contrato de fabricación para BMS de 5 años con un pago mínimo de 50 M USD al año. Entre abril y junio aportó 14,0 M de ingresos y 0,6 M de pérdida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Cells IA Technologies (software médico), del 26 % al 94,995 %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ampliación de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2,7 M. Inmaterial [2,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Terafront Farmatech (25,5 %, sociedad conjunta con Innvierte del CDTI)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Puesta en equivalencia. Participación de 19,2 M a cierre de 2025, sin resultados relevantes [2].</w:t>
            </w:r>
          </w:p>
        </w:tc>
      </w:tr>
    </w:tbl>
    <w:p>
      <w:pPr>
        <w:spacing w:after="160" w:before="0"/>
      </w:pPr>
    </w:p>
    <w:p>
      <w:pPr>
        <w:spacing w:after="100"/>
      </w:pPr>
      <w:r>
        <w:t xml:space="preserve">Entre 2020 y 2025 el flujo operativo acumulado fue de 872 M. Rovi lo usó en capex (317 M, con fuerte inversión en capacidad de llenado), dividendos (255 M) y recompras netas (265 M, concentradas en 2021-2024) [3, 4, 5, 6, 7]. Las acciones medias bajaron de 55,5 M a 51,1 M, un 8 % [4, 5, 6, 7]. Recompró sobre todo en 2022-2023, con el beneficio de la vacuna en máximos, y la caja llegó a bajar a 25 M en 2023 [5]. Las compras han sido pequeñas y baratas, la mayor la de Phoenix en 2026, con badwill. Su rentabilidad depende de que llene la planta más allá del mínimo de BMS: en el 2T26 dio pérdidas [12]. La tesis de capital es orgánica: CDMO de unos 700 M en 2030 frente a 269,5 M en 2025 [17].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Rovi desde 1994, director general en 2001 y consejero delegado desde octubre de 2007; consejero desde la salida a bolsa (julio de 2007), reelegido en 2025 con un 93,8 % a favor [37, 40]. Tiene el 33,33 % de Norbel Inversiones, dueña del 58,186 % de Rovi (participación indirecta estimada: ~19,4 %) y no tiene acciones directas [37]. Con él los ingresos operativos llegaron a 817,7 M en 2022 (+26 %) y bajaron a 743,5 M en 2025, tras el pico de la fabricación de la vacuna de Moderna [1, 49]. Vicepresidente de Farmaindustria, que presidió en 2020-2022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1.º; director general de Operaciones Industriales y Finanzas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Analista en Argentaria (Reino Unido) y Medeva Pharma antes de entrar en Rovi en 2000; director financiero desde 2001 y consejero desde 2007 [37]. Preside y es consejero delegado de Norbel Inversiones y administrador único de las sociedades patrimoniales de la familia (Norba, Lobelvia…) que arriendan inmuebles a Rovi [37]. Tiene el 33,33 % de Norbel (participación indirecta estimada: ~19,4 %)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Iván Jorge López-Belmonte Encina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2.º; director general Comercial y de Desarrollo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Trabajó en Amersham y Hexal (Alemania) antes de entrar en Rovi en 1995; consejero desde 2007 [37]. Dirige el negocio comercial y el desarrollo, incluidas las licencias de Risperidona ISM, y preside Glicopepton Biotech [37]. Tiene el 33,33 % de Norbel (participación indirecta estimada: ~19,4 %)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Campos Martínez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(alta dirección, no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directora financiera entre los 14 altos directivos no consejeros del IAGC 2025, que cobraron en total 3,0 M en 2025 [37]. La responsabilidad financiera de primer nivel sigue en Javier López-Belmonte [37,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Álvarez Solas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Operaciones (alta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Operaciones en la alta dirección del IAGC 2025 [37]. El IAGC no da su trayectoria.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Nov-21: ingresos operativos +0-10 % (banda media); feb-22: subida a +15-20 %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 817,7 M: por encima de la banda alta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Feb-23: caída en la banda baja de la segunda decena (−10 a −20 %); jul-23: caída en la banda alta de la primera decena; nov-23: ventas estables [49,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829,5 M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Feb-24: caída en la banda media de la primera decena (≈ −5 %); mantenida en nov-24 [51,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−7,9 %, 763,7 M: dentro del 0-10 % pero peor que la banda media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Feb-25: caída en la banda media de la primera decena; mantenida en jul-25 y nov-25 [53, 54,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 743,5 M: mejor que la guía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Feb-26: subida de un dígito alto a doble dígito bajo; 6-may-26: rebajada a la banda baja-media de la primera decena (0-10 %) por el retraso de la fabricación rutinaria de jeringas precargadas y la presión de precios en heparinas; mantenida el 23-jul-26 [1, 8,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ingresos operativos +9 % (344,2 M); el año se conocerá en feb-27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 (plan CMD mar-25)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1,5-1,8x los de 2024 (763,7 M); CDMO ~700 M; EBITDA «sin I+D» 2,5-2,8x (233,2 M en 2024); I+D 40-60 M al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2025 cayó un 3 % y la guía de 2026 se recortó [1,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el mismo desde la salida a bolsa de 2007: los tres hermanos López-Belmonte llevan la presidencia y consejería delegada, finanzas e industria, y la parte comercial. Ninguno tiene acciones directas; cada uno posee un tercio de Norbel (58,186 %) [37]. Hasta 2025 la guía anual se cumplió o se superó en tres de cuatro años, con revisiones al alza en 2022 y 2023 [1, 47, 48, 49, 50, 51, 52, 53, 54, 55]. En 2026 la credibilidad se resintió: la guía de crecimiento de un dígito alto o doble dígito bajo duró diez semanas y se rebajó el 6 de mayo a un 0-10 % [1, 8]. El plan a 2030 (1,5-1,8x los ingresos de 2024) depende del CDMO y aún no ha arrancado [56]. No hay plan de sucesión público: la CNyR «organiza la sucesión del presidente», pero no se nombra ningún sucesor fuera de la familia [37].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1.º; director general de Operaciones Industriales y Finanzas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Iván Jorge López-Belmonte Encina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2.º; director general Comercial y de Desarrollo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Marcos Peña Pinto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(vocal);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Fátima Báñez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Marina del Corral Téllez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Norbel Inversiones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Teresa Corzo Santamaría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Nombramientos y Retribuciones (vocal)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Cuestiones clave de auditoría: reconocimiento de ingresos por venta de bienes (472,5 M) y por servicios de fabricación a terceros, incluidos los que se reconocen por grado de avance [2].</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Norbel Inversiones, S.L. (hermanos López-Belmonte Encina, un tercio cada uno)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desde el 20-sep-2024; el porcentaje subió de forma mecánica al amortizarse la autocartera en 2024 (de 54,0 a 51,2 millones de acciones) [37,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S.L. (familia Domínguez, Mayoral), vía Global Portfolio Investments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 (10,005 % en acciones y 3,434 %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del 10 % el 8-ago-2025 y tenía el 11,25 % al cierre de 2025; el 9-jun-2026 notificó el 13,439 % [37,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Invesco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al cierre de 2025 (0,99 % en acciones) [37]; ya no figura en el registro de la CNMV a 27-oct-2026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0,17 % al cierre de 2025 (86.264 acciones); 0,181 % en la última notificación del 8-sep-2026; sin recompras en los últimos 12 meses [37,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consejo devengó 3,04 M en 2025; el presidente y consejero delegado, 1,51 M (−19 %), y sus dos hermanos, 0,61 y 0,60 M [38]. El variable anual va al 40 % a ingresos operativos del grupo, al 25 % a EBITDA del área, al 25 % a proyectos estratégicos y al 10 % a ESG y cumplimiento. Se cobra desde el 80 % del objetivo, con un tope del 120 %, y en 2025 se logró el 106 % [38]. El plan a largo plazo 2025-2027 paga el 170 % del fijo: 40 % por la cotización frente a farmacéuticas comparables, 40 % por EBITDA y 20 % por ISO y GMP. Lleva un extra del 200 % del fijo en acciones si se supera el 120 % [38]. Ninguna métrica es de ROIC ni de flujo de caja. Hay clawback y malus, y se difiere el 30 % del variable anual [38]. Algunos contratos prevén una indemnización de dos años de retribución total y un pacto de no competencia de dos años [38]. El voto en contra sobre el capital libre llegó al 14 % en la política de 2024 [41].</w:t>
      </w:r>
    </w:p>
    <w:p>
      <w:pPr>
        <w:pStyle w:val="Heading2"/>
      </w:pPr>
      <w:r>
        <w:t xml:space="preserve">Operaciones vinculadas, estructura de control y defensas</w:t>
      </w:r>
    </w:p>
    <w:p>
      <w:pPr>
        <w:spacing w:after="100"/>
      </w:pPr>
      <w:r>
        <w:t xml:space="preserve">Norbel Inversiones, de la que cada uno de los tres hermanos López-Belmonte tiene un tercio, controla el 58,19 % y figura en el IAGC como entidad de control [37]. No hay pactos parasociales declarados [37]. La familia ocupa la presidencia, las dos vicepresidencias y la consejería delegada, y propone a la consejera dominical. Los independientes son tres de siete y presiden las dos comisiones [37]. Hay una acción, un voto, sin límites de voto ni medidas de neutralización frente a opas [37]. La junta de 2025 delegó ampliaciones de capital con exclusión del derecho de suscripción preferente de hasta el 20 %, con un 30,9 % de voto en contra del capital libre [37, 40]. Las sociedades de Norbel cobran rentas de Rovi por 2,8 M al año en arrendamientos de inmuebles (Norba y Lobelvia). Las aprobó el consejo sin el voto de los hermanos [37]. El capital flotante es del 29 % [37]. La cuantía de las rentas es poco relevante para Rovi. KPMG audita desde hace nueve ejercicios, sin salvedades, y fue reelegido en 2026 [37, 39].</w:t>
      </w:r>
    </w:p>
    <w:p>
      <w:pPr>
        <w:pStyle w:val="Heading2"/>
      </w:pPr>
      <w:r>
        <w:t xml:space="preserve">Señales de alerta</w:t>
      </w:r>
    </w:p>
    <w:p>
      <w:pPr>
        <w:pStyle w:val="ListParagraph"/>
        <w:numPr>
          <w:ilvl w:val="0"/>
          <w:numId w:val="2"/>
        </w:numPr>
        <w:spacing w:after="60"/>
      </w:pPr>
      <w:r>
        <w:t xml:space="preserve">Recorte de la guía de ingresos de 2026 el 6-may-2026, diez semanas después de darla (de un dígito alto o doble dígito bajo al 0-10 %) [1, 8].</w:t>
      </w:r>
    </w:p>
    <w:p>
      <w:pPr>
        <w:pStyle w:val="ListParagraph"/>
        <w:numPr>
          <w:ilvl w:val="0"/>
          <w:numId w:val="2"/>
        </w:numPr>
        <w:spacing w:after="60"/>
      </w:pPr>
      <w:r>
        <w:t xml:space="preserve">Posición corta viva de JPMorgan Asset Management (UK) del 1,51 % del capital a 24-jul-2026, la única notificada por encima del 0,5 % [45].</w:t>
      </w:r>
    </w:p>
    <w:p>
      <w:pPr>
        <w:pStyle w:val="ListParagraph"/>
        <w:numPr>
          <w:ilvl w:val="0"/>
          <w:numId w:val="2"/>
        </w:numPr>
        <w:spacing w:after="60"/>
      </w:pPr>
      <w:r>
        <w:t xml:space="preserve">Operaciones vinculadas recurrentes con la familia: Rovi y tres filiales alquilan inmuebles a Norba y Lobelvia (100 % de Norbel) por 2,8 M en 2025 [37].</w:t>
      </w:r>
    </w:p>
    <w:p>
      <w:pPr>
        <w:pStyle w:val="ListParagraph"/>
        <w:numPr>
          <w:ilvl w:val="0"/>
          <w:numId w:val="2"/>
        </w:numPr>
        <w:spacing w:after="60"/>
      </w:pPr>
      <w:r>
        <w:t xml:space="preserve">La reelección del presidente y consejero delegado en 2025 tuvo un 6,2 % en contra (≈19 % del capital libre presente, estimación propia), y la delegación para ampliar capital sin suscripción preferente un 10 % (≈31 % del libre)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página del 25-sep-2026 (BPA de Yahoo a 27-oct: 2,90, 6 analistas) [59,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25-sep-2026 (Yahoo 27-oct: BPA 3,28, 7 analistas; ingresos 896,0) [59,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25-sep-2026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64,20 – 83,00</w:t>
            </w:r>
          </w:p>
        </w:tc>
      </w:tr>
    </w:tbl>
    <w:p>
      <w:pPr>
        <w:spacing w:after="160" w:before="0"/>
      </w:pPr>
    </w:p>
    <w:p>
      <w:pPr>
        <w:pStyle w:val="Heading2"/>
      </w:pPr>
      <w:r>
        <w:t xml:space="preserve">Revisiones de estimaciones</w:t>
      </w:r>
    </w:p>
    <w:p>
      <w:pPr>
        <w:spacing w:after="100"/>
      </w:pPr>
      <w:r>
        <w:t xml:space="preserve">Yahoo (27-oct-2026): el BPA medio de 2026 pasó de 2,47 EUR hace 30-90 días a 2,69 hace 7 días y 2,90 hoy (+17 %), mientras el de 2027 bajó de 3,38 (hace 60-90 días) a 3,28 (−3 %) [59]. La distribución de recomendaciones no ha cambiado en tres meses: 1 compra fuerte, 3 compras y 5 mantener [59]. MarketScreener daba a 23-sep un objetivo medio de 74,36 EUR (9 analistas, 64,20-83,00) y consenso «sobreponderar» [61]; LSEG, según Merca2 (29-jul), 11 casas: 5 comprar y 6 mantener, ninguna vender [65]. La subida del BPA de 2026 sin cambio en 2027 apunta a partidas no recurrentes de 2026 (diferencia negativa de consolidación de la planta de Phoenix, acuerdo fiscal): comprobar con 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Rovi pierde un 3,3 % en 2026 frente al +10 % del Ibex y un 4 % en 12 meses frente al +19 %. La acción se movió por hechos de la empresa: subió del 58 al 86,70 EUR entre noviembre y abril con el acuerdo con Roche, los resultados de 2025 y la compra de Phoenix, y lo perdió casi todo en mayo (−31,6 % en 21 sesiones) cuando el 1T26 trajo un beneficio un 48 % menor y la rebaja de la guía de 2026 [8, 58]. La beta mensual a 5 años (0,26) no sirve: la deforma el ciclo de la vacuna; la semanal a dos años es 0,67. JPMorgan AM tiene la única posición corta declarada, el 1,51 % [64].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 +4,5 % / -22,0 % / -0,2 %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 / +15,4 %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Roche para fabricar un medicamento en desarrollo (21-oct-2025); la empresa estima que añadirá al menos un 20-25 % a las ventas de la CDMO de 2024 en 2030 [10, 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un hecho único: mejoras de recomendación de los analistas y subida de Moderna; causa sin fuente primaria [77].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(25-feb): vuelta al crecimiento y guía de 2026 de un dígito alto a doble dígito bajo [1,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1T26 (6-may): beneficio −48 %, EBITDA −33 % y guía de 2026 rebajada al 0-10 % por el retraso del contrato de jeringas con una farmacéutica global (pendiente de autorización regulatoria) y la presión de precio en heparinas con socios sobrealmacenados; −16 % ese día [8, 16]. Está en la tesis: el caso base ya parte de la guía rebajada.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baja a Mantener (objetivo 83,5 EUR) por la incertidumbre de la demanda de ARNm y la concentración de clientes de la CDMO [76].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Indumenta Pueri (familia Domínguez, Mayoral) declara el 13,44 % (10,0 % en acciones y 3,4 % en instrumentos), desde el 11,25 % de fin de 2025: compra en la caída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AM sube su posición corta del 0,80 % al 1,51 %, la única por encima del 0,5 % [64, 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contrato de distribución de Neparvis con Novartis (56,7 M de ventas en 2025, el 7,6 %), anunciado por la empresa en sus resultados [10]. Es conocido y la guía de 2026 lo recoge; nuestro 2027e lo descuenta.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espera el «despegue» de Rovi en 2027 tras un año de inversiones (titular; objetivo no leído) [77].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nueve meses de 2026, antes de la apertura; consenso de ingresos del 3T26: 232,6 M [46, 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mayo tiene causa conocida (guía rebajada, jeringas retrasadas, precio de la heparina) y la recoge el caso base. No hay colocaciones, ampliaciones ni ventas de directivos en 12 meses: el registro de la CNMV no tiene operaciones de directivos desde junio de 2023 y los dos accionistas de referencia compran [42, 44]. El fin de Neparvis es conocido. Los resultados del 5-nov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Rovi cotiza a 14,9 veces el EBITDA de los últimos 12 meses, cerca de su media de cinco cierres (15,2x), y a 17,0 veces el beneficio, un 26 % por debajo de su media (23,1x). La serie está deformada por la vacuna de Moderna: en 2021 el mercado pagó 26,7 veces un beneficio de pico y en 2022 solo 9,7 veces cuando se vio que el contrato bajaba [1, 58]. El PER del LTM además está inflado por el badwill de Phoenix (62,4 M), sin el cual sería de unas 23 veces. Con la base adelantada (precio ÷ BPA del año siguiente), el PER actual de 20,7x queda algo por debajo de la mediana de cinco años (22,5x). No hay cambio estructural en el múltiplo: el mercado sigue pagando por la recuperación de la CDMO.</w:t>
      </w:r>
    </w:p>
    <w:p>
      <w:pPr>
        <w:pStyle w:val="Heading1"/>
      </w:pPr>
      <w:r>
        <w:t xml:space="preserve">18. Comparables cotizados</w:t>
      </w:r>
    </w:p>
    <w:p>
      <w:pPr>
        <w:pStyle w:val="Confianza"/>
        <w:spacing w:after="100"/>
      </w:pPr>
      <w:r>
        <w:t xml:space="preserve">Confianza: Media</w:t>
      </w:r>
    </w:p>
    <w:p>
      <w:pPr>
        <w:spacing w:after="100"/>
      </w:pPr>
      <w:r>
        <w:t xml:space="preserve">Farmacéuticas europeas de especialidades de tamaño medio (Almirall, Faes, Recordati, Ipsen, Hikma) y CDMO de inyectables y principios activos (Siegfried, Lonza), más Indivior por los inyectables de larga duración. Se quita Camurus (43,5 veces el EBITDA): crece a tasas de lanzamiento y distorsiona la media. No hay ningún comparable con la mezcla exacta de Rovi (heparina, CDMO y un antipsicótico propio)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Hikma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Siegfried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Lonza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Indivior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11,6x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14,4x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2,8x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Rovi cotiza con prima sobre sus comparables: 18,6 veces el beneficio de los próximos 12 meses frente a una mediana de 14,5x, y 14,9 veces el EBITDA frente a 11,6x. Por múltiplos valdría 47-48 EUR por acción (−22 %). La prima se apoya en un ROIC del 20,8 % sin deuda (la mediana tiene 1,7 veces de deuda neta sobre EBITDA) y en un crecimiento esperado de los próximos 12 meses que el consenso pone por encima del 10 % por la vuelta de la CDMO. Lonza, la CDMO pura, cotiza a 29 veces; las especialidades, a 9-20. Rovi está entre los dos grupos, como su negocio. Los comparables pesan solo un 15 % porque ninguno tiene la capacidad vacía que Rovi espera llenar [67].</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Catalent (CDMO,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63,50 USD por acción; VE 16.500 M USD (15.355 M EUR al tipo del BCE del 5-feb-2024); prima del 16,5 % sobre el cierre del 2-feb y del 47,5 % sobre la media de 60 días; ventas del ejercicio 2023 de casi 4.300 M USD [36, 70]. EV/ventas calculado (16.500 ÷ 4.300); la empresa no publicó múltiplo de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Baxter BioPharma Solutions (CDMO de inyectables estériles, hoy Simtra)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Advent International y Warburg Pincus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4.250 M USD en efectivo (3.851 M EUR al tipo del BCE del 8-may-2023) por un negocio con ventas previstas de unos 600 M USD en 2023 [36, 73]. EV/ventas sobre ventas estimadas del año de la compra; sin EBITDA publicado. Es el comparable más cercano al CDMO de llenado de inyectables de Rovi.</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Custopharm (inyectables genéricos estériles,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Hikma Pharmaceuticals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375 M USD al contado libre de caja y deuda (321 M EUR al tipo del BCE del 27-sep-2021), más 50 M USD contingentes; ventas esperadas de 2021 «por encima de 80 M USD», así que el EV/ventas de 4,7x es un máximo [36,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Recipharm (CDMO, Suecia)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IX (Roar BidCo)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SEK por acción; valoración de todas las acciones y convertibles de 23.636 M SEK (2.319 M EUR al tipo del BCE del 14-dic-2020: valor del capital, no VE); prima del 22,9 % sobre el cierre del 11-dic-2020 y del 35,2 % sobre la media de 30 sesiones [36, 72]. Sin múltiplos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Cambrex (CDMO de principios activos,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de Permira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 por acción; VE de unos 2.400 M USD con la deuda neta (2.167 M EUR al tipo del BCE del 16-ago-2019); prima del 47,1 % sobre el cierre del 6-ago y del 37,3 % sobre la media de 60 días [36, 71]. Sin múltiplos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 de fabricación de BMS en Phoenix (Arizona)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(Rois Phoenix Inc.)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activos firmada el 28-sep-2025 y cerrada el 1-abr-2026 por 28,0 M USD (24,1 M EUR) junto a un contrato de fabricación para BMS; la planta se incorporó con 154,9 M de inmovilizado material y pasivos contractuales [60]. Se excluye: compra de una planta con contrato, no de una empresa.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63,63 – 88,12</w:t>
            </w:r>
          </w:p>
        </w:tc>
      </w:tr>
    </w:tbl>
    <w:p>
      <w:pPr>
        <w:spacing w:after="160" w:before="0"/>
      </w:pPr>
    </w:p>
    <w:p>
      <w:pPr>
        <w:spacing w:after="100"/>
      </w:pPr>
      <w:r>
        <w:t xml:space="preserve">Las compras de CDMO de inyectables estériles se han pagado a 3,8-7,1 veces las ventas (Catalent 3,8x, Baxter BioPharma Solutions 7,1x) con primas del 16-47 % sobre la cotización [70, 71, 73]; ninguna nota publicó el múltiplo de EBITDA, así que el método es poco fiable y no pesa en el valor. Rovi no es objeto probable de una oferta: la familia López-Belmonte controla el 58,2 % a través de Norbel y Mayoral (Indumenta Pueri) tiene otro 13 %, y ninguno de los dos vende [42]. El valor por transacciones (70,05 EUR de mediana) sirve solo para ver que un comprador industrial pagaría más que la bolsa.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crece un 4,5 % (777 M), dentro de la guía del 0-10 % y con el 1S26 al +9,4 %; el consenso espera 774 M [10, 62]. 2027e +10 %: un año entero de Phoenix (mínimo de 50 M USD al año de BMS), Roche y la entrada probable de las jeringas, menos los 56,7 M de Neparvis que se pierden [10, 12]; el consenso espera +15 %. Después, 9 % a 3,5 %: en 2030 los ingresos serían 1.077 M, por debajo del objetivo de la empresa para 2030 (1,5-1,8 veces 2024, 1.146-1.375 M), que la empresa ya no ha cumplido en 2026 [17].</w:t>
      </w:r>
    </w:p>
    <w:p>
      <w:pPr>
        <w:keepNext/>
        <w:spacing w:after="100"/>
      </w:pPr>
      <w:r>
        <w:rPr>
          <w:b/>
          <w:bCs/>
        </w:rPr>
        <w:t xml:space="preserve">Márgenes.</w:t>
      </w:r>
    </w:p>
    <w:p>
      <w:pPr>
        <w:spacing w:after="100"/>
      </w:pPr>
      <w:r>
        <w:t xml:space="preserve">El margen EBITDA de 2026e (25,5 %) es el del consenso sin el badwill de Phoenix; el 1S26 sin él fue del 17,1 % y el segundo semestre es siempre el fuerte (Moderna) [10, 62]. Sube al 28 % en 2027e y al 30 % desde 2029e, por la absorción de costes fijos de las plantas al llenarse: en 2022, con la CDMO llena, fue del 34,1 %; en 2025, del 29,1 % con la ayuda LAISOLID [1]. Por debajo del 31,9 % que el consenso espera para 2028e [62].</w:t>
      </w:r>
    </w:p>
    <w:p>
      <w:pPr>
        <w:keepNext/>
        <w:spacing w:after="100"/>
      </w:pPr>
      <w:r>
        <w:rPr>
          <w:b/>
          <w:bCs/>
        </w:rPr>
        <w:t xml:space="preserve">Inversión y circulante.</w:t>
      </w:r>
    </w:p>
    <w:p>
      <w:pPr>
        <w:spacing w:after="100"/>
      </w:pPr>
      <w:r>
        <w:t xml:space="preserve">Capex del 9 % de las ventas en 2026e (Phoenix y Granada), bajando al 5,4 % en 2035e; en 2025 fue del 9,1 % (67,8 M, 21,6 M de mantenimiento) [1]. Amortización del 4,4 % al 5 %, por debajo del capex en todos los años. Circulante comercial del 45 % de las ventas, bajando al 42 %: la heparina obliga a tener mucha materia prima (existencias de 288 M) [1].</w:t>
      </w:r>
    </w:p>
    <w:p>
      <w:pPr>
        <w:keepNext/>
        <w:spacing w:after="100"/>
      </w:pPr>
      <w:r>
        <w:rPr>
          <w:b/>
          <w:bCs/>
        </w:rPr>
        <w:t xml:space="preserve">Coste del capital.</w:t>
      </w:r>
    </w:p>
    <w:p>
      <w:pPr>
        <w:spacing w:after="100"/>
      </w:pPr>
      <w:r>
        <w:t xml:space="preserve">Bund a 10 años del 26-oct-2026, 3,43 % [68]. Beta 0,78: la semanal a dos años (0,67) ajustada a la Blume; la mensual a 5 años (0,26) la deforma la vacuna. Prima de mercado del 5,5 % y 0,5 puntos más por tamaño y por la concentración de clientes de la CDMO. Deuda a mercado del 3,3 %, a un 3 % antes de impuestos (préstamos del BEI y bancarios al 0,7-3,0 %) [60]. WACC del 8,02 %.</w:t>
      </w:r>
    </w:p>
    <w:p>
      <w:pPr>
        <w:keepNext/>
        <w:spacing w:after="100"/>
      </w:pPr>
      <w:r>
        <w:rPr>
          <w:b/>
          <w:bCs/>
        </w:rPr>
        <w:t xml:space="preserve">Valor terminal.</w:t>
      </w:r>
    </w:p>
    <w:p>
      <w:pPr>
        <w:spacing w:after="100"/>
      </w:pPr>
      <w:r>
        <w:t xml:space="preserve">Gordon con un crecimiento del 2,5 % (inflación del euro del 2 % más medio punto real, por debajo del Bund menos medio punto). El valor terminal pesa el 67 %. El múltiplo implícito se contrasta con la mediana de comparables (12,8 veces el EBITDA).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(ROIC 20,8 %)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frente al 6,2 %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 (histórico: 21,8 %)</w:t>
            </w:r>
          </w:p>
        </w:tc>
      </w:tr>
    </w:tbl>
    <w:p>
      <w:pPr>
        <w:spacing w:after="160" w:before="0"/>
      </w:pPr>
    </w:p>
    <w:p>
      <w:pPr>
        <w:spacing w:after="100"/>
      </w:pPr>
      <w:r>
        <w:t xml:space="preserve">La proyección reinvierte el 21 % del NOPAT. Con el ROIC del último ejercicio (20,8 %), eso financia un crecimiento del 4,4 % anual, frente al 6,2 % de ingresos proyectado. Supone que el capital nuevo rinde un 26,4 %, frente a un ROIC incremental histórico del 21,8 %.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CDMO (+38 % en el 1S26, Phoenix desde abril) y Okedi (+27 %); precio: heparinas con presión de precio (guía de caída de un dígito medio); otros: Neparvis solo hasta el 16-oct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Phoenix un año entero, Roche, jeringas de la farmacéutica global si se autorizan y Okedi; otros: sale Neparvis (≈ 45 M de 2026) [10,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la CDMO (capacidad de más de 500 millones de jeringas, hoy a medio usar) y Okedi hacia sus 100-200 M de ventas máximas [17,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con menos crecimiento a medida que se llena la capacidad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la empresa para 2030: CDMO de unos 700 M; nuestro caso base se queda por debajo [17].</w:t>
            </w:r>
          </w:p>
        </w:tc>
      </w:tr>
    </w:tbl>
    <w:p>
      <w:pPr>
        <w:spacing w:after="160" w:before="0"/>
      </w:pPr>
    </w:p>
    <w:p>
      <w:pPr>
        <w:spacing w:after="100"/>
      </w:pPr>
      <w:r>
        <w:t xml:space="preserve">Las pruebas del motor pasan tras rebajar el margen de largo plazo al 30 %: el capital nuevo rinde un 26,4 % frente al 21,8 % incremental histórico. Pero el crecimiento financiable al ROIC actual (4,4 %) queda por debajo del proyectado (6,2 %), y la diferencia la cubre la capacidad vacía de la CDMO, que solo se llena si los clientes firman y arrancan: la farmacéutica global ya retrasó las jeringas en 2026 y Moderna bajó de 409 a 270 M en dos años [1, 8]. El poder de precios es débil en heparinas (caída de precio en 2026) [10]. La cuota de mercado no se puede probar con el motor (son tres mercados distintos: 6,3 % en heparinas de bajo peso molecular, en torno al 2 % en CDMO estéril y al 1 % en antipsicóticos inyectables) [B]. Por eso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(base: 30,0 %)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8,0 %)</w:t>
            </w:r>
          </w:p>
        </w:tc>
      </w:tr>
    </w:tbl>
    <w:p>
      <w:pPr>
        <w:spacing w:after="160" w:before="0"/>
      </w:pPr>
    </w:p>
    <w:p>
      <w:pPr>
        <w:spacing w:after="100"/>
      </w:pPr>
      <w:r>
        <w:t xml:space="preserve">El DCF da 61,35 EUR por acción, prácticamente el precio del 26-oct (61,40 EUR, −0,1 %), con un 67 % del valor en el terminal. El DCF inverso lo confirma: con nuestro WACC del 8,02 %, el precio descuenta un crecimiento del 6,4 % anual en 2027e-2035e con un margen del 30 %, casi exactamente nuestro caso base (6,3 %); dicho de otro modo, a este precio el accionista obtiene un 8,0 % anual. No es exigente ni conservador: el mercado ya paga que la CDMO se vuelva a llenar, aunque sin el objetivo de la empresa para 2030. Con la prima que hoy pide el mercado (4,2 %, Damodaran) el DCF sube a 75,69 EUR, y ahí está la diferencia entre las dos reglas: Rovi rinde más que lo que pide el mercado, pero no más que su coste de capital.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de jeringas no arranca o se queda pequeño, Moderna sigue bajando y la heparina pierde precio, como en 2024-2026. La CDMO no llena la capacidad y el margen se queda en el 26 %.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CDMO se recupera con Phoenix, Roche y las jeringas desde 2027, Okedi sigue creciendo y la heparina se estabiliza; los ingresos llegan a 1.077 M en 2030 con un margen del 30 %, por debajo del plan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el plan de 2030 (CDMO de unos 700 M e ingresos de 1,5 veces los de 2024): las jeringas arrancan en 2027, Roche y BMS crecen y Okedi se acerca a los 100 M.</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6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60,28 EUR (-1,8 %).</w:t>
      </w:r>
    </w:p>
    <w:p>
      <w:pPr>
        <w:spacing w:after="100"/>
      </w:pPr>
      <w:r>
        <w:t xml:space="preserve">La asimetría no compensa con nuestro WACC: el alcista (78,25 EUR) gana un 27,4 % y el bajista (40,16 EUR) pierde un 34,6 %. El bajista es verosímil porque ya ha pasado: la CDMO cayó un 34 % entre 2023 y 2025 y la guía de 2026 se rebajó a los cuatro meses. El alcista exige que el plan de 2030 se cumpla, cosa que la empresa no ha demostrado.</w:t>
      </w:r>
    </w:p>
    <w:p>
      <w:pPr>
        <w:pStyle w:val="Heading1"/>
      </w:pPr>
      <w:r>
        <w:t xml:space="preserve">22. Suma de partes</w:t>
      </w:r>
    </w:p>
    <w:p>
      <w:pPr>
        <w:pStyle w:val="Confianza"/>
        <w:spacing w:after="100"/>
      </w:pPr>
      <w:r>
        <w:t xml:space="preserve">Confianza: Media</w:t>
      </w:r>
    </w:p>
    <w:p>
      <w:pPr>
        <w:spacing w:after="100"/>
      </w:pPr>
      <w:r>
        <w:t xml:space="preserve">No aplica: Rovi no publica el resultado de cada negocio (especialidades y CDMO comparten plantas, compras y estructura), así que no hay EBITDA por segmento al que aplicar un múltiplo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6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59,03 EUR (-3,9 % sobre 61,40).</w:t>
      </w:r>
    </w:p>
    <w:p>
      <w:pPr>
        <w:spacing w:after="100"/>
      </w:pPr>
      <w:r>
        <w:t xml:space="preserve">Pesos: DCF 60 %, escenarios 25 % y comparables 15 %; transacciones 0 % (sin múltiplos de EBITDA publicados y con una oferta improbable por el control familiar). El DCF es el método más fiable: sin deuda, con la inversión ya hecha y una caja que depende sobre todo de cuánto se llene la CDMO, que es lo que mueven los escenarios. Los comparables pesan poco porque ninguno tiene la mezcla de Rovi. Los métodos se agrupan por debajo del precio (DCF 61,35; escenarios 60,28; comparables 47,64), y el valor intrínseco queda en 59,03 EUR (−3,9 %). La recomendación la decide el objetivo a 12 meses (regla v3): +10,7 % ponderado, por debajo del 15 % que pide una compra.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(20.7x) a mitad de camino hacia la mediana de 5 años (22.5x)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r>
    </w:tbl>
    <w:p>
      <w:pPr>
        <w:spacing w:after="160" w:before="0"/>
      </w:pPr>
    </w:p>
    <w:p>
      <w:pPr>
        <w:spacing w:after="100"/>
      </w:pPr>
      <w:r>
        <w:rPr>
          <w:b/>
          <w:bCs/>
        </w:rPr>
        <w:t xml:space="preserve">Objetivo a 12 meses (ponderado):</w:t>
      </w:r>
      <w:r>
        <w:t xml:space="preserve"> 67,00 EUR · rentabilidad +10,7 % (base +22,6 %) · señal Mantener.</w:t>
      </w:r>
    </w:p>
    <w:p>
      <w:pPr>
        <w:spacing w:after="100"/>
      </w:pPr>
      <w:r>
        <w:t xml:space="preserve">Para comparar, con la regla v2 (historia al cierre, mismo precio): 9,7x / 20,7x / 22,7x, 6,7 %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(3,44 EUR) queda un 17 % por debajo del consenso (4,16) [62]. La diferencia sale de las ventas (932 M frente a 978 M) y del margen (29,5 % frente al 31,9 %): el consenso se acerca al plan de 2030 de la empresa y nosotros partimos de la guía rebajada en mayo, de la salida de Neparvis (56,7 M) y de que el contrato de jeringas aún no tiene fecha. La revisamos supuesto a supuesto y la mantenemos. Nuestro precio base a 12 meses (74,30 EUR) queda casi igual que el objetivo medio de los analistas (73,69), porque el PER de la regla (21,6x) es mayor que el que implícitamente usa el consenso.</w:t>
      </w:r>
    </w:p>
    <w:p>
      <w:pPr>
        <w:keepNext/>
        <w:spacing w:after="100"/>
      </w:pPr>
      <w:r>
        <w:rPr>
          <w:b/>
          <w:bCs/>
        </w:rPr>
        <w:t xml:space="preserve">Del valor intrínseco al objetivo a 12 meses.</w:t>
      </w:r>
    </w:p>
    <w:p>
      <w:pPr>
        <w:spacing w:after="100"/>
      </w:pPr>
      <w:r>
        <w:t xml:space="preserve">Valor intrínseco de 59,03 EUR (−3,9 %) frente a un objetivo a 12 meses ponderado de 67,00 EUR (+10,7 % con dividendo; base +22,6 %). La distancia entre los dos es del 13,5 %: la rentabilidad a 12 meses supone que el mercado mantiene un PER de unas 21 veces sobre un beneficio que crece un 25 % hasta 2028e, mientras que el DCF dice que, con ese crecimiento, el precio de hoy ya es justo. Lo que hunde la ponderada es el bajista: el mínimo de cinco años del PER (11,3x, en 2022) sobre un BPA un 20 % menor da 30,96 EUR. Con la historia al cierre (v2, control) la ponderada es del 8,8 %.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2026 (0-10 %) y primera lectura del 3T de la CDMO con Phoenix; consenso de ingresos del 3T: 232,6 M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arranca el contrato de jeringas y cuánto pesa la salida de Neparvis; es el dato que más mueve el BPA de 2028e.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regulatoria del producto de la farmacéutica global en jeringas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fabricación rutinaria de hasta 100 millones de jeringas al año; su retraso fue la causa de la rebaja de mayo [A8, 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Moderna (vacuna personalizada contra el melanoma) y pedidos de vacunas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CDMO depende aún de Moderna; una aprobación del producto oncológico daría volumen nuevo en Granada y Madrid [77].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 III de letrozol con tecnología ISM y nuevos mercados de Okedi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gasto de I+D en 2026-2027 (33,3 M en el 1S26) y opción de un segundo producto propio [10,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contrato de jeringas con la farmacéutica global se retrasa otra vez o se recorta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 (CDMO)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ya construida: no hay que invertir más para servirlo; Phoenix y Roche diversifican.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sin el contrato o nuevo retraso en los resultados del 5-nov.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Moderna sigue reduciendo pedidos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diez años desde 2022; productos oncológicos nuevos de Moderna fabricados por Rovi.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CDMO del 2S por debajo de las del 2S25 (≈ 192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heparina (biosimilares chinos, Techdow) y socios con existencias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(Glicopepton) y marcas propias en Europa.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heparinas de 2026 con caída de más de un dígito medio.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Neparvis y de otros productos licenciados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está en nuestro 2027e; el margen de un producto licenciado es menor que el de la cuenta.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especialidades de 2027 por debajo de 440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en Phoenix (planta comprada con pérdidas)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mínimo de BMS de 50 M USD al año durante cinco años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Phoenix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familiar y poco capital flotante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liquidez</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 que compra, comisiones 100 % independientes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crecientes o ampliaciones sin derecho de suscripción.</w:t>
            </w:r>
          </w:p>
        </w:tc>
      </w:tr>
    </w:tbl>
    <w:p>
      <w:pPr>
        <w:spacing w:after="160" w:before="0"/>
      </w:pPr>
    </w:p>
    <w:p>
      <w:pPr>
        <w:pStyle w:val="Heading2"/>
      </w:pPr>
      <w:r>
        <w:t xml:space="preserve">Pre-mortem</w:t>
      </w:r>
    </w:p>
    <w:p>
      <w:pPr>
        <w:spacing w:after="100"/>
      </w:pPr>
      <w:r>
        <w:t xml:space="preserve">Es octubre de 2029 y Rovi vale un 40 % menos. Lo que pasó: el contrato de jeringas con la farmacéutica global se retrasó por segunda vez en 2027 y acabó con volúmenes muy inferiores a los 100 millones de unidades anuales; Moderna, sin nuevos productos aprobados, siguió bajando pedidos; y la heparina entró en una guerra de precios con los biosimilares chinos. La CDMO, con más de 500 millones de jeringas de capacidad, se quedó en el 40 % de uso y el margen EBITDA en el 25 %. El BPA no pasó de 2,7 EUR y el mercado volvió a pagar 11-13 veces, como en 2022. La señal que lo habría anticipado era la guía de 2027: si en febrero de 2027 no incluye el contrato de jeringas con fecha, la tesis de recuperación se retrasa un año.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+3 %</w:t>
      </w:r>
    </w:p>
    <w:p>
      <w:pPr>
        <w:spacing w:after="100"/>
      </w:pPr>
      <w:r>
        <w:t xml:space="preserve">La IA no sustituye lo que vende Rovi: llenado aséptico de inyectables, heparinas y un antipsicótico inyectable, que requieren plantas aprobadas por los reguladores. Puede acelerar la I+D (formulaciones de liberación prolongada) y los controles de calidad de las plantas, y Rovi ya tiene una participada de software médico (Cells IA, 95 %) sin peso en las cuentas [2]. Si la IA acelera el descubrimiento de fármacos y hay más productos inyectables en desarrollo, la demanda de CDMO estéril sube: efecto ligeramente positivo. Señal: anuncios de contratos de CDMO con biotecnológicas nuevas.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(ESG Risk Rating 2020)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18,4 (riesgo bajo); 2.º de 432 farmacéuticas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BME (índice IBEX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por tercer año consecutivo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r>
    </w:tbl>
    <w:p>
      <w:pPr>
        <w:spacing w:after="160" w:before="0"/>
      </w:pPr>
    </w:p>
    <w:p>
      <w:pPr>
        <w:pStyle w:val="Heading2"/>
      </w:pPr>
      <w:r>
        <w:t xml:space="preserve">Asuntos materiales</w:t>
      </w:r>
    </w:p>
    <w:p>
      <w:pPr>
        <w:spacing w:after="100"/>
      </w:pPr>
      <w:r>
        <w:t xml:space="preserve">Lo material es la </w:t>
      </w:r>
      <w:r>
        <w:rPr>
          <w:b/>
        </w:rPr>
        <w:t xml:space="preserve">calidad del llenado estéril</w:t>
      </w:r>
      <w:r>
        <w:t xml:space="preserve">: una observación de la FDA o la EMA pararía la CDMO, y la adaptación al Anexo 1 obligó a cerrar temporalmente la planta de Madrid en el 1S25 [10]. Segundo, la </w:t>
      </w:r>
      <w:r>
        <w:rPr>
          <w:b/>
        </w:rPr>
        <w:t xml:space="preserve">cadena de la heparina</w:t>
      </w:r>
      <w:r>
        <w:t xml:space="preserve">: la mucosa intestinal de cerdo procede mayoritariamente de China, con riesgo de suministro y de trazabilidad; al incluirla en el cálculo, las emisiones de alcance 3 de 2024 pasaron de 5.186 a 47.259 t CO2e en compras [20]. Emisiones de 2025: alcance 1 de 9.012 t, alcance 2 por mercado de 37 t y huella total de 64.156 t CO2e (−3,8 %); objetivo de reducir un 63 % el alcance 1 en 2035 frente a 2024 [20]. Plantilla de 2.232 personas [20]. Última calificación de riesgo ESG publicada por la empresa: Sustainalytics 18,4, riesgo bajo, con datos de 2020 [35].</w:t>
      </w:r>
    </w:p>
    <w:p>
      <w:pPr>
        <w:pStyle w:val="Heading2"/>
      </w:pPr>
      <w:r>
        <w:t xml:space="preserve">Controversias</w:t>
      </w:r>
    </w:p>
    <w:p>
      <w:pPr>
        <w:spacing w:after="100"/>
      </w:pPr>
      <w:r>
        <w:t xml:space="preserve">No constan sanciones firmes en los documentos revisados. En el 1S26 Rovi registró gastos no recurrentes por una comprobación de la Delegación Central de Grandes Contribuyentes sobre retenciones de septiembre de 2020 a diciembre de 2022, sin cifra de la sanción [10]. En 2025 tuvo un cierre temporal de la planta de Madrid para adaptarla a la normativa aséptica (Anexo 1), no una sanción [10].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 de jeringas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autorización falta, con qué fecha esperada y cuántas unidades del mínimo contractual se facturarán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y el consenso en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Neparvis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contribución dejaba Neparvis y qué lo sustituye en especialidades?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el 7,6 % de las ventas de 2025; el efecto en el EBITDA depende del margen de distribución.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mínimo tiene el contrato con Moderna en 2027-2031 y qué peso tienen los productos oncológicos?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Moderna explica casi toda la caída de la CDMO entre 2023 y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Heparinas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bajado el precio de la enoxaparina en 2026 y cuándo se normalizan las existencias de los socios?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heparina es el 35 % de las ventas y la guía prevé una caída de un dígito medio.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Phoenix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da beneficio Phoenix y cuánto de su capacidad está libre para terceros además de BMS?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compró con badwill de 62,4 M y dio pérdidas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 el objetivo de ingresos de 1,5-1,8 veces 2024 tras la rebaja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queda por debajo del extremo bajo; el alcista lo cumple.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«Laboratorios Rovi» (pág. 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desde los resultados del 1S26: se repostean la nota de resultados, el comunicado del contrato de liquidez y el plan CDMO a 2030; las únicas opiniones son de compra en la zona de 59 € y de potencial al alza. Nadie vende ni se queja del 1S26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«Laboratorios Rovi» (pág. 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 mayo, los participantes la ven como ocasión: entradas escalonadas en 62 € y 59 €, «darle tiempo al tiempo», y la idea de que las dos familias de referencia, que siguen comprando, sostendrán el precio. Comparan el caso con Almirall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TradingView (ideas y «pensamientos» de BME:ROVI)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ideas son técnicas y alcistas (soporte de la directriz de largo plazo, acumulación), pero la última es de enero de 2026: no hay debate en los últimos tres meses, así que solo vale de contexto [80,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en la caída y mantener a largo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aunque el foro no entra en los números. Tras el 1S26 la acción subió un 8,6 % en la semana, el consenso subió el BPA de 2026 y mantuvo el precio objetivo medio en 74,36 € (rango 64,2-83 €) [82]. Pero ese mismo consenso espera ingresos de 2026 planos y un BPA un 23 % menor, y el beneficio del semestre incluye un badwill no recurrente de Phoenix [82].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(Norbel e Indumenta Pueri) como soporte del precio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 Las compras de Indumenta Pueri, que pasó al 13,4 % en junio según la CNMV, recogidas por la prensa [79], muestran confianza de un accionista de referencia. Pero con alrededor del 70 % en dos familias el capital flotante es reducido, y eso pesa más en la liquidez que en el suelo de la cotización. Ver «gobierno» y «capital».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 previsiones de mayo: heparinas e inventarios de los socios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foro casi no se discute; lo plantean la prensa y los analistas. Según XTB, el mercado castigó sobre todo el tamaño del error de previsión, porque la acción cotizaba a múltiplos altos, y el mayor peso de Okedi difícilmente compensará el retroceso de las heparinas [16, 75]. El riesgo sigue abierto: la previsión de ingresos de 2026 (0-10 %) se mantuvo en julio [78].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CDMO, planta de Phoenix y objetivos a 2030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repite los objetivos de la compañía (ingresos de 1,5-1,8 veces y fabricación a terceros como motor) sin cuestionar su ejecución [78, 79]. El consenso todavía prevé que los ingresos de Rovi crezcan menos que los del sector [82]: el mercado aún no descuenta el plan.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soportes y directriz de largo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ideas son anteriores a la caída de mayo y no aportan información fundamental [80, 81].</w:t>
            </w:r>
          </w:p>
        </w:tc>
      </w:tr>
    </w:tbl>
    <w:p>
      <w:pPr>
        <w:spacing w:after="160" w:before="0"/>
      </w:pPr>
    </w:p>
    <w:p>
      <w:pPr>
        <w:spacing w:after="100"/>
      </w:pPr>
      <w:r>
        <w:t xml:space="preserve">Hay poco debate entre los particulares y el que hay es tranquilo. Desde los resultados del 1S26 apenas hay opiniones en los foros españoles, y todas son de compra o de mantener; no se ve euforia ni capitulación. Tras la caída de mayo, los pocos inversores activos compraron por tramos y se apoyan en dos ideas: el largo plazo y las compras de las familias de control. Coinciden con los analistas, que tienen precios objetivo por encima de la cotización y subieron estimaciones en julio [82]. Lo que el foro no ve es que el consenso espera un 2026 sin crecimiento de ingresos y un BPA a la baja, y que el beneficio del semestre está inflado por un badwill. El sentimiento no anticipa ningún riesgo ni catalizador que el análisis no recoja; no aporta nada que cambie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83 (56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26,4 % frente a un ROIC de 20,8 % y un incremental histórico de 21,8 %: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45,0 % frente a 45,8 % real: genera una variación de circulante de 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(56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 63, 66,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pagos_arrendamientos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ESEF 2021: los pagos de arrendamiento van dentro de «amortización de deuda financiera», sin desglose; 2) Notas de deuda financiera del ESEF 2022: saldo de 2021, pero no de 2020 ni los pagos; 3) Estimación por variación del saldo: no hay saldo de arrendamientos de 2020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y deuda financiera sin arrendamientos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Bloques de texto del ESEF 2021 (no traen la nota de deuda); 2) Nota de deuda del ESEF 2022 (solo 2022 y 2021); 3) Deuda total de 2020 (74,4 M con arrendamientos)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 las cuentas de 2025; 2) Tabla de préstamos de la nota de prensa del 1S26 (vencimientos de 2028 a 2032, sin vida media); 3) Cálculo: los flujos sin descontar no permiten una media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3T24-4T25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(no citan consenso); 2) Presentaciones (no lo citan); 3) No hay consenso trimestral previo archivado y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del 1T26 y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Rovi (solo notas, presentaciones y resúmenes ejecutivos); 2) Comunicados a la CNMV (sin transcripción); 3) Resumen de Quartr citado en el informe del 14-oct, no accesible para comprobarlo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a 27-oct-26: no publicados (los de 9M25 salieron el 6-nov-25); 2) Lista de PDF de la web: el último es el del 1S26; 3) Sin publicar a la fecha de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Research and Markets y GMI solo dan año base y previsión; 2) Mordor y Precedence (CDMO) tampoco publican serie histórica; 3) no hay serie oficial (IQVIA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fiable del mercado de antipsicóticos inyectables de larga duración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 Research Future: 3.000 M USD en 2024, menos que solo Invega de J&amp;J (4.222 M USD en 2024); 2) Roots Analysis: no da la cifra del segmento; 3) suma de ventas de J&amp;J, Lundbeck, Teva y Rovi (mínimo ≈ 4.600 M USD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actuales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no las cita; 2) web de Rovi: solo Sustainalytics 2020 (publicada en 2021); 3) búsqueda web de MSCI y Sustainalytics: sin página pública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del primer cliente y de Moderna en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2025 y 1S26: solo BMS (13 % de la CDMO en el 1S26); 2) informe de sostenibilidad 2025: no lo da; 3) presentaciones: sin desglose por cliente (las cuentas anuales con la nota de segmentos las revisa otro bloque)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Cuotas de mercado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da Pfizer &gt; 14 % en heparina y top 5 = 50 %; 2) Hepalink solo dice «mayor cuota»; 3) estimación con ventas/mercado no es homogénea entre perímetros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cada hermano López-Belmonte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A.3: los tres hermanos tienen 0 % directo y no figuran en A.2; 2) registro de directivos de la CNMV: sin notificaciones desde jun-2023; 3) derivado: 33,33 % de Norbel por 58,186 % = ~19,4 % cada uno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trayectoria y antigüedad de la directora financiera y de la directora de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C.1.14 (solo nombre y cargo); 2) CMD 2025 (solo presenta a Juan y Javier); 3) web de Rovi, sección de equipo directivo: no se encontró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(no da EBITDA estimado ni ROIC); 2) MarketScreener (sirve páginas en caché de septiembre; una consulta por empresa, fuera de presupuesto); 3) informes del repositorio (Recordati, Orion, Lonza: fechas y bases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Catalent, Permira, EQT, Advent y Hikma (no lo publican); 2) cálculo con ventas de la propia nota (solo EV/ventas en tres); 3) prensa: descartada por mezclar bases (lección)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EV/ventas calculado y marcado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(Norbel 58,19 %); 2) MarketScreener (Indumenta Pueri 10,01 %); 3) prensa de junio (&gt;13 %)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(≈31,6 % con 10,01 %; ≈28,6 % si Indumenta tiene el 13 %)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MarketScreener al día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(página del 25-sep); 2) MarketScreener consenso (23-sep); 3) Yahoo earningsTrend (27-oct, solo BPA e ingresos 2026-2027)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las de MarketScreener a 25-sep con las de Yahoo al lado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(4-8 sitios con debate en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Foros directos: Investing.com comentarios (403), Reddit (403), elEconomista foros (403), foro de Bolsamanía e Invertia/El Español (404/redirigen a portada), Stocktwits y RSS de Seeking Alpha (sin símbolo, 404); 2) Rankia: hilo propio (solo unos 5 mensajes de opinión desde julio) e hilo «Farmas España» (inactivo); TradingView sin ideas desde enero de 2026; 3) Comentarios de lectores en Estrategias de Inversión (no hay o da 403), Expansión y Cinco Días (de pago,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results for the full year 2025 (nota de resultados con cuentas consolidadas auditadas)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https://www.rovi.es/sites/default/files/rovi_results_press_release_vdef_3.pdf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con informe de auditoría (traducción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Farmacéuticos Rovi / KPMG Auditores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https://www.rovi.es/sites/default/files/audit_report_annual_accounts_and_management_report_rovi_group_2025.pdf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2021 en formato ESEF (cifras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https://filings.xbrl.org/95980020140005936480/2021-12-31/ESEF/ES/0/95980020140005936480-20211231-es/reports/95980020140005936480-20211231-es.xhtml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2022 en formato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https://filings.xbrl.org/95980020140005936480/2022-12-31/ESEF/ES/0/95980020140005936480-20221231-es/reports/95980020140005936480-20221231-es.xhtml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2023 en formato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https://filings.xbrl.org/95980020140005936480/2023-12-31/ESEF/ES/0/95980020140005936480-20231231-es/reports/95980020140005936480-20231231-es.xhtml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2024 en formato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https://filings.xbrl.org/95980020140005936480/2024-12-31/ESEF/ES/0/95980020140005936480-20241231-es/reports/95980020140005936480-20241231-es.xhtml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2025 en formato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https://filings.xbrl.org/95980020140005936480/2025-12-31/ESEF/ES/0/95980020140005936480-2025-12-31-1-es/reports/95980020140005936480-2025-12-31-1-es.xhtml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https://rovi.es/sites/default/files/1t_2026_resultados_nota_de_prensa_def.pdf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https://www.rovi.es/sites/default/files/1t_2026_rovi_presentacion_def_1.pdf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https://www.rovi.es/sites/default/files/1s_2026_resultados_nota_de_prensa_def.pdf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https://www.rovi.es/sites/default/files/h1_2026_rovi_presentation_def.pdf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30-jun-2026 remitido a la CNMV (estados intermedios condensados con revisión limitada,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https://www.rovi.es/sites/default/files/informe_financiero_semestral_30.06.26_ingles_para_cnmv.pdf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first quarter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https://www.rovi.es/sites/default/files/rovi_press_release_def.pdf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first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https://www.rovi.es/sites/default/files/rovi_press_release_def_2.pdf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nine-month period ending 30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https://www.rovi.es/sites/default/files/rovi_press_release_def_5.pdf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Rovi se desploman más de un 15 % tras presentar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https://www.xtb.com/es/analisis-de-mercado/las-acciones-de-rovi-se-desploman-mas-de-un-15-tras-presentar-resultados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https://www.rovi.es/sites/default/files/20250325_rovi_cmd_2025_eng_vdef.pdf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financieros del primer semestre de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https://www.rovi.es/sites/default/files/1s_2026_rovi_presentacion_def_1.pdf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financieros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https://www.rovi.es/sites/default/files/rovi_presentacion_vdef_3_0.pdf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información no financiera consolidado e información sobre sostenibilidad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https://www.rovi.es/sites/default/files/estado_de_informacion_no_financiera_consolidado_e_informacion_sobre_sostenibilidad_2025_0.pdf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 de historia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https://www.rovi.es/es/laboratorio-de-historia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 Molecular Weight Heparin Market Outlook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https://www.researchandmarkets.com/reports/6242291/low-molecular-weight-heparin-market-outlook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Heparin Market Size (GMI4837)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https://www.gminsights.com/industry-analysis/heparin-market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Sterile Injectables CDMO Market Size and Share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https://www.mordorintelligence.com/industry-reports/sterile-injectables-cdmo-market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Sterile Injectables CDMO Market Revenue to Attain USD 9.94 Bn by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Precedence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https://www.precedenceresearch.com/press-release/sterile-injectables-cdmo-market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Sterile Injectables CDMO Market Sizing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https://www.towardshealthcare.com/insights/sterile-injectables-cdmo-market-sizing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Antipsychotic Drugs Market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https://www.marketresearchfuture.com/reports/antipsychotic-drugs-market-2784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reports Q4 and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https://s203.q4cdn.com/636242992/files/doc_news/Johnson--Johnson-reports-Q4-and-Full-Year-2025-results-2026.pdf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release for the period 1 January to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 Lundbeck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https://mb.cision.com/Main/18215/4302217/3915152.pdf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Q4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Pharmaceutical Industries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https://s24.q4cdn.com/720828402/files/doc_financials/2025/q4/Q4-25-Press-Release.pdf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announcement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Hepalink Pharmaceutical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https://www1.hkexnews.hk/listedco/listconews/sehk/2026/0330/2026033002386.pdf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Vetter setzt Wachstumskurs fort und stärkt den Standort Deutschland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Vetter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https://www.vetter-pharma.com/media/content/Downloads/Presse/2026/Vetter_setzt_Wachstumskurs_fort_und_st%C3%A4rkt_den_Standort_Deutschland.pdf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Siegfried Holding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https://www.siegfried.ch/app/uploads/2026/02/20260220_Siegfried_Media-Release_FYR-2025_EN.pdf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achieves second place in a worldwide sustainability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https://www.rovi.es/en/content/rovi-achieves-second-place-worldwide-sustainability-rating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(media de 2025: 1,13 USD, 8,1185 CNY, 7,4634 DKK, 0,937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https://www.rovi.es/sites/default/files/07._iagc_2025_cnmv.pdf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https://www.rovi.es/sites/default/files/06._iar_2025_cnmv.pdf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acuerdos aprobados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https://www.rovi.es/sites/default/files/26._acuerdos_aprobados_jga_2026.pdf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2025: acuerdos aprobados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https://www.rovi.es/sites/default/files/accionistas-inversores/gobierno-corporativo/32.%20Acuerdos%20aprobados%20y%20resultado%20de%20las%20votaciones%20(def).pdf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2024: acuerdos aprobados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https://www.rovi.es/sites/default/files/accionistas-inversores/gobierno-corporativo/36.%20Acuerdos%20aprobados%20y%20resultado%20de%20las%20votaciones.pdf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notificaciones de derechos de voto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https://www.cnmv.es/Portal/Consultas/DerechosVoto/Notificaciones-Participaciones.aspx?qS={35b9ab5f-05d6-4f67-8cf0-a661738f61ec}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sobre acciones propias (autocartera) de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https://www.cnmv.es/Portal/Consultas/DerechosVoto/Autocartera.aspx?qS={35b9ab5f-05d6-4f67-8cf0-a661738f61ec}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los directivos y personas vinculadas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https://www.cnmv.es/portal/Consultas/directivos-resultado?nif=A-28041283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https://www.cnmv.es/Portal/Consultas/EE/PosicionesCortas.aspx?nif=A-28041283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del accionista e inversor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https://www.rovi.es/es/accionistas-inversores/calendario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https://www.rovi.es/es/content/nota-prensa-resultados-del-ejercicio-2021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 los nueve primeros meses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https://www.rovi.es/es/content/nota-prensa-resultados-nueve-primeros-meses-2022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https://www.rovi.es/es/content/nota-prensa-resultados-del-ejercicio-2022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 los nueve primeros meses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https://www.rovi.es/es/content/nota-prensa-resultados-nueve-primeros-meses-2023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https://www.rovi.es/es/content/nota-prensa-resultados-del-ejercicio-2023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 los nueve primeros meses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https://www.rovi.es/es/content/nota-prensa-resultados-nueve-primeros-meses-2024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del primer semestre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https://www.rovi.es/es/content/nota-prensa-resultados-del-primer-semestre-2025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los resultados de los nueve primeros meses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https://www.rovi.es/es/content/nota-prensa-resultados-nueve-primeros-meses-2025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Mercado de Capitales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https://www.rovi.es/sites/default/files/20250325_rovi_cmd_2025_espanol_vdef_0.pdf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anuncia la adquisición de una planta de fabricación de productos farmacéuticos inyectables en Phoenix, Arizona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https://www.rovi.es/es/content/rovi-anuncia-adquisicion-planta-fabricacion-productos-farmaceuticos-inyectables-phoenix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ROVI.MC, ^IBEX y EXV4.DE: históricos diarios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https://finance.yahoo.com/quote/ROVI.MC/history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ROVI.MC: consenso, objetivos, recomendaciones, estimaciones y calendario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https://finance.yahoo.com/quote/ROVI.MC/analysis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consolidado a 30 de junio de 2026 (remitido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https://www.rovi.es/sites/default/files/informe_financiero_semestral_grupo_rovi_30.06.26_para_cnmv_para_web.pdf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finanzas y estimaciones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empresa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https://es.marketscreener.com/cotizacion/accion/LABORATORIOS-FARMACEUTICO-388853/empresa/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Laboratorios Farmacéuticos 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https://www.cnmv.es/portal/Consultas/EE/PosicionesCortas?nif=A-28041283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intensifica sus posiciones cortas contra Rovi pese a su subida en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https://www.merca2.es/2026/07/29/jpmorgan-intensifica-posiciones-cortas-rovi-2426089/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(ALM.MC, FAE.MC, REC.MI, IPN.PA, HIK.L, SFZN.SW, LONN.SW, CAMX.ST, INDV): datos financieros y consenso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https://finance.yahoo.com/quote/REC.MI/key-statistics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diario del bono federal alemán a 10 años (BBSIS.D.I.ZST.ZI.EUR.S1311.B.A604.R10XX)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a largo plazo (convergencia): España y Alemania,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https://data.ecb.europa.eu/data/datasets/IRS/IRS.M.ES.L.L40.CI.0000.EUR.N.Z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Holdings to Acquire Catalent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https://www.catalent.com/catalent-news/novo-holdings-to-acquire-catalent/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Cambrex to be Acquired by the Permira Funds for $60.00 per Share in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https://www.permira.com/news-and-insights/announcements/cambrex-to-be-acquired-by-the-permira-funds-for-6000-per-share-in-cash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IX, through Roar BidCo AB, announces a public offer of SEK 220 in cash per share to the shareholders of Recipharm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https://eqtgroup.com/news/eqt-ix-through-roar-bidco-ab-announces-a-public-offer-of-sek-220-in-cash-per-share-to-the-shareholders-of-recipharm-ab-publ-and-sek-1-427-010-in-cash-per-convertible-bond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Baxter signs definitive agreement to divest its BioPharma Solutions business to Advent International and Warburg Pincus for $4.25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Advent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https://adventinternational.com/news/baxter-signs-definitive-agreement-to-divest-its-biopharma-solutions-business-to-advent-international-and-warburg-pincus-for-4-25-billion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Hikma to acquire Custopharm (Project Cedar)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Hikma Pharmaceuticals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https://hikma.com/media/rl3bzsfw/project-cedar-press-release-v7-final.pdf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Rovi sinks on the stock market after presenting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https://en.ara.cat/economy/rovi-sinks-the-stock-market-after-presenting-results_25_5728669.html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Rovi lidera los descensos en el Ibex 35 tras la rebaja a Mantener de Jefferies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https://www.merca2.es/2026/03/12/rovi-rebaja-jefferies-ibex-35-2359374/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prensa sobre Rovi, 12 meses (herramientas/noticias.mjs, agregador Google News; solo titulares)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 (varios medios)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https://news.google.com/search?q=Rovi%20laboratorios&amp;hl=es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«Laboratorios Rovi», página 92 (mensajes de junio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https://www.rankia.com/foros/bolsa/temas/527691-laboratorios-rovi?page=92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«Laboratorios Rovi», página 91 (mensajes de enero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https://www.rankia.com/foros/bolsa/temas/527691-laboratorios-rovi?page=91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Ideas de trading de BME:ROVI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https://es.tradingview.com/symbols/BME-ROVI/ideas/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Pensamientos sobre BME:ROVI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https://es.tradingview.com/symbols/BME-ROVI/minds/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Farmaceuticos Rovi (BME:ROVI) Just Released Its Half-Year Earnings: Here's What Analysts Think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https://www.webull.com/news/15292519011066880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ninguna</w:t>
      </w:r>
      <w:r>
        <w:t xml:space="preserve"> · Generado el 27 oct 2026.</w:t>
      </w:r>
    </w:p>
    <w:p>
      <w:pPr>
        <w:pStyle w:val="Nota"/>
        <w:spacing w:after="100"/>
      </w:pPr>
      <w:r>
        <w:t xml:space="preserve">Se valora la acción ordinaria de Laboratorios Farmacéuticos Rovi en la Bolsa de Madrid (ROVI), en euros. Precio: cierre del lunes 26-oct-2026 (61,40 EUR); el 27-oct a mediodía cotizaba a 61,90 y la sesión no había cerrado [58]. Acciones: 51,143 M (emitidas menos autocartera a 30-jun-2026) [60]. Cuentas NIIF-UE presentadas por naturaleza: el «coste de ventas» es aprovisionamientos más variación de existencias y los gastos generales incluyen la I+D [1, 2]. La cuenta, el balance y los flujos de 2020-2025 salen del XBRL del ESEF y se contrastaron con las cuentas auditadas; los segmentos de 2020-2023 vienen de un gráfico del Día del Mercado de Capitales en millones enteros [7, 17]. El EBITDA del 1S26 lleva 62,4 M de diferencia negativa de consolidación (badwill) por la planta de Phoenix: fuera del EBITDA del LTM, del DCF y del BPA del objetivo, que van en base ajustada [10, 12]. El puente es el balance de 30-jun-2026 y suma como deuda el dividendo de 49,2 M aprobado y pagado el 15-jul [60]. No hay transcripciones públicas de las conferencias de resultados. Los resultados de los nueve meses salen el 5-nov-2026, nueve días después del corte [46].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Laboratorios Farmacéuticos Rovi, S.A. (ROVI)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(53,10 – 86,70)</c:v>
                </c:pt>
                <c:pt idx="1">
                  <c:v>Precio objetivo de los analistas (64,20 – 83,00)</c:v>
                </c:pt>
                <c:pt idx="2">
                  <c:v>Comparables: PER NTM (33,30 – 56,46)</c:v>
                </c:pt>
                <c:pt idx="3">
                  <c:v>Transacciones precedentes (EV/ventas) (63,63 – 88,12)</c:v>
                </c:pt>
                <c:pt idx="4">
                  <c:v>DCF (WACC y g ± 0,5) (52,88 – 73,50)</c:v>
                </c:pt>
                <c:pt idx="5">
                  <c:v>Escenarios (bajista – alcista) (40,16 – 78,25)</c:v>
                </c:pt>
                <c:pt idx="6">
                  <c:v>DCF con la prima implícita del mercado (4,2 %)</c:v>
                </c:pt>
                <c:pt idx="7">
                  <c:v>Precio actual (61,40)</c:v>
                </c:pt>
              </c:strCache>
            </c:strRef>
          </c:cat>
          <c:val>
            <c:numRef>
              <c:f>Hoja1!$B$2:$B$9</c:f>
              <c:numCache>
                <c:formatCode>#,##0.0</c:formatCode>
                <c:ptCount val="8"/>
                <c:pt idx="0">
                  <c:v>53.1</c:v>
                </c:pt>
                <c:pt idx="1">
                  <c:v>64.2</c:v>
                </c:pt>
                <c:pt idx="2">
                  <c:v>33.3</c:v>
                </c:pt>
                <c:pt idx="3">
                  <c:v>63.63</c:v>
                </c:pt>
                <c:pt idx="4">
                  <c:v>52.88</c:v>
                </c:pt>
                <c:pt idx="5">
                  <c:v>40.16</c:v>
                </c:pt>
                <c:pt idx="6">
                  <c:v>67.67</c:v>
                </c:pt>
                <c:pt idx="7">
                  <c:v>61.09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(53,10 – 86,70)</c:v>
                </c:pt>
                <c:pt idx="1">
                  <c:v>Precio objetivo de los analistas (64,20 – 83,00)</c:v>
                </c:pt>
                <c:pt idx="2">
                  <c:v>Comparables: PER NTM (33,30 – 56,46)</c:v>
                </c:pt>
                <c:pt idx="3">
                  <c:v>Transacciones precedentes (EV/ventas) (63,63 – 88,12)</c:v>
                </c:pt>
                <c:pt idx="4">
                  <c:v>DCF (WACC y g ± 0,5) (52,88 – 73,50)</c:v>
                </c:pt>
                <c:pt idx="5">
                  <c:v>Escenarios (bajista – alcista) (40,16 – 78,25)</c:v>
                </c:pt>
                <c:pt idx="6">
                  <c:v>DCF con la prima implícita del mercado (4,2 %)</c:v>
                </c:pt>
                <c:pt idx="7">
                  <c:v>Precio actual (61,40)</c:v>
                </c:pt>
              </c:strCache>
            </c:strRef>
          </c:cat>
          <c:val>
            <c:numRef>
              <c:f>Hoja1!$C$2:$C$9</c:f>
              <c:numCache>
                <c:formatCode>#,##0.0</c:formatCode>
                <c:ptCount val="8"/>
                <c:pt idx="0">
                  <c:v>33.6</c:v>
                </c:pt>
                <c:pt idx="1">
                  <c:v>18.799999999999997</c:v>
                </c:pt>
                <c:pt idx="2">
                  <c:v>23.160000000000004</c:v>
                </c:pt>
                <c:pt idx="3">
                  <c:v>24.490000000000002</c:v>
                </c:pt>
                <c:pt idx="4">
                  <c:v>20.619999999999997</c:v>
                </c:pt>
                <c:pt idx="5">
                  <c:v>38.09</c:v>
                </c:pt>
                <c:pt idx="6">
                  <c:v>18.049999999999997</c:v>
                </c:pt>
                <c:pt idx="7">
                  <c:v>0.6199999999999974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Especialidades farmacéuticas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328</c:v>
                </c:pt>
                <c:pt idx="1">
                  <c:v>384</c:v>
                </c:pt>
                <c:pt idx="2">
                  <c:v>414</c:v>
                </c:pt>
                <c:pt idx="3">
                  <c:v>420</c:v>
                </c:pt>
                <c:pt idx="4">
                  <c:v>427.5</c:v>
                </c:pt>
                <c:pt idx="5">
                  <c:v>473.9</c:v>
                </c:pt>
              </c:numCache>
            </c:numRef>
          </c:val>
        </c:ser>
        <c:ser>
          <c:idx val="1"/>
          <c:order val="1"/>
          <c:tx>
            <c:strRef>
              <c:f>Hoja1!$C$1</c:f>
              <c:strCache>
                <c:ptCount val="1"/>
                <c:pt idx="0">
                  <c:v>Fabricación a terceros (CDMO)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92</c:v>
                </c:pt>
                <c:pt idx="1">
                  <c:v>265</c:v>
                </c:pt>
                <c:pt idx="2">
                  <c:v>404</c:v>
                </c:pt>
                <c:pt idx="3">
                  <c:v>409</c:v>
                </c:pt>
                <c:pt idx="4">
                  <c:v>336.2</c:v>
                </c:pt>
                <c:pt idx="5">
                  <c:v>269.5</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-0.3</c:v>
                </c:pt>
                <c:pt idx="2">
                  <c:v>-0.3</c:v>
                </c:pt>
                <c:pt idx="3">
                  <c:v>0.5</c:v>
                </c:pt>
                <c:pt idx="4">
                  <c:v>0</c:v>
                </c:pt>
                <c:pt idx="5">
                  <c:v>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Especialidades farmacéuticas</c:v>
                </c:pt>
                <c:pt idx="1">
                  <c:v>Fabricación a terceros (CDMO)</c:v>
                </c:pt>
                <c:pt idx="2">
                  <c:v>Otros</c:v>
                </c:pt>
              </c:strCache>
            </c:strRef>
          </c:cat>
          <c:val>
            <c:numRef>
              <c:f>Hoja1!$B$2:$B$4</c:f>
              <c:numCache>
                <c:formatCode>General</c:formatCode>
                <c:ptCount val="3"/>
                <c:pt idx="0">
                  <c:v>63.7</c:v>
                </c:pt>
                <c:pt idx="1">
                  <c:v>36.2</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España</c:v>
                </c:pt>
                <c:pt idx="1">
                  <c:v>Fuera de España</c:v>
                </c:pt>
              </c:strCache>
            </c:strRef>
          </c:cat>
          <c:val>
            <c:numRef>
              <c:f>Hoja1!$B$2:$B$3</c:f>
              <c:numCache>
                <c:formatCode>0"%"</c:formatCode>
                <c:ptCount val="2"/>
                <c:pt idx="0">
                  <c:v>38.4</c:v>
                </c:pt>
                <c:pt idx="1">
                  <c:v>61.6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(mercado mundial de heparina,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2034e</c:v>
                </c:pt>
              </c:strCache>
            </c:strRef>
          </c:cat>
          <c:val>
            <c:numRef>
              <c:f>Hoja1!$B$2:$B$4</c:f>
              <c:numCache>
                <c:formatCode>#,##0</c:formatCode>
                <c:ptCount val="3"/>
                <c:pt idx="0">
                  <c:v>5400</c:v>
                </c:pt>
                <c:pt idx="1">
                  <c:v>5800</c:v>
                </c:pt>
                <c:pt idx="2">
                  <c:v>10800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Rovi</c:v>
                </c:pt>
                <c:pt idx="1">
                  <c:v>Sanofi (Lovenox, enoxaparina original)</c:v>
                </c:pt>
                <c:pt idx="2">
                  <c:v>Shenzhen Hepalink (Techdow)</c:v>
                </c:pt>
                <c:pt idx="3">
                  <c:v>Johnson &amp; Johnson (Invega Sustenna/Xeplion/Trinza/Trevicta)</c:v>
                </c:pt>
                <c:pt idx="4">
                  <c:v>H. Lundbeck (Abilify Maintena/Asimtufii, con Otsuka)</c:v>
                </c:pt>
                <c:pt idx="5">
                  <c:v>Teva (Uzedy, risperidona subcutánea)</c:v>
                </c:pt>
                <c:pt idx="6">
                  <c:v>Vetter Pharma</c:v>
                </c:pt>
                <c:pt idx="7">
                  <c:v>Siegfried</c:v>
                </c:pt>
              </c:strCache>
            </c:strRef>
          </c:cat>
          <c:val>
            <c:numRef>
              <c:f>Hoja1!$B$2:$B$9</c:f>
              <c:numCache>
                <c:formatCode>0.0"%"</c:formatCode>
                <c:ptCount val="8"/>
                <c:pt idx="0">
                  <c:v>25</c:v>
                </c:pt>
                <c:pt idx="1">
                  <c:v>28.1</c:v>
                </c:pt>
                <c:pt idx="2">
                  <c:v>8.8</c:v>
                </c:pt>
                <c:pt idx="3">
                  <c:v>34.5</c:v>
                </c:pt>
                <c:pt idx="4">
                  <c:v>21.4</c:v>
                </c:pt>
                <c:pt idx="5">
                  <c:v>12.5</c:v>
                </c:pt>
                <c:pt idx="7">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420</c:v>
                </c:pt>
                <c:pt idx="1">
                  <c:v>648.7</c:v>
                </c:pt>
                <c:pt idx="2">
                  <c:v>817.7</c:v>
                </c:pt>
                <c:pt idx="3">
                  <c:v>829.5</c:v>
                </c:pt>
                <c:pt idx="4">
                  <c:v>763.7</c:v>
                </c:pt>
                <c:pt idx="5">
                  <c:v>743.5</c:v>
                </c:pt>
                <c:pt idx="6">
                  <c:v>777</c:v>
                </c:pt>
                <c:pt idx="7">
                  <c:v>855</c:v>
                </c:pt>
                <c:pt idx="8">
                  <c:v>932</c:v>
                </c:pt>
                <c:pt idx="9">
                  <c:v>1006</c:v>
                </c:pt>
                <c:pt idx="10">
                  <c:v>1077</c:v>
                </c:pt>
                <c:pt idx="11">
                  <c:v>1141</c:v>
                </c:pt>
                <c:pt idx="12">
                  <c:v>1198</c:v>
                </c:pt>
                <c:pt idx="13">
                  <c:v>1252</c:v>
                </c:pt>
                <c:pt idx="14">
                  <c:v>1302</c:v>
                </c:pt>
                <c:pt idx="15">
                  <c:v>1348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94.3</c:v>
                </c:pt>
                <c:pt idx="1">
                  <c:v>202.8</c:v>
                </c:pt>
                <c:pt idx="2">
                  <c:v>278.7</c:v>
                </c:pt>
                <c:pt idx="3">
                  <c:v>244.6</c:v>
                </c:pt>
                <c:pt idx="4">
                  <c:v>207.4</c:v>
                </c:pt>
                <c:pt idx="5">
                  <c:v>216.2</c:v>
                </c:pt>
                <c:pt idx="6">
                  <c:v>198</c:v>
                </c:pt>
                <c:pt idx="7">
                  <c:v>239</c:v>
                </c:pt>
                <c:pt idx="8">
                  <c:v>275</c:v>
                </c:pt>
                <c:pt idx="9">
                  <c:v>302</c:v>
                </c:pt>
                <c:pt idx="10">
                  <c:v>323</c:v>
                </c:pt>
                <c:pt idx="11">
                  <c:v>342</c:v>
                </c:pt>
                <c:pt idx="12">
                  <c:v>359</c:v>
                </c:pt>
                <c:pt idx="13">
                  <c:v>376</c:v>
                </c:pt>
                <c:pt idx="14">
                  <c:v>391</c:v>
                </c:pt>
                <c:pt idx="15">
                  <c:v>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57.5</c:v>
                </c:pt>
                <c:pt idx="1">
                  <c:v>59.3</c:v>
                </c:pt>
                <c:pt idx="2">
                  <c:v>63.2</c:v>
                </c:pt>
                <c:pt idx="3">
                  <c:v>58.9</c:v>
                </c:pt>
                <c:pt idx="4">
                  <c:v>62.5</c:v>
                </c:pt>
                <c:pt idx="5">
                  <c:v>64.8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22.5</c:v>
                </c:pt>
                <c:pt idx="1">
                  <c:v>31.3</c:v>
                </c:pt>
                <c:pt idx="2">
                  <c:v>34.1</c:v>
                </c:pt>
                <c:pt idx="3">
                  <c:v>29.5</c:v>
                </c:pt>
                <c:pt idx="4">
                  <c:v>27.2</c:v>
                </c:pt>
                <c:pt idx="5">
                  <c:v>29.1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17.8</c:v>
                </c:pt>
                <c:pt idx="1">
                  <c:v>28</c:v>
                </c:pt>
                <c:pt idx="2">
                  <c:v>31.3</c:v>
                </c:pt>
                <c:pt idx="3">
                  <c:v>26.6</c:v>
                </c:pt>
                <c:pt idx="4">
                  <c:v>23.5</c:v>
                </c:pt>
                <c:pt idx="5">
                  <c:v>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14.5</c:v>
                </c:pt>
                <c:pt idx="1">
                  <c:v>23.6</c:v>
                </c:pt>
                <c:pt idx="2">
                  <c:v>24.4</c:v>
                </c:pt>
                <c:pt idx="3">
                  <c:v>20.5</c:v>
                </c:pt>
                <c:pt idx="4">
                  <c:v>17.9</c:v>
                </c:pt>
                <c:pt idx="5">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2.4</c:v>
                </c:pt>
                <c:pt idx="3">
                  <c:v>-10.3</c:v>
                </c:pt>
                <c:pt idx="4">
                  <c:v>-10.5</c:v>
                </c:pt>
                <c:pt idx="5">
                  <c:v>9.7</c:v>
                </c:pt>
                <c:pt idx="6">
                  <c:v>-1.5</c:v>
                </c:pt>
                <c:pt idx="7">
                  <c:v>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85</c:v>
                </c:pt>
                <c:pt idx="2">
                  <c:v>80</c:v>
                </c:pt>
                <c:pt idx="3">
                  <c:v>63</c:v>
                </c:pt>
                <c:pt idx="4">
                  <c:v>62</c:v>
                </c:pt>
                <c:pt idx="5">
                  <c:v>87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255</c:v>
                </c:pt>
                <c:pt idx="1">
                  <c:v>201</c:v>
                </c:pt>
                <c:pt idx="2">
                  <c:v>211</c:v>
                </c:pt>
                <c:pt idx="3">
                  <c:v>211</c:v>
                </c:pt>
                <c:pt idx="4">
                  <c:v>217</c:v>
                </c:pt>
                <c:pt idx="5">
                  <c:v>199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102</c:v>
                </c:pt>
                <c:pt idx="1">
                  <c:v>102</c:v>
                </c:pt>
                <c:pt idx="2">
                  <c:v>112</c:v>
                </c:pt>
                <c:pt idx="3">
                  <c:v>89</c:v>
                </c:pt>
                <c:pt idx="4">
                  <c:v>82</c:v>
                </c:pt>
                <c:pt idx="5">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7.199999999999996</c:v>
                </c:pt>
                <c:pt idx="1">
                  <c:v>108.2</c:v>
                </c:pt>
                <c:pt idx="2">
                  <c:v>182.49999999999997</c:v>
                </c:pt>
                <c:pt idx="3">
                  <c:v>53.1</c:v>
                </c:pt>
                <c:pt idx="4">
                  <c:v>68.20000000000002</c:v>
                </c:pt>
                <c:pt idx="5">
                  <c:v>110.6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61.1</c:v>
                </c:pt>
                <c:pt idx="1">
                  <c:v>153.1</c:v>
                </c:pt>
                <c:pt idx="2">
                  <c:v>199.7</c:v>
                </c:pt>
                <c:pt idx="3">
                  <c:v>170.3</c:v>
                </c:pt>
                <c:pt idx="4">
                  <c:v>136.9</c:v>
                </c:pt>
                <c:pt idx="5">
                  <c:v>140.4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19.6</c:v>
                </c:pt>
                <c:pt idx="1">
                  <c:v>39.7</c:v>
                </c:pt>
                <c:pt idx="2">
                  <c:v>43.3</c:v>
                </c:pt>
                <c:pt idx="3">
                  <c:v>32.4</c:v>
                </c:pt>
                <c:pt idx="4">
                  <c:v>22.1</c:v>
                </c:pt>
                <c:pt idx="5">
                  <c:v>20.8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c:v>
                </c:pt>
                <c:pt idx="1">
                  <c:v>8</c:v>
                </c:pt>
                <c:pt idx="2">
                  <c:v>8</c:v>
                </c:pt>
                <c:pt idx="3">
                  <c:v>8</c:v>
                </c:pt>
                <c:pt idx="4">
                  <c:v>8</c:v>
                </c:pt>
                <c:pt idx="5">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16.4</c:v>
                </c:pt>
                <c:pt idx="1">
                  <c:v>36.2</c:v>
                </c:pt>
                <c:pt idx="2">
                  <c:v>40.3</c:v>
                </c:pt>
                <c:pt idx="3">
                  <c:v>32.2</c:v>
                </c:pt>
                <c:pt idx="4">
                  <c:v>24.6</c:v>
                </c:pt>
                <c:pt idx="5">
                  <c:v>22.7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-0.56</c:v>
                </c:pt>
                <c:pt idx="1">
                  <c:v>-0.13</c:v>
                </c:pt>
                <c:pt idx="2">
                  <c:v>-0.19</c:v>
                </c:pt>
                <c:pt idx="3">
                  <c:v>0.16</c:v>
                </c:pt>
                <c:pt idx="4">
                  <c:v>0.42</c:v>
                </c:pt>
                <c:pt idx="5">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2028-2030</c:v>
                </c:pt>
                <c:pt idx="3">
                  <c:v>2031+</c:v>
                </c:pt>
              </c:strCache>
            </c:strRef>
          </c:cat>
          <c:val>
            <c:numRef>
              <c:f>Hoja1!$B$2:$B$5</c:f>
              <c:numCache>
                <c:formatCode>#,##0</c:formatCode>
                <c:ptCount val="4"/>
                <c:pt idx="0">
                  <c:v>23.7</c:v>
                </c:pt>
                <c:pt idx="1">
                  <c:v>24.4</c:v>
                </c:pt>
                <c:pt idx="2">
                  <c:v>53.5</c:v>
                </c:pt>
                <c:pt idx="3">
                  <c:v>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0.6</c:v>
                </c:pt>
                <c:pt idx="4">
                  <c:v>19.1</c:v>
                </c:pt>
                <c:pt idx="5">
                  <c:v>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9.7</c:v>
                </c:pt>
                <c:pt idx="1">
                  <c:v>21.1</c:v>
                </c:pt>
                <c:pt idx="2">
                  <c:v>51</c:v>
                </c:pt>
                <c:pt idx="3">
                  <c:v>69</c:v>
                </c:pt>
                <c:pt idx="4">
                  <c:v>56.5</c:v>
                </c:pt>
                <c:pt idx="5">
                  <c:v>47.8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36.5</c:v>
                </c:pt>
                <c:pt idx="2">
                  <c:v>99.2</c:v>
                </c:pt>
                <c:pt idx="3">
                  <c:v>81.3</c:v>
                </c:pt>
                <c:pt idx="4">
                  <c:v>47.8</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3</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Norbel Inversiones, S.L. (hermanos López-Belmonte Encina, un tercio cada uno)</c:v>
                </c:pt>
                <c:pt idx="1">
                  <c:v>Indumenta Pueri, S.L. (familia Domínguez, Mayoral), vía Global Portfolio Investments</c:v>
                </c:pt>
                <c:pt idx="2">
                  <c:v>Invesco Ltd.</c:v>
                </c:pt>
                <c:pt idx="3">
                  <c:v>Autocartera</c:v>
                </c:pt>
              </c:strCache>
            </c:strRef>
          </c:cat>
          <c:val>
            <c:numRef>
              <c:f>Hoja1!$B$2:$B$5</c:f>
              <c:numCache>
                <c:formatCode>0.0"%"</c:formatCode>
                <c:ptCount val="4"/>
                <c:pt idx="0">
                  <c:v>58.19</c:v>
                </c:pt>
                <c:pt idx="1">
                  <c:v>13.44</c:v>
                </c:pt>
                <c:pt idx="3">
                  <c:v>0.18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-14.6</c:v>
                </c:pt>
                <c:pt idx="1">
                  <c:v>26.9</c:v>
                </c:pt>
                <c:pt idx="2">
                  <c:v>11.5</c:v>
                </c:pt>
                <c:pt idx="3">
                  <c:v>39.8</c:v>
                </c:pt>
                <c:pt idx="4">
                  <c:v>55.3</c:v>
                </c:pt>
                <c:pt idx="5">
                  <c:v>94.7</c:v>
                </c:pt>
                <c:pt idx="6">
                  <c:v>-51.1</c:v>
                </c:pt>
                <c:pt idx="7">
                  <c:v>66.9</c:v>
                </c:pt>
                <c:pt idx="8">
                  <c:v>4.6</c:v>
                </c:pt>
                <c:pt idx="9">
                  <c:v>0.9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20.1</c:v>
                </c:pt>
                <c:pt idx="1">
                  <c:v>6.7</c:v>
                </c:pt>
                <c:pt idx="2">
                  <c:v>13.3</c:v>
                </c:pt>
                <c:pt idx="3">
                  <c:v>16</c:v>
                </c:pt>
                <c:pt idx="4">
                  <c:v>15.2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15.2</c:v>
                </c:pt>
                <c:pt idx="1">
                  <c:v>15.2</c:v>
                </c:pt>
                <c:pt idx="2">
                  <c:v>15.2</c:v>
                </c:pt>
                <c:pt idx="3">
                  <c:v>15.2</c:v>
                </c:pt>
                <c:pt idx="4">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Rovi</c:v>
                </c:pt>
                <c:pt idx="1">
                  <c:v>Almirall</c:v>
                </c:pt>
                <c:pt idx="2">
                  <c:v>Faes Farma</c:v>
                </c:pt>
                <c:pt idx="3">
                  <c:v>Recordati</c:v>
                </c:pt>
                <c:pt idx="4">
                  <c:v>Ipsen</c:v>
                </c:pt>
                <c:pt idx="5">
                  <c:v>Hikma Pharmaceuticals</c:v>
                </c:pt>
                <c:pt idx="6">
                  <c:v>Siegfried</c:v>
                </c:pt>
                <c:pt idx="7">
                  <c:v>Lonza</c:v>
                </c:pt>
                <c:pt idx="8">
                  <c:v>Indivior</c:v>
                </c:pt>
              </c:strCache>
            </c:strRef>
          </c:cat>
          <c:val>
            <c:numRef>
              <c:f>Hoja1!$B$2:$B$10</c:f>
              <c:numCache>
                <c:formatCode>0.0"x"</c:formatCode>
                <c:ptCount val="9"/>
                <c:pt idx="0">
                  <c:v>12.9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81</c:v>
                </c:pt>
                <c:pt idx="1">
                  <c:v>89</c:v>
                </c:pt>
                <c:pt idx="2">
                  <c:v>116</c:v>
                </c:pt>
                <c:pt idx="3">
                  <c:v>139</c:v>
                </c:pt>
                <c:pt idx="4">
                  <c:v>158</c:v>
                </c:pt>
                <c:pt idx="5">
                  <c:v>179</c:v>
                </c:pt>
                <c:pt idx="6">
                  <c:v>198</c:v>
                </c:pt>
                <c:pt idx="7">
                  <c:v>208</c:v>
                </c:pt>
                <c:pt idx="8">
                  <c:v>221</c:v>
                </c:pt>
                <c:pt idx="9">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1050</c:v>
                </c:pt>
                <c:pt idx="1">
                  <c:v>2131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61,40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40.16</c:v>
                </c:pt>
                <c:pt idx="1">
                  <c:v>61.35</c:v>
                </c:pt>
                <c:pt idx="2">
                  <c:v>78.25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61,40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(53,10 – 86,70)</c:v>
                </c:pt>
                <c:pt idx="1">
                  <c:v>Precio objetivo de los analistas (64,20 – 83,00)</c:v>
                </c:pt>
                <c:pt idx="2">
                  <c:v>Comparables: PER NTM (33,30 – 56,46)</c:v>
                </c:pt>
                <c:pt idx="3">
                  <c:v>Transacciones precedentes (EV/ventas) (63,63 – 88,12)</c:v>
                </c:pt>
                <c:pt idx="4">
                  <c:v>DCF (WACC y g ± 0,5) (52,88 – 73,50)</c:v>
                </c:pt>
                <c:pt idx="5">
                  <c:v>Escenarios (bajista – alcista) (40,16 – 78,25)</c:v>
                </c:pt>
                <c:pt idx="6">
                  <c:v>DCF con la prima implícita del mercado (4,2 %)</c:v>
                </c:pt>
                <c:pt idx="7">
                  <c:v>Precio actual (61,40)</c:v>
                </c:pt>
              </c:strCache>
            </c:strRef>
          </c:cat>
          <c:val>
            <c:numRef>
              <c:f>Hoja1!$B$2:$B$9</c:f>
              <c:numCache>
                <c:formatCode>#,##0.0</c:formatCode>
                <c:ptCount val="8"/>
                <c:pt idx="0">
                  <c:v>53.1</c:v>
                </c:pt>
                <c:pt idx="1">
                  <c:v>64.2</c:v>
                </c:pt>
                <c:pt idx="2">
                  <c:v>33.3</c:v>
                </c:pt>
                <c:pt idx="3">
                  <c:v>63.63</c:v>
                </c:pt>
                <c:pt idx="4">
                  <c:v>52.88</c:v>
                </c:pt>
                <c:pt idx="5">
                  <c:v>40.16</c:v>
                </c:pt>
                <c:pt idx="6">
                  <c:v>67.67</c:v>
                </c:pt>
                <c:pt idx="7">
                  <c:v>61.09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(53,10 – 86,70)</c:v>
                </c:pt>
                <c:pt idx="1">
                  <c:v>Precio objetivo de los analistas (64,20 – 83,00)</c:v>
                </c:pt>
                <c:pt idx="2">
                  <c:v>Comparables: PER NTM (33,30 – 56,46)</c:v>
                </c:pt>
                <c:pt idx="3">
                  <c:v>Transacciones precedentes (EV/ventas) (63,63 – 88,12)</c:v>
                </c:pt>
                <c:pt idx="4">
                  <c:v>DCF (WACC y g ± 0,5) (52,88 – 73,50)</c:v>
                </c:pt>
                <c:pt idx="5">
                  <c:v>Escenarios (bajista – alcista) (40,16 – 78,25)</c:v>
                </c:pt>
                <c:pt idx="6">
                  <c:v>DCF con la prima implícita del mercado (4,2 %)</c:v>
                </c:pt>
                <c:pt idx="7">
                  <c:v>Precio actual (61,40)</c:v>
                </c:pt>
              </c:strCache>
            </c:strRef>
          </c:cat>
          <c:val>
            <c:numRef>
              <c:f>Hoja1!$C$2:$C$9</c:f>
              <c:numCache>
                <c:formatCode>#,##0.0</c:formatCode>
                <c:ptCount val="8"/>
                <c:pt idx="0">
                  <c:v>33.6</c:v>
                </c:pt>
                <c:pt idx="1">
                  <c:v>18.799999999999997</c:v>
                </c:pt>
                <c:pt idx="2">
                  <c:v>23.160000000000004</c:v>
                </c:pt>
                <c:pt idx="3">
                  <c:v>24.490000000000002</c:v>
                </c:pt>
                <c:pt idx="4">
                  <c:v>20.619999999999997</c:v>
                </c:pt>
                <c:pt idx="5">
                  <c:v>38.09</c:v>
                </c:pt>
                <c:pt idx="6">
                  <c:v>18.049999999999997</c:v>
                </c:pt>
                <c:pt idx="7">
                  <c:v>0.6199999999999974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