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Betsson AB (publ)</w:t>
      </w:r>
    </w:p>
    <w:p>
      <w:pPr>
        <w:spacing w:after="60"/>
        <w:rPr>
          <w:color w:val="52514E"/>
          <w:sz w:val="22"/>
          <w:szCs w:val="22"/>
        </w:rPr>
      </w:pPr>
      <w:r>
        <w:rPr>
          <w:color w:val="52514E"/>
          <w:sz w:val="22"/>
          <w:szCs w:val="22"/>
        </w:rPr>
        <w:t xml:space="preserve">BETS B · Nasdaq Stockholm (Large Cap) · ISIN SE0022726485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8,56 EUR (95,65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13,76 EUR (153,66 SEK) · mercado 14,93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+68,4 % · mercado +82,0 %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Betsson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BETS B / SE0022726485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All-Share (OMXSPI)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(casinos y juego)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https://www.betssonab.com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 14,33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(31,2 M SEK; 332.833 acciones B/día, 3 meses)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13,76 EUR (153,66 SEK)</w:t>
      </w:r>
      <w:r>
        <w:t xml:space="preserve"> frente a 8,56 (95,65 SEK) · con la prima implícita del mercado: 14,93 (166,73 SEK) (+74,3 %) · Rentabilidad total esperada a 12 meses </w:t>
      </w:r>
      <w:r>
        <w:rPr>
          <w:b/>
          <w:bCs/>
        </w:rPr>
        <w:t xml:space="preserve">+68,4 %</w:t>
      </w:r>
      <w:r>
        <w:t xml:space="preserve"> · Alcista / bajista +109,1 % / -17,5 %</w:t>
      </w:r>
    </w:p>
    <w:p>
      <w:pPr>
        <w:spacing w:after="100"/>
      </w:pPr>
      <w:r>
        <w:rPr>
          <w:b/>
        </w:rPr>
        <w:t xml:space="preserve">La recomendación y por qué.</w:t>
      </w:r>
      <w:r>
        <w:t xml:space="preserve"> Comprar, con convicción media. Valor objetivo de 13,76 EUR (153,7 SEK) frente a un precio de 8,565 EUR (95,65 SEK, cierre del 9-oct): un 60,7 % de potencial y una rentabilidad total esperada del 68,4 % a 12 meses con el dividendo (7,7 %). El alcista gana un 109,1 % y el bajista pierde un 17,5 %: asimetría de 6,23 veces. La razón: al precio actual el mercado descuenta que los ingresos caigan un 9,1 % al año, cuando nuestra proyección los hace crecer un 4,5 %. El motor sugiere convicción alta; la bajamos a media porque Betsson ha cotizado a 4,9-5,7 veces el EBITDA durante cinco años, porque nuestras cifras son las del consenso (la diferencia está en la tasa de descuento: 17,6 % implícita frente a un WACC del 9,52 %) y porque el riesgo regulatorio es binario, como acaba de demostrar Brasil [71]. Subiría a alta si el 3T26 (22-oct) confirma un margen EBITDA del 20 % o más con el B2B estable; bajaría si las licencias B2B caen de 45 M.</w:t>
      </w:r>
    </w:p>
    <w:p>
      <w:pPr>
        <w:spacing w:after="100"/>
      </w:pPr>
      <w:r>
        <w:rPr>
          <w:b/>
        </w:rPr>
        <w:t xml:space="preserve">El negocio.</w:t>
      </w:r>
      <w:r>
        <w:t xml:space="preserve"> ROIC del 26,2 % frente a un WACC del 9,52 %, con caja neta. Está a mitad de una transición cara: el 76 % de los ingresos tiene ya licencia local (36 % en 2T23), lo que reduce el riesgo pero sube los impuestos al juego hasta el 19,6 % de los ingresos, y el gran cliente B2B ha llevado sus licencias de 90,2 M a 49,1 M por trimestre [1, 8]. El margen EBITDA ha bajado del 26,2 % de 2025 al 18,2 % del 1S26. La calidad del crecimiento sostiene la proyección </w:t>
      </w:r>
      <w:r>
        <w:rPr>
          <w:b/>
        </w:rPr>
        <w:t xml:space="preserve">solo en parte</w:t>
      </w:r>
      <w:r>
        <w:t xml:space="preserve">: el volumen está demostrado (clientes activos +32 % en el 2T26), el poder de precios no, y por eso proyectamos un 4,5 % anual y un margen del 21 % en 2030e, por debajo del consenso y del mercado.</w:t>
      </w:r>
    </w:p>
    <w:p>
      <w:pPr>
        <w:spacing w:after="100"/>
      </w:pPr>
      <w:r>
        <w:rPr>
          <w:b/>
        </w:rPr>
        <w:t xml:space="preserve">Finanzas.</w:t>
      </w:r>
      <w:r>
        <w:t xml:space="preserve"> Flujo libre de 142,7 M en 2025 y una conversión del 103 % del beneficio en 2021-2025. La caja de 310 M incluye 54,4 M de saldos de clientes, que tratamos como deuda; con ellos y la compra de Rhino (64,5 M, cerrada el 3-ago), la deuda neta ajustada es de 6 M [1, 39]. Altman, Piotroski y Beneish no dan alarma.</w:t>
      </w:r>
    </w:p>
    <w:p>
      <w:pPr>
        <w:spacing w:after="100"/>
      </w:pPr>
      <w:r>
        <w:rPr>
          <w:b/>
        </w:rPr>
        <w:t xml:space="preserve">Equipo y gobierno.</w:t>
      </w:r>
      <w:r>
        <w:t xml:space="preserve"> Las familias fundadoras controlan el 56 % de los votos con el 11 % del capital mediante las acciones A y designan la comisión de nombramientos [4]. Resta en una opa; los directivos solo compraron en 12 meses (≈1,9 M EUR, el CEO 85.000 acciones a 99 SEK en marzo) [25] y el voto en contra de la remuneración es mínimo.</w:t>
      </w:r>
    </w:p>
    <w:p>
      <w:pPr>
        <w:spacing w:after="100"/>
      </w:pPr>
      <w:r>
        <w:rPr>
          <w:b/>
        </w:rPr>
        <w:t xml:space="preserve">Valoración.</w:t>
      </w:r>
      <w:r>
        <w:t xml:space="preserve"> DCF 14,93 EUR, comparables 12,32 EUR (mediana de 6,4x el EBITDA a 12 meses frente a 4,7x de Betsson), escenarios 13,32 EUR; las transacciones (16,84 EUR) no pesan porque el control impide una opa sin acuerdo de las familias. Los tres analistas dicen «mantener» con objetivo de 95 SEK [36].</w:t>
      </w:r>
    </w:p>
    <w:p>
      <w:pPr>
        <w:spacing w:after="100"/>
      </w:pPr>
      <w:r>
        <w:rPr>
          <w:b/>
        </w:rPr>
        <w:t xml:space="preserve">Riesgos y catalizadores.</w:t>
      </w:r>
      <w:r>
        <w:t xml:space="preserve"> El mayor riesgo es perder en poco tiempo el 24 % de ingresos sin licencia local, el de más margen: es nuestro bajista (−17,5 %). Después, una nueva caída del cliente B2B y las subidas de impuestos: cada punto de margen resta un 6 % del valor. Catalizadores: el 3T26 el 22-oct, el segundo pago del dividendo en noviembre y la apertura de Finlandia en julio de 2027. El foro sueco es alcista mientras las posiciones cortas suben al 3,33 % [40].</w:t>
      </w:r>
    </w:p>
    <w:p>
      <w:pPr>
        <w:spacing w:after="100"/>
      </w:pPr>
      <w:r>
        <w:rPr>
          <w:b/>
        </w:rPr>
        <w:t xml:space="preserve">Qué cambiaría la decisión.</w:t>
      </w:r>
      <w:r>
        <w:t xml:space="preserve"> La compra se mantiene mientras el precio siga por debajo de 13,55 EUR; por encima de 15,77 EUR venderíamos. Pasaríamos a Mantener si las licencias B2B bajan de 45 M en un trimestre, si el margen EBITDA del 2S26 queda por debajo del 17 % o si Betsson anuncia la salida de un mercado de CEECA de más del 5 % de los ingresos.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13,76 EUR (153,66 SEK)</w:t>
      </w:r>
      <w:r>
        <w:t xml:space="preserve"> (+60,7 % sobre 8,56; rentabilidad total esperada +68,4 %) · con la prima implícita del mercado: 14,93 (166,73 SEK) (+74,3 %)</w:t>
      </w:r>
    </w:p>
    <w:p>
      <w:pPr>
        <w:spacing w:after="100"/>
      </w:pPr>
      <w:r>
        <w:t xml:space="preserve">Betsson es un operador de casino y apuestas online con 1.197 M EUR de ingresos en 2025, licencias locales en 23 países y un ROIC del 26,2 % [1, 4]. Convierte el beneficio en caja (103 % en 2021-2025), tiene caja neta y reparte la mitad del beneficio. En tres años ha pasado de facturar en su mayoría en mercados sin licencia local a tener el 76 % de los ingresos con licencia [8].</w:t>
      </w:r>
    </w:p>
    <w:p>
      <w:pPr>
        <w:spacing w:after="100"/>
      </w:pPr>
      <w:r>
        <w:t xml:space="preserve">El precio de 8,565 EUR descuenta lo contrario de lo que esperan los analistas: el DCF inverso pide que los ingresos caigan un 9,1 % al año o que el margen EBITDA baje al 14,3 %. Cotiza a 4,7 veces el EBITDA y 8,3 veces el beneficio a 12 meses, frente a medianas de 6,4x y 12,4x en el sector, con un 11,1 % de rentabilidad por flujo libre.</w:t>
      </w:r>
    </w:p>
    <w:p>
      <w:pPr>
        <w:spacing w:after="100"/>
      </w:pPr>
      <w:r>
        <w:t xml:space="preserve">El mercado acierta en que el margen de 2023-2025 no vuelve: los impuestos de los mercados regulados y la pérdida del cliente B2B lo han bajado del 26 % al 18-19 %. Se equivoca, a nuestro juicio, en tratar el negocio como si se fuera a reducir: el B2C crece un 15 % y los ingresos sin licencia local han bajado del 64 % al 24 % del total. Para invertir hay que creer que el B2B no vuelve a caer y que el 24 % sin licencia no desaparece de golpe.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 EUR (153,66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(SEK al tipo de 0,0895 EUR por SEK)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EUR (95,65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 / -17,5 %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frente a 9,5 %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 EUR (166,73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68,4 %, asimetría de 6,23, bajista del -17,5 % y el precio descuenta 13,6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13,55 (151,36 SEK)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13,55 y 15,77 (151,36 y 176,10 SEK)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15,77 (176,10 SEK)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Licencias B2B por debajo de 45 M en un trimestre: pasaríamos a Mantener.</w:t>
      </w:r>
    </w:p>
    <w:p>
      <w:pPr>
        <w:pStyle w:val="ListParagraph"/>
        <w:numPr>
          <w:ilvl w:val="0"/>
          <w:numId w:val="2"/>
        </w:numPr>
        <w:spacing w:after="60"/>
      </w:pPr>
      <w:r>
        <w:t xml:space="preserve">Margen EBITDA del 2S26 por debajo del 17 %: revisaríamos el caso base a la baja y pasaríamos a Mantener.</w:t>
      </w:r>
    </w:p>
    <w:p>
      <w:pPr>
        <w:pStyle w:val="ListParagraph"/>
        <w:numPr>
          <w:ilvl w:val="0"/>
          <w:numId w:val="2"/>
        </w:numPr>
        <w:spacing w:after="60"/>
      </w:pPr>
      <w:r>
        <w:t xml:space="preserve">Salida o bloqueo de un mercado de más del 5 % de los ingresos: bajaríamos el caso base al bajista.</w:t>
      </w:r>
    </w:p>
    <w:p>
      <w:pPr>
        <w:pStyle w:val="ListParagraph"/>
        <w:numPr>
          <w:ilvl w:val="0"/>
          <w:numId w:val="2"/>
        </w:numPr>
        <w:spacing w:after="60"/>
      </w:pPr>
      <w:r>
        <w:t xml:space="preserve">Una compra a más de 10 veces el EBITDA pagada con la caja: bajaríamos la convicción.</w:t>
      </w:r>
    </w:p>
    <w:p>
      <w:pPr>
        <w:pStyle w:val="ListParagraph"/>
        <w:numPr>
          <w:ilvl w:val="0"/>
          <w:numId w:val="2"/>
        </w:numPr>
        <w:spacing w:after="60"/>
      </w:pPr>
      <w:r>
        <w:t xml:space="preserve">Precio por encima de 15,77 EUR (≈176 SEK):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contracción: ingresos −9,1 % al año en 2027e-2032e o un margen EBITDA del 14,3 %, y el mismo múltiplo de 4,7-5,7 veces el EBITDA que ha tenido Betsson en cinco años. Los tres analistas que la siguen recomiendan mantener con un objetivo de 95 SEK, igual al precio [36].</w:t>
      </w:r>
    </w:p>
    <w:p>
      <w:pPr>
        <w:keepNext/>
        <w:spacing w:after="100"/>
      </w:pPr>
      <w:r>
        <w:rPr>
          <w:b/>
          <w:bCs/>
        </w:rPr>
        <w:t xml:space="preserve">Lo que creemos nosotros.</w:t>
      </w:r>
    </w:p>
    <w:p>
      <w:pPr>
        <w:spacing w:after="100"/>
      </w:pPr>
      <w:r>
        <w:t xml:space="preserve">Ingresos +4,5 % anual y margen del 19 % al 21 % en 2030e, un 3 % por debajo del consenso: no somos más optimistas que los analistas. La diferencia es que valoramos los flujos a un 9,52 % y el precio implica un 17,6 %.</w:t>
      </w:r>
    </w:p>
    <w:p>
      <w:pPr>
        <w:keepNext/>
        <w:spacing w:after="100"/>
      </w:pPr>
      <w:r>
        <w:rPr>
          <w:b/>
          <w:bCs/>
        </w:rPr>
        <w:t xml:space="preserve">Por qué podemos tener razón.</w:t>
      </w:r>
    </w:p>
    <w:p>
      <w:pPr>
        <w:spacing w:after="100"/>
      </w:pPr>
      <w:r>
        <w:t xml:space="preserve">El descuento se formó cuando la mitad o más de los ingresos venía de mercados sin licencia local; hoy es el 24 %. Si el 3T26 muestra el B2B estable y el margen recuperándose, el mercado tendrá que reconocer que el riesgo ha bajado, como lo hace ya con operadores regulados a 6-7 veces el EBITDA.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contracción</w:t>
      </w:r>
      <w:r>
        <w:t xml:space="preserve">: el DCF inverso pide una caída de ingresos del 9,1 % anual, frente a un B2C que crece un 15 %.</w:t>
      </w:r>
    </w:p>
    <w:p>
      <w:pPr>
        <w:pStyle w:val="ListParagraph"/>
        <w:numPr>
          <w:ilvl w:val="0"/>
          <w:numId w:val="2"/>
        </w:numPr>
        <w:spacing w:after="60"/>
      </w:pPr>
      <w:r>
        <w:rPr>
          <w:b/>
        </w:rPr>
        <w:t xml:space="preserve">Caja y dividendo</w:t>
      </w:r>
      <w:r>
        <w:t xml:space="preserve">: rentabilidad por flujo libre del 11,1 % y por dividendo del 7,7 %, con deuda neta ajustada de 6 M.</w:t>
      </w:r>
    </w:p>
    <w:p>
      <w:pPr>
        <w:pStyle w:val="ListParagraph"/>
        <w:numPr>
          <w:ilvl w:val="0"/>
          <w:numId w:val="2"/>
        </w:numPr>
        <w:spacing w:after="60"/>
      </w:pPr>
      <w:r>
        <w:rPr>
          <w:b/>
        </w:rPr>
        <w:t xml:space="preserve">Riesgo regulatorio menor</w:t>
      </w:r>
      <w:r>
        <w:t xml:space="preserve">: el 76 % de los ingresos ya tiene licencia local, frente al 36 % del 2T23 [8].</w:t>
      </w:r>
    </w:p>
    <w:p>
      <w:pPr>
        <w:pStyle w:val="ListParagraph"/>
        <w:numPr>
          <w:ilvl w:val="0"/>
          <w:numId w:val="2"/>
        </w:numPr>
        <w:spacing w:after="60"/>
      </w:pPr>
      <w:r>
        <w:rPr>
          <w:b/>
        </w:rPr>
        <w:t xml:space="preserve">ROIC del 26,2 %</w:t>
      </w:r>
      <w:r>
        <w:t xml:space="preserve">, el doble que Entain o Lottomatica, sin apenas inversión.</w:t>
      </w:r>
    </w:p>
    <w:p>
      <w:pPr>
        <w:pStyle w:val="ListParagraph"/>
        <w:numPr>
          <w:ilvl w:val="0"/>
          <w:numId w:val="2"/>
        </w:numPr>
        <w:spacing w:after="60"/>
      </w:pPr>
      <w:r>
        <w:rPr>
          <w:b/>
        </w:rPr>
        <w:t xml:space="preserve">Directivos compradores</w:t>
      </w:r>
      <w:r>
        <w:t xml:space="preserve">: solo compras en 12 meses (≈1,9 M EUR), el CEO a 99 SEK [25].</w:t>
      </w:r>
    </w:p>
    <w:p>
      <w:pPr>
        <w:pStyle w:val="Heading2"/>
      </w:pPr>
      <w:r>
        <w:t xml:space="preserve">En contra</w:t>
      </w:r>
    </w:p>
    <w:p>
      <w:pPr>
        <w:pStyle w:val="ListParagraph"/>
        <w:numPr>
          <w:ilvl w:val="0"/>
          <w:numId w:val="2"/>
        </w:numPr>
        <w:spacing w:after="60"/>
      </w:pPr>
      <w:r>
        <w:rPr>
          <w:b/>
        </w:rPr>
        <w:t xml:space="preserve">Margen en caída</w:t>
      </w:r>
      <w:r>
        <w:t xml:space="preserve">: del 26,2 % en 2025 al 18,2 % en el 1S26, por impuestos al juego del 19,6 % de los ingresos [1].</w:t>
      </w:r>
    </w:p>
    <w:p>
      <w:pPr>
        <w:pStyle w:val="ListParagraph"/>
        <w:numPr>
          <w:ilvl w:val="0"/>
          <w:numId w:val="2"/>
        </w:numPr>
        <w:spacing w:after="60"/>
      </w:pPr>
      <w:r>
        <w:rPr>
          <w:b/>
        </w:rPr>
        <w:t xml:space="preserve">Cliente B2B</w:t>
      </w:r>
      <w:r>
        <w:t xml:space="preserve">: las licencias B2B han caído de 90,2 M a 49,1 M por trimestre [1].</w:t>
      </w:r>
    </w:p>
    <w:p>
      <w:pPr>
        <w:pStyle w:val="ListParagraph"/>
        <w:numPr>
          <w:ilvl w:val="0"/>
          <w:numId w:val="2"/>
        </w:numPr>
        <w:spacing w:after="60"/>
      </w:pPr>
      <w:r>
        <w:rPr>
          <w:b/>
        </w:rPr>
        <w:t xml:space="preserve">24 % sin licencia local</w:t>
      </w:r>
      <w:r>
        <w:t xml:space="preserve">, el negocio de más margen y el más expuesto a cierres; Brasil prohibió el juego online el 25-sep-2026 [71].</w:t>
      </w:r>
    </w:p>
    <w:p>
      <w:pPr>
        <w:pStyle w:val="ListParagraph"/>
        <w:numPr>
          <w:ilvl w:val="0"/>
          <w:numId w:val="2"/>
        </w:numPr>
        <w:spacing w:after="60"/>
      </w:pPr>
      <w:r>
        <w:rPr>
          <w:b/>
        </w:rPr>
        <w:t xml:space="preserve">Múltiplo históricamente bajo</w:t>
      </w:r>
      <w:r>
        <w:t xml:space="preserve">: 4,9-5,7 veces el EBITDA en cinco años, sin señales de revalorización.</w:t>
      </w:r>
    </w:p>
    <w:p>
      <w:pPr>
        <w:pStyle w:val="ListParagraph"/>
        <w:numPr>
          <w:ilvl w:val="0"/>
          <w:numId w:val="2"/>
        </w:numPr>
        <w:spacing w:after="60"/>
      </w:pPr>
      <w:r>
        <w:rPr>
          <w:b/>
        </w:rPr>
        <w:t xml:space="preserve">Control familiar</w:t>
      </w:r>
      <w:r>
        <w:t xml:space="preserve">: las acciones A tienen el 56 % de los votos con el 11 % del capital [4].</w:t>
      </w:r>
    </w:p>
    <w:p>
      <w:pPr>
        <w:pStyle w:val="Heading2"/>
      </w:pPr>
      <w:r>
        <w:t xml:space="preserve">Qué tiene que pasar para que la tesis funcione</w:t>
      </w:r>
    </w:p>
    <w:p>
      <w:pPr>
        <w:spacing w:after="100"/>
      </w:pPr>
      <w:r>
        <w:t xml:space="preserve">La tesis depende de que el B2B se quede en unos 50 M por trimestre y de que el margen EBITDA vuelva al 20 % en el 2S26 con Rhino y el Mundial. La señal de que no se cumple: licencias B2B por debajo de 45 M o ingresos de CEECA cayendo otra vez a doble dígito, que indicarían que el negocio sin licencia local se está cerrando antes de lo previsto.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B2B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dependencia del gran cliente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caso pide 20,4 % en el 2S26.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con licencia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Salto de más de 5 puntos sin crecimiento del total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Indicaría cierre de mercados no regulados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al juego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resta casi un punto de margen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que el mercado espera un mal trimestre [40].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 / 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Betsson nace en 1963 como AB Restaurang Rouletter, de Bill Lindwall y Rolf Lundström, que colocaba máquinas de juego en restaurantes suecos; en 1972 registra la marca Cherry [9]. La prohibición de las tragaperras en Suecia en 1978 obliga a reinventar el negocio, y Cherry crece después con compras de salones de juego físico [9]. El giro al online empieza en 1998 (35 % de Net Entertainment y Pontus Lindwall como consejero delegado) y en 2003-2005 (compra de Betsson.com) [9]. En 2006-2007 el grupo se parte: reparte a sus accionistas el negocio físico (Cherryföretagen) y el de software (Net Entertainment) y se queda como operador online, Betsson AB [9]. Desde entonces crece a base de compras (Betsafe, NordicBet, RaceBets, KickerTech, Sporting Solutions, Rhino) y, desde 2019, de licencias locales, sobre todo en Latinoamérica, que ya es su primera región [1,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Lindwall y Rolf Lundström fundan AB Restaurang Rouletter, que coloca ruletas y máquinas de juego en restaurantes del sur y centro de Suecia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prohíbe las tragaperras y la base del negocio de Cherry desaparece en un mes; reorganización y, en 1984, compras de salones de juego financiadas con ampliación de capital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Cherry compra el 35 % de Net Entertainment y Pontus Lindwall pasa a ser consejero delegado; en 2000 la acción B cotiza en la bolsa de Estocolmo (OM)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Cherry entra y luego toma el 100 % de Betsson.com, una bolsa de apuestas británica, y anuncia la división del grupo en tres sociedades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el negocio físico se reparte como Cherryföretagen AB (2006) y el de software como Net Entertainment (2007); queda Betsson AB como operador online puro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Betsafe (2011) y de Nordic Gaming Group, con NordicBet y Triobet y su casa de apuestas propia (2012), por unos 65 M EUR en efectivo y acciones [9,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Nasdaq Stockholm Large Cap (2015); compra Europe-bet en Georgia (2015), RaceBets y TonyBet (2016) y NetPlay en el Reino Unido y StarCasino en España (2017)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mercado sueco regulado con licencia local desde el 1-ene-2019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en Latinoamérica con Colbet (Colombia, 2020) e INKAbet (Perú, 2021); compra el negocio B2C de Gaming Innovation Group (Rizk, Guts, Kaboo)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la mayoría de KickerTech, proveedor B2B de casa de apuestas (2022), compra betFIRST en Bélgica (2023) y Sporting Solutions, el negocio de fijación de cuotas y gestión de riesgo de FDJ (2024)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locales en Brasil y Paraguay; compra BetClic Italia y el resto de Bukmacherska (Polonia); ingresos récord de 1.197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la compra del negocio B2C canadiense de Rhino Entertainment por ≈ 64,5 M EUR; Latinoamérica pasa a ser la primera región (36 % de los ingresos del 2T26) y los mercados con licencia local llegan al 76 % de los ingresos [1,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Betsson es un operador de juego online con sede operativa en Malta (≈ 2.900 empleados, la mitad allí) que ofrece casino (tragaperras de estudios externos y casino en vivo) y apuestas deportivas con una casa de apuestas propia [4]. El casino aportó el 72,5 % de los ingresos de 2025, las apuestas el 27,0 % y el póquer y otros el 0,5 % [4]. Vende al jugador final (B2C) con la marca global Betsson y marcas locales como Betsafe, NordicBet, StarCasino, Rizk o RaceBets, y vende su plataforma y su casa de apuestas a otros operadores (B2B), que fue el 26 % de los ingresos en 2025 [4]. Casi el 90 % de los ingresos pasa por su plataforma propia de gestión de cuentas (Techsson) [4]. Tiene licencias locales en 23 países y opera en otros con la licencia de Malta (mercados «point of supply») [1]. Por regiones, en el 2T26: Latinoamérica 36 %, CEECA 32 %, Europa occidental 21 %, nórdicos 9 % y resto 2 % [1].</w:t>
      </w:r>
    </w:p>
    <w:p>
      <w:pPr>
        <w:pStyle w:val="Heading2"/>
      </w:pPr>
      <w:r>
        <w:t xml:space="preserve">Cómo gana dinero</w:t>
      </w:r>
    </w:p>
    <w:p>
      <w:pPr>
        <w:spacing w:after="100"/>
      </w:pPr>
      <w:r>
        <w:t xml:space="preserve">En el casino gana el margen estadístico de cada juego (la ventaja de la casa) sobre lo apostado; en las apuestas, el margen tras premios y bonos, que fue del 10,5 % en el 2T26 y del 8,9 % de media en ocho trimestres, y que oscila con los resultados deportivos [1, 4]. En B2B cobra una licencia por el sistema, ligada a la actividad del operador cliente [1, 4]. Los ingresos son recurrentes en la práctica (jugadores activos que vuelven), pero sin contrato. El margen depende sobre todo de la fiscalidad: con más ingresos en mercados regulados, los impuestos al juego subieron de 141,2 a 186,0 M EUR en 2025 (+32 %) y el margen bruto bajó del 65 % al 63 % [4]; en el 2T26 bajó al 57,2 % [1]. Otros costes clave: licencias de juegos (102,6 M), pasarelas de pago (106,8 M), afiliados (46,1 M) y marketing, un 16 % de los ingresos B2C [1, 4]. Estacionalidad ligada al calendario deportivo (Mundial en el 2T-3T26)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CEECA (Europa Central y del Este y Asia 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Occidental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Nórdicos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CEECA (Europa Central y del Este y Asia 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Occidental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Nórdicos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B2C la base está muy atomizada: 1,83 millones de clientes activos en el 2T26 (+31,9 %) [1]. La concentración está en B2B: el 26 % de los ingresos de 2025 venía de licencias a otros operadores, y la empresa reconoce que uno de sus mayores y más antiguos clientes es Realm Entertainment, sin dar su peso [4]. La caída de la actividad de «uno de los grandes clientes B2B» bajó los ingresos B2B de 75,6 a 49,1 M EUR en el 2T26 (del 25 % al 16 % del total) [1], lo que muestra la dependencia. No hay contratos de permanencia con el jugador y el poder de precios es limitado: la empresa no repercute los impuestos al jugador (las cuotas y los porcentajes de retorno los fija la competencia), y el aumento de la fiscalidad se ha comido el margen bruto (65 % en 2024, 63 % en 2025, 57,2 % en el 2T26) [1, 4]. El 93,1 % de los clientes activos tenía alguna herramienta de juego responsable activada en el 2T26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activos B2C (media anual,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saltó a 1.825 miles (+31,9 % interanual) con el Mundial de fútbol y Latinoamérica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Depósitos de clientes, todas las plataformas B2C+B2B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1.382,5 M (−7,1 % interanual), por la caída del gran cliente B2B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apostado en casino (M EUR, suma de trimestres)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8.264 M (−8,7 %); incluye volumen de clientes B2B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apostado en deportes (M EUR, suma de trimestres)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1.292 M (−12,0 %)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apuestas deportivas tras apuestas gratuitas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ocho trimestres: 8,9 %. Rango 2024-2026: 6,6 %-10,5 %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mercados con licencia local (%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234,2 M en el 2T26 (+17 %); más licencia local implica más impuestos al juego y menor margen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B2B (M EUR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 66,7; 4T24 82,4; 1T25 90,2; 2T25 75,6; 3T25 76,9; 4T25 70,7; 1T26 51,2; 2T26 49,1 [1,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 al juego (betting duties) sobre ingresos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186,0 M en 2025 frente a 141,2 M; 60,8 M en el 2T26 (19,6 % de los ingresos)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juego online de Europa y Latinoamérica</w:t>
      </w:r>
      <w:r>
        <w:t xml:space="preserve"> (casino y apuestas deportivas), medido como ganancia bruta de juego (apuestas menos premios, GGR), que es donde Betsson obtiene casi todos sus ingresos: en el 2T26, el 36 % en Latinoamérica, el 32 % en CEECA, el 21 % en Europa occidental, el 9 % en los nórdicos y el 2 % en el resto [1]. Usamos la serie europea de la EGBA, elaborada con datos de H2 Gambling Capital, como base [11], y la contrastamos con H2GC a escala mundial, que cita la propia Betsson (mercado mundial de juego de 559.000 M EUR en 2025, un 34 % online) [4]. Para Latinoamérica no hay serie regional en abierto: usamos el dato oficial de Brasil, primer mercado regulado de la región (37.000 M BRL de GGR en 2025, según la Secretaría de Premios y Apuestas) [12]. Las dos fuentes no son comparables entre sí en perímetro ni en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47.900 M EUR de GGR del juego online europeo en 2024 (casino online 21.500 M y apuestas deportivas 13.700 M), con 66.800 M EUR previstos en 2029 [11]. A escala mundial, H2GC estima un mercado de juego de 559.000 M EUR en 2025, del que el online es el 34 % (≈ 190.000 M EUR, estimación propia: 559.000 × 34 %) [4]. Brasil, recién regulado, generó 37.000 M BRL de GGR en 2025 (≈ 5.750 M EUR al cambio del BCE de 31-dic-2025, estimación propia)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GGR del juego online en Europa, EGBA/H2GC; 2023 y 2025e-2028e son estimaciones propi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juego físico al online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pasó del 37 % al 39 % del juego europeo entre 2023 y 2024 y la EGBA prevé el 45 % en 2029 [11]; a escala mundial ya es el 34 % [4]. En Suecia, Finlandia y Dinamarca supera el 68 %, frente al 14-23 % de España, Italia o Alemania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local de nuevos mercados en Latinoamérica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se reguló el 1-ene-2025 y ya genera 37.000 M BRL de GGR [4, 12]; Betsson obtuvo licencia en Brasil y Paraguay en 2025 y en la provincia argentina de Santa Fe en 2026 [1, 4]. Latinoamérica creció un 32,3 % en el 2T26 y es la primera región del grupo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impuestos al juego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del 21 % al 40 % en casino online desde abr-2026; Brasil: del 12 % al 15 % del GGR de forma gradual desde 2026; Letonia: del 10 % al 15 %; Colombia: IVA del 19 % sobre depósitos en 2025 y sobre GGR en 2026; Perú: 1 % sobre lo apostado [4]. Los impuestos al juego de Betsson pasaron del 12,8 % al 15,5 % de sus ingresos entre 2024 y 2025 (estimación propia con la nota 5)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 de mercados no regulados (point of supply)</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mercados con licencia local de Betsson pasaron del 36 % en el 2T23 al 76 % en el 2T26 [8]: más estabilidad legal, pero más impuestos y menos margen (margen EBIT del 22,7 % al 13,6 % entre el 2T25 y el 2T26)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acontecimientos deportivos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Mundial de fútbol llevó a Betsson a ingresos récord en el 2T26 (310,2 M EUR) y el ingreso medio diario del 3T26 hasta el 13 de julio fue un 13,7 % superior al del 3T25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publicidad y al juego (protección del jugador)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impone límites de depósito comunes a todos los operadores (700 EUR al día) desde el 25-mar-2027; Suecia prohíbe el crédito para jugar desde abr-2026; Dinamarca propone prohibir la publicidad durante los partidos [1,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operadores con licencia en cada país (Italia dio 52 licencias a 46 operadores en 2025) [4]; los grandes (Flutter, Entain, FDJ United) compiten con escala y marketing, y el producto de casino es casi idéntico porque procede de los mismos estudios externos [4, 14,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jugador cambia de operador sin coste y busca bonos; en B2B, un solo cliente hizo caer los ingresos B2B de 75,6 a 49,1 M EUR en un trimestre [1]. Pero la base B2C está atomizada (1,8 millones de clientes activos)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estudios de juegos cobran licencias (102,6 M EUR en 2025, el 8,6 % de los ingresos) y las pasarelas de pago 106,8 M [4]; el Estado actúa como el proveedor con más poder vía impuestos (186,0 M)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licencia local exige cumplimiento, garantías y tecnología certificada (España sube las garantías exigidas) [1], pero en Finlandia hubo unas 40 solicitudes para el mercado que se abre en 2027 [1]: la entrada en mercados nuevos es abierta.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sin licencia es el principal sustituto cuando suben impuestos y restricciones: Betsson afirma que los jugadores se van a operadores sin licencia y baja la canalización [4]. También compiten loterías y juego físico, que sigue siendo el 61 % del juego europeo [11].</w:t>
            </w:r>
          </w:p>
        </w:tc>
      </w:tr>
    </w:tbl>
    <w:p>
      <w:pPr>
        <w:spacing w:after="160" w:before="0"/>
      </w:pPr>
    </w:p>
    <w:p>
      <w:pPr>
        <w:pStyle w:val="Heading2"/>
      </w:pPr>
      <w:r>
        <w:t xml:space="preserve">Ciclo</w:t>
      </w:r>
    </w:p>
    <w:p>
      <w:pPr>
        <w:spacing w:after="100"/>
      </w:pPr>
      <w:r>
        <w:t xml:space="preserve">El online europeo crece en torno al 7 % anual según la EGBA [11] y el mundial un 13 % en 2025 y un 18 % anual en cinco años según H2GC [4]. La demanda es poco sensible a la economía: el crecimiento medio del 18 % anual de 2020-2025 incluye la pandemia y la inflación de 2022 [4], y Betsson marcó ingresos récord en 2025 y en el 2T26 [1, 4]. No hemos verificado la serie anual de 2020 y 2022 con una fuente primaria. Lo que marca el ciclo es la regulación: cada mercado que se regula da primero crecimiento y después más impuestos (Países Bajos, Reino Unido, Brasil) [4]. No hay datos útiles de 2008-09, cuando el sector era pequeño.</w:t>
      </w:r>
    </w:p>
    <w:p>
      <w:pPr>
        <w:pStyle w:val="Heading2"/>
      </w:pPr>
      <w:r>
        <w:t xml:space="preserve">Regulación</w:t>
      </w:r>
    </w:p>
    <w:p>
      <w:pPr>
        <w:spacing w:after="100"/>
      </w:pPr>
      <w:r>
        <w:t xml:space="preserve">Betsson tiene licencias locales en 23 países (Malta 2004, Italia 2011, Suecia 2019, Argentina y Colombia 2020, Ontario y Francia 2023, Perú 2024, Brasil, Paraguay y Polonia 2025) y opera en otros con la licencia de Malta (mercados «point of supply») [1, 4]. Los ingresos con licencia local subieron del 45,9 % en el 4T23 al 67,7 % en el 4T25 y al 76 % en el 2T26 [1, 3, 6]. Cambios en curso: Finlandia abre su monopolio el 1-jul-2027 (Betsson ha pedido licencia); Brasil sube el impuesto del 12 % al 15 % del GGR desde 2026; Colombia gravó con un 19 % de IVA los depósitos en 2025 y el GGR en 2026; Perú cobra un 1 % sobre lo apostado; el Reino Unido sube al 40 % el impuesto al casino online (abr-2026) y al 25 % el de apuestas (abr-2027); Grecia sube la retención sobre premios [1, 4]. Betsson sale del Reino Unido (Zecure) e Irlanda en 2026 [1]. Hay demandas de jugadores contra operadores malteses por pérdidas en Austria, Alemania y Países Bajos [4].</w:t>
      </w:r>
    </w:p>
    <w:p>
      <w:pPr>
        <w:pStyle w:val="Heading2"/>
      </w:pPr>
      <w:r>
        <w:t xml:space="preserve">Tendencias y disrupción</w:t>
      </w:r>
    </w:p>
    <w:p>
      <w:pPr>
        <w:spacing w:after="100"/>
      </w:pPr>
      <w:r>
        <w:t xml:space="preserve">Tres tendencias. Primera, la </w:t>
      </w:r>
      <w:r>
        <w:rPr>
          <w:b/>
        </w:rPr>
        <w:t xml:space="preserve">regulación local sustituye al modelo maltés</w:t>
      </w:r>
      <w:r>
        <w:t xml:space="preserve">: Betsson ya saca el 76 % de los ingresos de mercados con licencia propia y dice que dejará el B2C donde no se vaya a regular [1, 8]; gana estabilidad, pero pierde la ventaja fiscal que le daba márgenes del 22-23 %. Segunda, el </w:t>
      </w:r>
      <w:r>
        <w:rPr>
          <w:b/>
        </w:rPr>
        <w:t xml:space="preserve">crecimiento se desplaza a Latinoamérica</w:t>
      </w:r>
      <w:r>
        <w:t xml:space="preserve">, donde Betsson llegó pronto (Colombia y Argentina en 2020, Perú en 2024) y ya es su primera región [1, 4]. Tercera, la </w:t>
      </w:r>
      <w:r>
        <w:rPr>
          <w:b/>
        </w:rPr>
        <w:t xml:space="preserve">tecnología propia</w:t>
      </w:r>
      <w:r>
        <w:t xml:space="preserve">: plataforma y casa de apuestas propias, compras de Sporting Solutions (cuotas y riesgo) y KickerTech, y uso de IA en marketing y atención [1, 9]. Le juega en contra la concentración de los grandes (FDJ compró Kindred en 2024)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Operador mediano: ≈ 1,6 % del juego online europeo (estimación propia: ≈ 70 % de los 1.197 M EUR de ingresos de 2025 fuera de Latinoamérica y resto del mundo, sobre ≈ 51.200 M EUR de GGR europeo estimado para 2025) [4, 11]. Es un líder regional en los países bálticos, Georgia, Croacia y en Argentina, Perú y Colombia, donde marcó ingresos récord en el 2T26, y tiene más margen que los grandes porque aún factura parte en mercados sin impuesto local [1, 4]. La cuota exacta por país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Flutter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operador mundial (FanDuel, Paddy Power, Sisal, PokerStars). Ingresos de 16.383 M USD y resultado de explotación de 36 M USD en 2025, según los datos XBRL del 10-K, convertidos a 1,175 USD/EUR [13, 14]. Escala muy superior, pero su margen contable está deprimido.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Entain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Ladbrokes, Coral, bwin, Sportingbet y 50 % de BetMGM. Ingresos de 5.259,4 M GBP y pérdida de explotación de 194,0 M GBP en 2025 por deterioros ligados al impuesto británico del 40 %; el resultado de explotación subyacente fue de 861,2 M GBP (16,4 %) [13, 15]. Muestra el efecto de los impuestos sobre un operador concentrado en mercados regulados.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FDJ United (con Kindred)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FDJU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Lotería francesa que compró Kindred (Unibet, 32Red) en oct-2024. Ingresos de 3.677,5 M EUR y resultado de explotación de 366,5 M (resultado recurrente de 565,6 M, 15,4 %) en 2025 [16]. Rival directo de Betsson en los nórdicos y Europa occidental.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Kambi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Malta / 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KAMBI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B2B de casa de apuestas, competidor del negocio B2B de Betsson. Ingresos de 162,0 M EUR (−8,2 %) y resultado de explotación de 8,1 M EUR (5,0 %)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Codere Online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 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Latinoamérica (México, Colombia) y España. Ingresos de 210,4 M EUR y resultado de explotación de 5,7 M EUR en 2025, según su 20-F [18]. Mucho menos rentable que Betsson en la misma región.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algo de efecto red en las apuestas (más volumen da mejores cuotas y gestión de riesgo, reforzada con la compra de Sporting Solutions) [3], pero el jugador no gana nada porque otros jueguen en el mismo operador.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jugador cambia de operador sin coste; en B2B la integración de plataforma crea algo de permanencia, pero un solo cliente redujo los ingresos B2B de 75,6 a 49,1 M EUR en un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locales en 23-24 países, algunas difíciles de replicar a corto plazo, y marcas locales con historia (NordicBet, Betsafe, StarCasino), apoyadas por patrocinios (Inter, Boca Juniors, Club Brugge)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y casa de apuestas propias por las que pasa ≈ 90 % de los ingresos, con base en Malta [2]. Margen EBIT del 21,1 % en 2025 frente al 10,0 % de FDJ United, el 5,0 % de Kambi y el 2,7 % de Codere Online [2, 13-15]; pero parte de la diferencia se debe a la menor fiscalidad de los mercados sin licencia local, que se está cerrando.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mercados pequeños (bálticos, Georgia, Croacia) la escala local disuade a nuevos entrantes [1], pero los grandes (Flutter, 13.943 M EUR de ingresos) le multiplican por más de diez el tamaño [11].</w:t>
            </w:r>
          </w:p>
        </w:tc>
      </w:tr>
    </w:tbl>
    <w:p>
      <w:pPr>
        <w:spacing w:after="160" w:before="0"/>
      </w:pPr>
    </w:p>
    <w:p>
      <w:pPr>
        <w:pStyle w:val="Heading2"/>
      </w:pPr>
      <w:r>
        <w:t xml:space="preserve">Amenazas</w:t>
      </w:r>
    </w:p>
    <w:p>
      <w:pPr>
        <w:spacing w:after="100"/>
      </w:pPr>
      <w:r>
        <w:t xml:space="preserve">La principal es la </w:t>
      </w:r>
      <w:r>
        <w:rPr>
          <w:b/>
        </w:rPr>
        <w:t xml:space="preserve">fiscal y regulatoria</w:t>
      </w:r>
      <w:r>
        <w:t xml:space="preserve">: el paso a mercados con licencia (76 % de los ingresos) ya ha bajado el margen EBIT del 22,7 % al 13,6 % interanual en el 2T26 [1], y siguen subidas en Brasil, Colombia, Grecia o el Reino Unido [1, 4]; probabilidad alta. Segunda, el </w:t>
      </w:r>
      <w:r>
        <w:rPr>
          <w:b/>
        </w:rPr>
        <w:t xml:space="preserve">cierre de los mercados sin licencia</w:t>
      </w:r>
      <w:r>
        <w:t xml:space="preserve"> donde aún factura un 24 %: la empresa dice que dejará el B2C donde no se vaya a regular [1]; probabilidad media. Tercera, la </w:t>
      </w:r>
      <w:r>
        <w:rPr>
          <w:b/>
        </w:rPr>
        <w:t xml:space="preserve">dependencia de un cliente B2B</w:t>
      </w:r>
      <w:r>
        <w:t xml:space="preserve"> (Realm Entertainment, uno de los mayores) [4]; ya se materializó en 2025-26. Cuarta, la competencia de grandes con más presupuesto de marketing en Latinoamérica y la entrada de rivales en Finlandia en 2027 [1];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16,1 %</w:t>
      </w:r>
      <w:r>
        <w:t xml:space="preserve">, EBITDA </w:t>
      </w:r>
      <w:r>
        <w:rPr>
          <w:b/>
          <w:bCs/>
        </w:rPr>
        <w:t xml:space="preserve">19,5 %</w:t>
      </w:r>
      <w:r>
        <w:t xml:space="preserve">, BPA </w:t>
      </w:r>
      <w:r>
        <w:rPr>
          <w:b/>
          <w:bCs/>
        </w:rPr>
        <w:t xml:space="preserve">13,0 %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casi se duplicaron entre 2021 (657,7 M) y 2025 (1.197,0 M), con un crecimiento orgánico muy superior al publicado por la depreciación de las monedas latinoamericanas (sobre todo el peso argentino): en el 3T24 el crecimiento orgánico fue del 51 % frente a un 18 % publicado, con 78,6 M de efecto divisa en un solo trimestre [1]. El margen EBITDA subió de 23,4 % (2021) a 28,6 % (2024) por apalancamiento operativo y el auge de B2B, y desde entonces se ha hundido: 26,2 % en 2025, 22,8 % en el 4T25, 17,5 % en el 1T26 y 18,8 % en el 2T26. Las causas que da la empresa son tres: más impuestos al juego al pasar a licencias locales (betting duties del 12,8 % al 15,5 % de los ingresos entre 2024 y 2025, y 19,6 % en el 2T26), la caída de las licencias B2B de alto margen (−35 % interanual en el 2T26) y 10-15 M trimestrales de pérdidas de explotación en mercados B2C aún no rentables [1, 2, 4]. El margen bruto pasó de 66,6 % (2023) a 57,2 % (2T26). El tipo impositivo efectivo saltó del 7-8 % (2021-2022) al 22-23 % (2024-2025) por el impuesto mínimo global (Pilar 2, desde 2024) y por filiales en países de impuesto alto como Bélgica [4].</w:t>
      </w:r>
    </w:p>
    <w:p>
      <w:pPr>
        <w:pStyle w:val="Heading2"/>
      </w:pPr>
      <w:r>
        <w:t xml:space="preserve">Ajustes y partidas no recurrentes</w:t>
      </w:r>
    </w:p>
    <w:p>
      <w:pPr>
        <w:spacing w:after="100"/>
      </w:pPr>
      <w:r>
        <w:t xml:space="preserve">Se usan cifras publicadas. Betsson no publica EBITDA ajustado ni partidas no recurrentes separadas en la cuenta. Partidas puntuales: en 2025, depreciación de 5,2 M de participaciones en asociadas (en resultado financiero, junto con −1,5 M de resultado de asociadas; −8,1 M en 2024) y recompra anticipada de bonos al 102,30 % (2025) y al 103,25 % (2024) dentro de gastos financieros [4]. En 2023, 2,1 M de gastos de la compra de betFIRST en explotación [6]. Ninguna supera el 2 % del EBITDA: no se ajustan. El dividendo de 2024 (0,76 EUR) incluye 0,10 EUR extraordinarios [4]. Las distribuciones de 2021-2023 se hicieron por amortización automática de acciones (redemption), equivalente a dividendo.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Mensajes de la dirección en los informes y presentaciones del 1T26 (23-abr-2026) y del 2T26 (17-jul-2026); no se han encontrado transcripciones públicas de las conferencias, así que no se recogen preguntas de analistas. En el 1T26 el consejero delegado, Pontus Lindwall, dijo que el B2C crecía un 15 % pero que las licencias B2B caían de 90 a 51 M por «un cliente» cuya actividad se había estabilizado desde diciembre; cuantificó por primera vez que los mercados B2C aún no rentables restan unos 10-15 M de EBIT por trimestre, y presentó la compra de Rhino Entertainment (Canadá, 64,5 M, EBITDA pro forma 2025 de 13,7 M) [2]. En el 2T26 el tono mejoró: ingresos récord de 310 M con el Mundial, Latinoamérica ya es la primera región (+32 %), B2C 261 M (+14 %) y margen de explotación por encima del 1T26; el B2B sigue «en un nivel más bajo» y la dirección solo promete «trabajar duro» para volver a crecer, sin plazo [1, 8]. Cambio de discurso: la caída de margen se atribuye ahora sobre todo a la mayor proporción de ingresos con licencia local (76 %) y sus impuestos. El informe del 2T26 no dice nada del cierre de la compra de Rhino, anunciada como prevista para el 2T o 3T26. Lo que no se cuantifica: margen B2B, pérdidas por mercado y efecto del aumento del impuesto en Reino Unido y Colombia [1,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betFIRST (Bélgica), comprada en julio de 2023 por 117 M EUR (sin caja ni deuda): consolida solo medio año en la cuenta de 2023 y entera en el balance.; 2024: Sporting Solutions (B2B de apuestas deportivas), comprada en el 4T24: entra en el balance de 2024 y aporta ingresos en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Betsson es de caja neta desde siempre: deuda neta publicada de −68 M (1T24) a −220 M (3T25) y −128 M a jun-26, de −0,4 a −0,7 veces el EBITDA [1, 3]. La caja contable (310-340 M) sobrestima la disponible: unos 50-55 M son fondos de jugadores. El circulante es negativo en caja: los impuestos al juego, cuentas de jugadores y pasivos fiscales se pagan después de cobrar, y los proveedores de pago liquidan los depósitos en días. En 2025 el flujo operativo sufrió 45,9 M de consumo de circulante por menores pasivos fiscales (96,9 a 58,7 M) y de socios. Los bonos se refinancian antes de vencer (2022, 2024 y 2025), con diferenciales a la baja (4,6 % → 3,25 % → 2,75 % sobre EURIBOR) [4]. El balance es sobre todo fondo de comercio y marcas (659,6 M de 1.328 M de activo en 2025), sin deterioros del fondo de comercio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785</w:t>
      </w:r>
      <w:r>
        <w:t xml:space="preserve">, conversión </w:t>
      </w:r>
      <w:r>
        <w:rPr>
          <w:b/>
          <w:bCs/>
        </w:rPr>
        <w:t xml:space="preserve">103 %</w:t>
      </w:r>
      <w:r>
        <w:t xml:space="preserve"> del beneficio neto; adquisiciones 225, dividendos 355, recompras 13.</w:t>
      </w:r>
    </w:p>
    <w:p>
      <w:pPr>
        <w:spacing w:after="100"/>
      </w:pPr>
      <w:r>
        <w:t xml:space="preserve">La conversión de caja es alta: flujo operativo entre 1,0 y 1,2 veces el beneficio neto en 2021-2024 (272,9 M frente a 183,7 M en 2024). 2025 fue peor (215,6 M, 69 % del EBITDA) por 50,4 M de impuestos pagados (26,9 M en 2024: el efecto de caja del Pilar 2 llega con un año de retraso) y 45,9 M de consumo de circulante [4]. El capex es casi todo desarrollo propio de plataforma (casino, apuestas, pagos): 60,8 M en intangibles y 3,8 M en material en 2025; los trabajos capitalizados fueron 41,6 M (3,5 % de los ingresos) frente a 24,8 M en 2021, y en 2026 se capitalizan unos 12 M por trimestre frente a una amortización de desarrollo capitalizado de unos 10 M, de modo que el capex supera a la amortización [1, 4]. Betsson no separa mantenimiento y crecimiento; estimación propia: la amortización de plataformas (42,8 M en 2025) aproxima el capex de mantenimiento. En el 1S26 el flujo operativo fue de 118,5 M (127,5 M) con 38,1 M de liberación de circulante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Öhrlings PricewaterhouseCoopers 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es auditor de Betsson desde el 12 de mayo de 2008 (18 ejercicios seguidos), con un socio firmante desde 2022 [4]. Los informes trimestrales no se revisan por el auditor (el de cierre de 2025 lo dice expresamente) [3]. Puntos contables: (a) capitalización de desarrollo creciente, de 24,8 M (2021) a 41,6 M (2025) y unos 12 M por trimestre en 2026, por encima de su amortización (unos 32,8 M en 2025): la capitalización entera queda fuera del EBITDA (3,5 puntos de margen en 2025) y el exceso sobre la amortización eleva el EBIT en unos 0,7 puntos [1, 4]; (b) 659,6 M de fondo de comercio y marcas de vida indefinida en una sola unidad generadora de efectivo, sin deterioro a pesar de la caída de margen; con una sola UGE el exceso de unas filiales tapa el defecto de otras [4]; (c) no hay referencia a la NIC 29 (hiperinflación) en las notas, aunque Argentina es un mercado relevante: la depreciación del peso aparece como efecto divisa (hasta 78,6 M de ingresos en un trimestre de 2024) [1, 4]; (d) los ingresos B2C son netos de premios, bonos y aportaciones a jackpots, y los B2B son licencias facturadas; (e) pagos en acciones pequeños (3,6 M en 2025, 2 % del beneficio). Los tres indicadores no dan alarma: Altman Z de 4,18 (zona segura, con caja neta), Piotroski F de 6 sobre 9 (pierde puntos por la caída del margen y de la rentabilidad sobre activos, no por deuda ni dilución) y Beneish M de −2,72, lejos del umbral de manipulación (−1,78). El riesgo contable relevante no es de cifras infladas sino de concentración: un cliente B2B y una sola UGE para todo el fondo de comercio.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B2B y caída de un gran cliente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B2B de 90,2 M (1T25) a 49,1 M (2T26); el cliente no se nombra en el trimestral, el informe anual cita a Realm Entertainment como uno de los mayores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y marcas en una única UGE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659,6 M (50 % del activo) sin deterioro; el test agregado puede ocultar filiales con pérdidas (minoritarios negativos de −14,2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 M capitalizados en 2025 frente a unos 32,8 M amortizados (suma de los trimestres) de desarrollo propio; en 2026, 12,5 M frente a 9,9 M en el 2T26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NIC 29 con exposición a Argentina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menciona hiperinflación; el efecto de la devaluación va por diferencias de conversión (−18,3 M en otro resultado global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Confirming de todas las cuentas a pagar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 M en un acuerdo de financiación de proveedores; importe pequeño frente a la caja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55,1 % · </w:t>
      </w:r>
      <w:r>
        <w:rPr>
          <w:b/>
          <w:bCs/>
        </w:rPr>
        <w:t xml:space="preserve">WACC</w:t>
      </w:r>
      <w:r>
        <w:t xml:space="preserve">: 9,5 %.</w:t>
      </w:r>
    </w:p>
    <w:p>
      <w:pPr>
        <w:spacing w:after="100"/>
      </w:pPr>
      <w:r>
        <w:t xml:space="preserve">Betsson crea valor con holgura: el ROIC pasó del 18,5 % en 2021 al 28,7 % en 2023 y se queda en el 26,2 % en 2025, siempre muy por encima del WACC del 9,52 %. Lo mueve el margen, no la rotación (0,73-0,89 veces): el capital invertido es sobre todo fondo de comercio y marcas (659,6 M) de compras antiguas [4]. El ROIC incremental de 2021-2025 es del 55,1 %, porque el crecimiento llegó sin apenas capital nuevo. Esa cifra ya no es la de hoy: con el EBIT de los últimos 12 meses (196,3 M) el ROIC baja a cerca del 20 % (estimación propia: 196,3 × 0,77 / 760). Sigue duplicando el de los competidores: Entain 11,0 %, Lottomatica 13,2 %, Kambi 9,5 % y FDJ United 4,0 % [44, 46, 48, 54].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310,0 M a 30-jun-2026 (de la que 54,4 M respaldan saldos de jugadores y jackpots que la regulación obliga a reservar) + 58,9 M a cobrar de proveedores de pago por depósitos no liquidados + línea de crédito revolving multidivisa de 75 M firmada en julio de 2026 (dos años, ampliable uno) [1]. Deuda bruta: bonos senior no garantizados de 100 M (EURIBOR 3M + 3,25 %, vencen sept-2027) y 75 M (EURIBOR 3M + 2,75 %, vencen dic-2029), dentro de un marco de 250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encontrado (bonos senior no garantizados sin calificación mencionada en el informe anual 2025)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Fondos de clientes: los saldos de jugadores y reservas de jackpots (48,1 M a dic-25; 53,6 M a dic-24; 54,4 M a jun-26) están en «otros pasivos corrientes» (cuentas de jugadores 32,6 M en la nota 24 y reserva de jackpots 15,5 M en periodificaciones, nota 25) y su caja no está separada contablemente: las licencias obligan a reservar una parte de la caja para cubrirlos [1, 4]. Betsson los resta en su deuda neta junto con el 90 % de los 62,5 M (dic-25) a cobrar de proveedores de pago [4]. Impuestos al juego pendientes: 37,3 M (dic-25). Pasivos fiscales: 58,7 M. Pago aplazado de Rhino: unos 13,2 M seis meses después del cierre [2, 4]. Confirming: todas las cuentas a pagar (19,5 M en dic-25; 24,4 M en dic-24) están en un acuerdo de financiación de proveedores que la nota 30 incluye en los pasivos de financiación [4]. Litigios: reclamaciones de jugadores austriacos y alemanes por juego anterior a la regulación (los tribunales malteses se niegan a ejecutarlas; la Comisión Europea abrió expediente a Malta en junio de 2025), sentencia del Supremo sueco de 0,5 M y multa sueca de 6,5 M SEK recurrida; no se ha localizado una provisión específica por estos litigios [4]. Minoritarios negativos (−14,2 M) por filiales con pérdidas.</w:t>
      </w:r>
    </w:p>
    <w:p>
      <w:pPr>
        <w:pStyle w:val="Heading1"/>
      </w:pPr>
      <w:r>
        <w:t xml:space="preserve">12. Asignación de capital</w:t>
      </w:r>
    </w:p>
    <w:p>
      <w:pPr>
        <w:pStyle w:val="Confianza"/>
        <w:spacing w:after="100"/>
      </w:pPr>
      <w:r>
        <w:t xml:space="preserve">Confianza: Alta</w:t>
      </w:r>
    </w:p>
    <w:p>
      <w:pPr>
        <w:spacing w:after="100"/>
      </w:pPr>
      <w:r>
        <w:t xml:space="preserve">La política del consejo es repartir «hasta el 50 %» del beneficio después de impuestos, siempre que se mantenga una estructura de capital adecuada, en efectivo, por amortización automática de acciones o recompras [4]. Dividendo ordinario de 0,66 EUR por acción para 2025 (90,9 M) en dos pagos (mayo y noviembre de 2026); el de 2024 fue 0,76 EUR con 0,10 extraordinarios [1, 4]. Recompra de hasta 40 M EUR entre el 24-oct-2025 y el 30-abr-2026, completada: 3.849.700 acciones B a 112,22 SEK de media; 3.094.000 amortizadas en mayo de 2026 [1]. Prioridades declaradas: crecer en mercados con licencia local y en B2B, con compras financiadas con caja (Rhino, 64,5 M) y una nueva línea de crédito de 75 M que admite adquisiciones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KickerTech Malta (80 %), B2B de apuestas deportivas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oferta B2B de apuestas; precio no publicado en el informe de cierre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betFIRST (Bélgica), operador de apuestas deportivas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 de 75 M emitido en sept-2023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 M y EBITDA ajustado de 10,0 M en 2022 (múltiplo calculado sobre ese EBITDA, más hasta 3 M de earn-out); Europa Occidental creció de 135 a 233 M entre 2023 y 2025; sin deterioro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Sporting Solutions (B2B de apuestas deportivas)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Impulsó los ingresos B2B de 2025; precio no localizado (compras de filiales de 36,4 M en 2024)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Holland Gaming Technology y Holland Power Gaming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(anticipo)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Cancelada en junio de 2025; el precio se devolvió en el 3T25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BetClic Italy y el resto de Bukmacherska (Polonia)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 y 5,1 M; Bukmacherska pasa a filial al 100 %. Depreciación de 5,2 M en otras participaciones asociadas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Rhino Entertainment Group: B2C con licencia en Canadá y tecnología B2B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(51,25 M al cierre y el resto a seis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 forma estimado de 13,7 M en 2025; cierre previsto en el 2T o 3T26, sin confirmar en el informe del 2T26 [1, 2, 4].</w:t>
            </w:r>
          </w:p>
        </w:tc>
      </w:tr>
    </w:tbl>
    <w:p>
      <w:pPr>
        <w:spacing w:after="160" w:before="0"/>
      </w:pPr>
    </w:p>
    <w:p>
      <w:pPr>
        <w:spacing w:after="100"/>
      </w:pPr>
      <w:r>
        <w:t xml:space="preserve">Entre 2021 y 2025 Betsson generó 1.041 M de flujo operativo; destinó 224 M a capex, 33 M a arrendamientos, 224 M netos a compras (sin la devolución de 2025), 355 M a dividendos y amortizaciones y 12,5 M a recompras, y aun así la caja pasó de 95,6 a 322,7 M con solo 76 M más de bonos [4, 6, 7]. Las compras han sido pequeñas y baratas (betFIRST a ~12 veces el EBITDA, Rhino a menos de 5 veces), pero el crecimiento B2C en mercados regulados ha costado margen: el EBIT de 2025 (253,1 M) es menor que el de 2024 (256,7 M) con 90 M más de ingresos, y el LTM a jun-26 (196,3 M) cae un 23 %. La dilución es mínima (acciones diluidas medias de 136,7 a 139,7 M en cinco años por opciones a empleados) y la recompra de 2025-26 la ha revertido: 135,3 M en circulación a jun-26 [1, 4]. Juicio sobre la asignación con ROIC: lo calcula el motor.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Pontus Lindwall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&amp;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(KTH), en el grupo desde 1991; fue primer ejecutivo de 1998 a 2011, presidente ejecutivo del consejo en 2011-2015 y CEO interino en 2015, y volvió como CEO en 2017 [4, 27, 28]. En septiembre de 2021 el consejo anunció su salida, pero tras una junta extraordinaria el nuevo consejo lo mantuvo en el cargo [27]. Con él los ingresos pasaron de 657,7 M EUR (2021) a 1.197 M EUR (2025) y el EBIT de 117,6 a 253,1 M EUR [19]. Tiene 915.000 acciones A y 1.185.000 B (1,5 % del capital, 3,6 % de los votos) y 2 M EUR en el bono 2024/2027 [4,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Öhman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de Betsson AB</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fue director financiero de Upplands Motor, Handicare Group y Bactiguard, con experiencia en fusiones y adquisiciones [4]. Tenía 7.130 acciones B a cierre de 2025 [4] y recibió 24.144 B más en junio de 2026 por el plan de acciones de 2023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Lundberg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2018 y presidente desde la junta extraordinaria de octubre de 2021, que sustituyó a Patrick Svensk tras la crisis por la salida de Lindwall [4, 27]. Fundador y socio de NFT Ventures, antes en MasterCard; consejero de Loomis y Svolder y CEO de TG3 AG [4]. Independiente de la compañía y de los grandes accionistas según el informe de gobierno; 20.000 B a cierre de 2025 y 7.500 B compradas en marzo de 2026 [4,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Jesper Svensson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operativo del grupo (CEO de Betsson Operations)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sector del juego desde 2006 (Bodog, InterCasino, Ladbrokes); en el grupo desde 2013 [4]. Dirige la operación desde Malta; 155.760 acciones B a cierre de 2025 [4] y 101.288 B asignadas en junio de 2026 por el plan de 2023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Saliba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operativo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años en auditoría en PwC Malta antes de entrar en el grupo en 2008 [4]. 118.083 acciones B a cierre de 2025 y 45.169 asignadas en junio de 2026 [4,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Triin Toomemets-Krasnitski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(CLO)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de Nordic Gaming Group, que Betsson compró en 2012; antes abogada en Sorainen [4]. 79.834 acciones B a cierre de 2025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no publica previsiones anuales; su único objetivo numérico es repartir hasta el 50 % del beneficio después de impuestos [4,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propuesto de 0,66 EUR por acción con un BPA de 1,29 EUR (51 %; 90,6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0,66 EUR ordinarios más 0,10 extraordinarios con un BPA de 1,32 EUR: 50 % ordinario y 58 % en total (104,4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0,645 EUR por acción con un BPA de 1,29 EUR (50 %)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0,436 EUR por acción con un BPA de 0,87 EUR (50 %)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0,367 EUR por acción con un BPA de 0,78 EUR (47 %)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Ambición cualitativa: «crecer más rápido que el mercado», de forma orgánica y con adquisiciones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2025 +8 % (+13 % orgánico) y EBIT −1 % [19]; en el 1T26 los ingresos cayeron un 3 % (+4 % orgánico), con avance de resultados el 9 de abril [26, 30], y en el 2T26 subieron un 2 % (+6 % orgánico)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muy ligado a los fundadores: Lindwall, en el grupo desde 1991, va por su segundo mandato como CEO (desde 2017) y es a la vez consejero y titular de acciones A [4, 27]. Su credibilidad se apoya en los hechos: los ingresos casi se duplicaron entre 2021 y 2025 y el EBIT se multiplicó por 2,2 [19]. Betsson no da previsiones, así que no hay un historial de guía que auditar; solo cumple su política de dividendo (en torno al 50 % del beneficio) y publica cifras de actividad al inicio de cada trimestre que no son previsiones [1, 4]. En 2021 el consejo anunció la salida de Lindwall; una junta extraordinaria eligió un consejo nuevo, que lo mantuvo en el cargo [27]: la sucesión depende de las familias, no del consejo. No hay un sucesor visible; Jesper Svensson (CEO operativo) y Kristian Saliba (CFO operativo) llevan la gestión diaria desde Malta [4].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Lundberg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y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Pontus Lindwall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Hamberg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Tristan Sjöberg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de Falck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Nylén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Leach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1,89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Hamberg Förvaltning AB (familia Hamberg; consejero Peter Hamberg)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acciones A (dominical): 5.098.500 A y 100.000 B; 18,7 %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 Peter Hamberg y sus personas vinculadas compraron 59.000 B entre octubre de 2025 y marzo de 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Knutsson Holdings AB (consejero Tristan Sjöberg es socio)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acciones A (dominical): 3.010.000 A y 3.540.000 B; 12,3 %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 Una persona vinculada a Sjöberg compró 25.000 B en noviembre de 2025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Kling (familia Kling)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acciones A: 2.554.000 A y 1.207.000 B; 9,8 %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Berit Lindwall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A: 1.683.000 A y 90.000 B; 6,2 %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Provobis Holding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A: 1.323.500 A y 166.988 B; 4,9 %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Pontus Lindwall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 acciones A: 915.000 A y 1.185.000 B; 3,8 %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Ejerció opciones de 2022 (220.000 B) en septiembre de 2025, compró 85.000 B en marzo de 2026 y recibió 116.719 B del plan de 2023 en junio de 2026 [19,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Investments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7.615.412 B; 2,8 %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sin actualizar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Avanza Pension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de pensiones de clientes minoristas; 5.168.289 B; 1,9 %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4.271.706 B; 1,6 %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Svea Bank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4.018.886 B; 1,5 %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1.583.123 B y 2.747.433 C a 30-6-2026, sin voto en junta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recompraron 3.849.700 B (40 M EUR, a 112,22 SEK de media) entre octubre de 2025 y abril de 2026, y en mayo de 2026 se amortizaron 3.094.000 B; el capital quedó en 139.635.838 acciones [1]. Porcentaje sobre el total de acciones emitidas (cálculo propio)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 personas vinculadas, tres órdenes)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Eva de Falck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Tristan Sjöberg (consejero; persona vinculada)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Pontus Lindwall (CEO); importes pasados a EUR con el cambio del BCE de cada día [25, 29]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Johan Lundberg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Louise Nylén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2,09 M EUR en 2025 (2,20 M en 2024): 0,67 M de sueldo, 0,24 M de pensión, 1,06 M de bonus anual y 0,11 M de bonus ligado al plan de opciones de 2022; el 56 % fue variable [19]. Son 37 veces el coste medio por empleado del grupo (56,7 miles de EUR), según cálculo propio [19]. El bonus anual tiene un tope del 200 % del sueldo y se paga por trimestres según el menor cumplimiento entre ingresos y EBIT; los objetivos no se publican porque Betsson no da previsiones [19]. El plan de acciones por resultados (2023-2026) mide durante tres años ingresos, EBIT, flujo de caja operativo y la calificación MSCI AA, con un tope del 225 % del sueldo; no mide rentabilidad sobre el capital ni el TSR [19]. Cuenta con reducción automática si la acción supera el 200 % del precio inicial y una exigencia de tener acciones por valor de un año de sueldo [19]. No hay cláusula de recuperación (clawback) descrita, más allá de que no se reclamó nada en 2025; la indemnización máxima es de 12 meses de sueldo fijo [4, 19]. El plan de 2023 consolidó en junio de 2026 116.719 acciones para el CEO, el 73 % de las 159.163 concedidas [19, 25]. Las juntas de 2024, 2025 y 2026 aprobaron el informe de remuneraciones; solo la de 2024 publicó el voto anticipado: 0,475 % en contra [20, 21, 22, 23].</w:t>
      </w:r>
    </w:p>
    <w:p>
      <w:pPr>
        <w:pStyle w:val="Heading2"/>
      </w:pPr>
      <w:r>
        <w:t xml:space="preserve">Operaciones vinculadas, estructura de control y defensas</w:t>
      </w:r>
    </w:p>
    <w:p>
      <w:pPr>
        <w:spacing w:after="100"/>
      </w:pPr>
      <w:r>
        <w:t xml:space="preserve">Betsson tiene dos clases de acciones: 15.034.000 A con diez votos, que no cotizan, y 121.854.405 B con un voto; las 2.747.433 C están en autocartera [1]. Con el 11 % del capital en circulación, las A reúnen el 56 % de los votos (cálculo propio con datos a 30-6-2026) y están en manos de las familias fundadoras: Hamberg (18,7 % de los votos), Knutsson (12,3 %), Kling (9,8 %), Berit y Pontus Lindwall (10,0 %) y Provobis (4,9 %) [4]. No consta un pacto escrito, pero actúan como bloque: los tres miembros de la comisión de nombramientos los designan Hamberg, Knutsson y Kling [24], y en 2021, tras anunciar el consejo la salida del CEO, una junta extraordinaria cambió el consejo y el nuevo lo mantuvo [27]. Dos consejeros son dominicales y otro es el propio CEO, también titular de acciones A [4]. Los estatutos no limitan los votos ni la transmisión de acciones [4]. Las operaciones vinculadas son pequeñas: el alquiler de pisos a Solporten Fastighets AB (de Lindwall y los Hamberg) terminó en abril de 2024, y en 2025 se pagaron 318 miles de EUR al bufete WH Law, de una consejera de la filial maltesa [4].</w:t>
      </w:r>
    </w:p>
    <w:p>
      <w:pPr>
        <w:pStyle w:val="Heading2"/>
      </w:pPr>
      <w:r>
        <w:t xml:space="preserve">Señales de alerta</w:t>
      </w:r>
    </w:p>
    <w:p>
      <w:pPr>
        <w:pStyle w:val="ListParagraph"/>
        <w:numPr>
          <w:ilvl w:val="0"/>
          <w:numId w:val="2"/>
        </w:numPr>
        <w:spacing w:after="60"/>
      </w:pPr>
      <w:r>
        <w:t xml:space="preserve">Doble clase de acciones: las familias fundadoras controlan el 56 % de los votos con el 11 % del capital; los minoritarios no pueden imponer consejeros ni cambiar la política de capital [1, 4].</w:t>
      </w:r>
    </w:p>
    <w:p>
      <w:pPr>
        <w:pStyle w:val="ListParagraph"/>
        <w:numPr>
          <w:ilvl w:val="0"/>
          <w:numId w:val="2"/>
        </w:numPr>
        <w:spacing w:after="60"/>
      </w:pPr>
      <w:r>
        <w:t xml:space="preserve">Junio de 2025: la autoridad sueca del juego (Spelinspektionen) multó a Betsson Nordic Ltd con 6,5 M SEK y una advertencia formal por fallos en el control de los depósitos de clientes; la filial recurrió [4].</w:t>
      </w:r>
    </w:p>
    <w:p>
      <w:pPr>
        <w:pStyle w:val="ListParagraph"/>
        <w:numPr>
          <w:ilvl w:val="0"/>
          <w:numId w:val="2"/>
        </w:numPr>
        <w:spacing w:after="60"/>
      </w:pPr>
      <w:r>
        <w:t xml:space="preserve">Julio de 2025: el Tribunal Supremo de Suecia condenó a BML Group Ltd a devolver unos 500.000 EUR a un jugador sueco por pérdidas de 2009-2014 (incumplimiento del deber de cuidado); hay litigios parecidos sobre pérdidas anteriores a 2021 en Países Bajos y un procedimiento de infracción de la Comisión Europea contra Malta por no ejecutar sentencias de otros países de la UE [4].</w:t>
      </w:r>
    </w:p>
    <w:p>
      <w:pPr>
        <w:pStyle w:val="ListParagraph"/>
        <w:numPr>
          <w:ilvl w:val="0"/>
          <w:numId w:val="2"/>
        </w:numPr>
        <w:spacing w:after="60"/>
      </w:pPr>
      <w:r>
        <w:t xml:space="preserve">Betsson publicó avances de resultados del cuarto trimestre de 2025 y, el 9 de abril de 2026, del primero de 2026, con los ingresos de CEECA en 96 M EUR frente a 122 M un año antes [26, 30].</w:t>
      </w:r>
    </w:p>
    <w:p>
      <w:pPr>
        <w:pStyle w:val="ListParagraph"/>
        <w:numPr>
          <w:ilvl w:val="0"/>
          <w:numId w:val="2"/>
        </w:numPr>
        <w:spacing w:after="60"/>
      </w:pPr>
      <w:r>
        <w:t xml:space="preserve">Gobierno de la crisis de 2021: el consejo anunció la salida del CEO, el presidente Patrick Svensk dimitió tras una moción de censura y una junta extraordinaria cambió el consejo y mantuvo a Lindwall [27].</w:t>
      </w:r>
    </w:p>
    <w:p>
      <w:pPr>
        <w:pStyle w:val="ListParagraph"/>
        <w:numPr>
          <w:ilvl w:val="0"/>
          <w:numId w:val="2"/>
        </w:numPr>
        <w:spacing w:after="60"/>
      </w:pPr>
      <w:r>
        <w:t xml:space="preserve">El consejero Tristan Sjöberg (socio de Knutsson Holdings) cambió en diciembre de 2025, a través de personas vinculadas, bonos 2023/2026 por el nuevo bono FRN a cuatro años de Betsson; el registro de la FI tuvo que corregir los nominales notificados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Betsson no da objetivos cuantitativos de ventas ni de margen: publica una actualización de actividad con cada informe. Con el 2T26 (17-jul-2026) dijo que los ingresos diarios medios del 3T26 hasta el 13 de julio eran un 13,7 % superiores a la media diaria del 3T25 (19,9 % sin divisa ni compras), con el Mundial de fútbol como apoyo [1]. La política de remuneración al accionista se mantiene: dividendo ordinario de 0,66 EUR por acción por 2025, pagado en dos mitades (mayo y noviembre de 2026), y un programa de recompras de 40 M EUR terminado el 30-abr-2026 [1]. Tras el cierre, compró Rhino Entertainment (Canadá) por unos 64,5 M EUR (cierre el 3-ago-2026) [4, 39] y firmó una línea de crédito de 75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convertido de SEK con su tipo implícito [35]; Stock Analysis: ventas 1.280 M y BPA 0,96 EUR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convertido de SEK con su tipo implícito [35]; Stock Analysis: ventas 1.370 M y BPA 1,10 EUR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 analistas), convertido de SEK con su tipo implícito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 8,95</w:t>
            </w:r>
          </w:p>
        </w:tc>
      </w:tr>
    </w:tbl>
    <w:p>
      <w:pPr>
        <w:spacing w:after="160" w:before="0"/>
      </w:pPr>
    </w:p>
    <w:p>
      <w:pPr>
        <w:pStyle w:val="Heading2"/>
      </w:pPr>
      <w:r>
        <w:t xml:space="preserve">Revisiones de estimaciones</w:t>
      </w:r>
    </w:p>
    <w:p>
      <w:pPr>
        <w:spacing w:after="100"/>
      </w:pPr>
      <w:r>
        <w:t xml:space="preserve">Solo tres analistas cubren el valor y los dos proveedores gratuitos (MarketScreener y Stock Analysis, que toman los datos de S&amp;P Global) coinciden: tres «mantener» y precio objetivo medio de 95 SEK (90-100), un 0,7 % por debajo del cierre del 9-oct [36, 38]. Ninguno publica la serie numérica de revisiones. El consenso de 2026 implica un BPA de 0,93-0,96 EUR, un 25-28 % por debajo de los 1,29 EUR de 2025, y un EBITDA de 243,8 M frente a 313,7 M: el mercado ya descuenta la caída de margen del 1S26 (margen EBIT del 2T26 del 13,6 % frente al 22,7 %) [1, 35, 38]. En febrero de 2026 había dos recomendaciones y desde abril tres, todas «mantener» [38].</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bl>
    <w:p>
      <w:pPr>
        <w:spacing w:after="160" w:before="0"/>
      </w:pPr>
    </w:p>
    <w:p>
      <w:pPr>
        <w:spacing w:after="100"/>
      </w:pPr>
      <w:r>
        <w:t xml:space="preserve">Betsson pierde un 35 % en 2026 mientras el mercado sueco sube un 7 % y el índice europeo de ocio cae un 3 % [31]. La caída no es del mercado: casi toda se concentra en dos días de avisos de resultados. El 16-ene-2026, con la actualización de resultados del 4T25, la acción se dejó un 21,1 %, y el 9-abr-2026, con el resultado preliminar del 1T26, otro 14,4 % hasta el mínimo de 52 semanas (81 SEK) [30, 31]. Desde el máximo de julio de 2025 la caída llega al 58 %. A cinco años sigue batiendo al índice (10,9 % anual frente a 3,9 %, sin dividendos) [31]. Por eso la beta es tan baja (0,17 mensual frente al OMXSPI en SEK; 0,53 con la acción en EUR frente al STOXX Europe 600) y explica menos del 11 % de la varianza: el riesgo de Betsson es regulatorio y de mercados concretos, no de ciclo bursátil. Las posiciones cortas declaradas a la Finansinspektionen suman el 3,33 % del capital (7-oct-2026) [40].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Betsson cotiza a 4,7 veces el EBITDA de los últimos 12 meses, por debajo del mínimo de los cinco últimos cierres (4,9x) y de su media (5,1x), y a 8,8 veces el beneficio, igual que su media. El PER no se abarata porque el beneficio ha caído con el precio (LTM 0,97 EUR por acción frente a 1,27 en 2025). El descuento estructural frente al sector (6,4x) es antiguo: se mantuvo cuando Betsson crecía un 17-22 % anual y tenía menos de la mitad de los ingresos en mercados regulados. Lo nuevo es que ahora el 76 % de los ingresos tiene licencia local [8]: si el mercado premiara esa transición, el múltiplo histórico dejaría de ser la referencia.</w:t>
      </w:r>
    </w:p>
    <w:p>
      <w:pPr>
        <w:pStyle w:val="Heading1"/>
      </w:pPr>
      <w:r>
        <w:t xml:space="preserve">18. Comparables cotizados</w:t>
      </w:r>
    </w:p>
    <w:p>
      <w:pPr>
        <w:pStyle w:val="Confianza"/>
        <w:spacing w:after="100"/>
      </w:pPr>
      <w:r>
        <w:t xml:space="preserve">Confianza: Media</w:t>
      </w:r>
    </w:p>
    <w:p>
      <w:pPr>
        <w:spacing w:after="100"/>
      </w:pPr>
      <w:r>
        <w:t xml:space="preserve">Nueve cotizadas del juego en línea y las apuestas, en EUR y a 9-12 de octubre de 2026 [35, 37, 41, 42, 43, 44, 45, 46, 47, 48, 49, 50, 51, 52, 53, 54]. El núcleo son los </w:t>
      </w:r>
      <w:r>
        <w:rPr>
          <w:b/>
        </w:rPr>
        <w:t xml:space="preserve">operadores B2C con fuerte peso online y en mercados emergentes o regulados por estado</w:t>
      </w:r>
      <w:r>
        <w:t xml:space="preserve">: Entain, Evoke, Flutter, Lottomatica, FDJ United (dueña de Kindred desde 2024) y Super Group (Betway, muy expuesta a África y Canadá, como Betsson a Latinoamérica). Kambi y Playtech son proveedores B2B, como la rama B2B de Betsson, y Evolution es el proveedor de casino en vivo del que Betsson es cliente: entran como referencia de la cadena de valor, con márgenes y múltiplos de otro modelo. Fuera: LeoVegas y Kindred (excluidas de bolsa), Codere Online y Rush Street (EE. UU. y Latinoamérica, sin consenso gratuito a tres años comprobado).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Betsson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Evolution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Lottomatica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FDJ United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Flutter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Kambi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Playtech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 / 6,4x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12,4x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1,6x / 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6,4 + 0,03 × crecimiento; R² = 0,01. El crecimiento explica poco los múltiplos de estos comparables (R² &lt; 0,3): la regresión no se usa en la valoración.</w:t>
      </w:r>
    </w:p>
    <w:p>
      <w:pPr>
        <w:spacing w:after="100"/>
      </w:pPr>
      <w:r>
        <w:t xml:space="preserve">Betsson es el comparable más barato de la tabla: 4,7x el EBITDA a 12 meses frente a una mediana de 6,4x y 8,3x el beneficio frente a 12,4x, con caja neta (−0,4 veces el EBITDA) mientras la mediana tiene deuda de 2,0 veces, y con el ROIC más alto después de Evolution (26,2 %). Ni el crecimiento ni el margen explican el descuento: crece más que la mediana y su margen EBITDA (21,8 %) está en la zona de Entain y Evoke. Lo explica el riesgo de sus mercados: un 24 % de los ingresos sin licencia local y la dependencia de un cliente B2B. A la mediana de EV/EBITDA a 12 meses valdría 11,81 EUR y a la del PER 12,82 EUR. Usamos la mediana, no la regresión, y le damos un peso del 20 % porque los comparables cargan con deudas y riesgos distintos.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Kindred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FDJ (La Française des Jeux)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130 SEK por certificado (27.951 M SEK de capital, ≈2.500 M EUR); valor empresa de ≈2.600 M EUR tras sumar 154 M de puente (caja neta e instrumentos dilutivos) y 10,9 veces el EBITDA subyacente de 2023 de Kindred (205 M GBP, 238 M EUR) [55, 56]. Prima del 24 % sobre el cierre previo y del 35 % sobre la media de 30 días. Operador online europeo multimarca: el comparable más cercano de Betsson.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LeoVegas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Resorts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61 SEK por acción, ≈5.957 M SEK por el 100 % del capital (572,6 M EUR al BCE del 2-may-2022, 10,4035) [33, 57]; es valor de las acciones, no valor empresa, y la oferta no publicó múltiplo. Prima del 44,1 % sobre el último cierre (42,32 SEK) y del 57,6 % sobre la media de 30 días. Operador sueco de casino móvil, cotizado en Estocolmo como Betsson.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SKS365 (Planetwin365)</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Lottomatica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639 M EUR (625 M de capital) por un operador online y de apuestas italiano con ≈300 M de ingresos y ≈74 M de EBITDA estimados para 2023: 8,7 veces antes de sinergias y 5,2 veces con 50 M de sinergias de costes [58]. Compra privada, sin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Snaitech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2.300 M EUR en efectivo, vendida por Playtech; ingresos de 947 M (netos de impuestos sobre el juego) y EBITDA ajustado de 256 M en 2023, la mitad online [59]. Operador omnicanal italiano; Flutter espera al menos 70 M de sinergias de costes, que bajan el múltiplo efectivo.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(8,9x – 10,0x)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16,55 – 18,66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leídas pagaron 8,7-10,9 veces el EBITDA (mediana 9,0x): FDJ por Kindred (10,9x y prima del 24,4 %), Flutter por Snaitech (9,0x) y Lottomatica por SKS365 (8,7x) [55, 58, 59]; MGM pagó una prima del 44,1 % por LeoVegas [57]. Aplicadas a Betsson darían 16,84 EUR, el doble del precio. No las ponderamos: las acciones A (56 % de los votos con el 11 % del capital) están en manos de las familias fundadoras, y una opa necesita su acuerdo [4]. Sí indican que el sector paga por plataformas con licencias en Europa y Latinoamérica bastante más que lo que la bolsa da hoy a Betsson.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(+4,0 %, año fijo) sale del 1S26 real (595,5 M, plano) y de un 2S26 con el B2C al ritmo del 1S26 (+15 %), el B2B en el nivel del 1S26 (unos 49-51 M por trimestre) y Rhino desde el 3-ago [1, 39]: 1.245 M, un 3,1 % por debajo del consenso (1.284 M) [35]. 2027e-2030e crecen un 6,0-4,5 % (Rhino el año completo, Finlandia desde jul-2027, Latinoamérica), frente al 6,4 % y 5,6 % del consenso para 2027e y 2028e y al 6,9 % del online europeo [11]. 2031e-2032e convergen al 2,5 %. Betsson creció un 16,1 % anual en 2021-2025, pero con el B2B y con mercados sin impuesto local: esa base ya no está.</w:t>
      </w:r>
    </w:p>
    <w:p>
      <w:pPr>
        <w:keepNext/>
        <w:spacing w:after="100"/>
      </w:pPr>
      <w:r>
        <w:rPr>
          <w:b/>
          <w:bCs/>
        </w:rPr>
        <w:t xml:space="preserve">Márgenes.</w:t>
      </w:r>
    </w:p>
    <w:p>
      <w:pPr>
        <w:spacing w:after="100"/>
      </w:pPr>
      <w:r>
        <w:t xml:space="preserve">El margen EBITDA cae del 26,2 % (2025) al 19,0 % en 2026e por tres causas: el B2B de alto margen pierde unos 115 M de ingresos, los impuestos al juego suben al 19,6 % de los ingresos en el 2T26 y los mercados B2C aún sin beneficio restan 10-15 M de EBIT por trimestre [1, 2, 4]. La recuperación hasta el 21,0 % en 2030e supone que esos mercados llegan al equilibrio (3-5 puntos de margen) y que Rhino aporta 13,7 M de EBITDA [2]. Queda 5 puntos por debajo del margen de 2024-2025 y en línea con el consenso (19,4 % en 2027e y 19,7 % en 2028e) [35], por debajo de Entain (22,1 %) y FDJ United (24,5 %) [43, 47].</w:t>
      </w:r>
    </w:p>
    <w:p>
      <w:pPr>
        <w:keepNext/>
        <w:spacing w:after="100"/>
      </w:pPr>
      <w:r>
        <w:rPr>
          <w:b/>
          <w:bCs/>
        </w:rPr>
        <w:t xml:space="preserve">Inversión y circulante.</w:t>
      </w:r>
    </w:p>
    <w:p>
      <w:pPr>
        <w:spacing w:after="100"/>
      </w:pPr>
      <w:r>
        <w:t xml:space="preserve">El capex del 5,8 % de las ventas incluye el desarrollo capitalizado (41,6 M en 2025, el 3,5 % de las ventas) y el resto de inmovilizado, y le suma los pagos de arrendamiento (8,3 M, 0,7 %) para que el DCF pague las oficinas (NIIF 16) [4]. Baja al 5,4 % en 2032e, por encima de la amortización (5,2 %). El circulante comercial se fija en el 16 % de las ventas, el de 2025 (22 % en 2024): incluye los cobros pendientes de proveedores de pago. Los saldos de clientes (54,4 M) no van en el circulante sino en el puente, como deuda [1]. La compra de Rhino (64,5 M) se resta en el puente y su EBITDA se suma desde 2026e [39].</w:t>
      </w:r>
    </w:p>
    <w:p>
      <w:pPr>
        <w:keepNext/>
        <w:spacing w:after="100"/>
      </w:pPr>
      <w:r>
        <w:rPr>
          <w:b/>
          <w:bCs/>
        </w:rPr>
        <w:t xml:space="preserve">Coste del capital.</w:t>
      </w:r>
    </w:p>
    <w:p>
      <w:pPr>
        <w:spacing w:after="100"/>
      </w:pPr>
      <w:r>
        <w:t xml:space="preserve">Tasa libre: Bund a 10 años del 3,53 % (9-oct-2026) [34], porque los flujos van en EUR. Beta de 0,87: la ajustada semanal a 5 años con la acción convertida a EUR frente al STOXX Europe 600 [31]; la de la acción en SEK frente al OMXSPI (0,17) sale artificialmente baja, como pasó con CSL. Prima de mercado del 5,5 % y prima adicional del 2,0 % por el riesgo regulatorio y de país: un 24 % de los ingresos viene de mercados sin licencia local y el 27 % de Latinoamérica, donde Brasil prohibió las apuestas online el 25-sep-2026 [1, 71]. Coste de la deuda del 5,5 % (EURIBOR más 2,75-3,25 % de los bonos) y peso del 13 % a valor de mercado. WACC resultante: 9,52 %.</w:t>
      </w:r>
    </w:p>
    <w:p>
      <w:pPr>
        <w:keepNext/>
        <w:spacing w:after="100"/>
      </w:pPr>
      <w:r>
        <w:rPr>
          <w:b/>
          <w:bCs/>
        </w:rPr>
        <w:t xml:space="preserve">Valor terminal.</w:t>
      </w:r>
    </w:p>
    <w:p>
      <w:pPr>
        <w:spacing w:after="100"/>
      </w:pPr>
      <w:r>
        <w:t xml:space="preserve">Media de dos métodos: Gordon con un crecimiento del 2,0 % (inflación de la zona euro, por debajo del Bund menos medio punto) y un múltiplo de salida de 6,5x el EBITDA, la mediana de los comparables a 12 meses (6,4x) [4, 30, 35, 36, 37, 38, 39, 40, 41, 42, 43, 44, 45, 46, 47, 48, 49, 50, 51, 52, 53, 54]. Gordon implica 7,5x, por encima de los 4,9-5,7x a los que ha cotizado Betsson en cinco años; promediar con el múltiplo modera esa exigencia. El valor terminal pesa un 65 %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(hoy: 1,6 %)</w:t>
            </w:r>
          </w:p>
        </w:tc>
      </w:tr>
    </w:tbl>
    <w:p>
      <w:pPr>
        <w:spacing w:after="160" w:before="0"/>
      </w:pPr>
    </w:p>
    <w:p>
      <w:pPr>
        <w:spacing w:after="100"/>
      </w:pPr>
      <w:r>
        <w:t xml:space="preserve">La proyección apenas necesita inversión neta de la amortización (reinversión acumulada de 106 M, el 9 % del NOPAT, con un capex bruto medio del 5,6 % de las ventas). En un negocio de activos ligeros, el crecimiento medio del 4,4 % tiene que salir de subir precios y de ganar volumen sin capital nuevo, y la prueba es el poder de precios y la cuota (1,5 % del mercado en 2030e, frente al 1,6 %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B2C +15 % en el 1S26 (clientes activos +32 % en el 2T26 con el Mundial) aporta unos 11 puntos, de los que 2 son precio y mezcla; las licencias B2B caen de 313 M a unos 198 M (−9,6 puntos) y Rhino suma unos 2,6 desde el 3-ago [1, 39].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Rhino el año completo (+2 puntos), B2B estable en unos 50 M por trimestre y B2C al 4-5 %: por debajo del 6,4 % del consenso [1, 35].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 abre su mercado con licencias el 1-jul-2027 (Betsson ya la pidió) y Latinoamérica sigue creciendo; el precio sube poco porque los impuestos al juego se lo comen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volumen en mercados regulados, en línea con el 6,9 % anual previsto para el online europeo y por debajo de él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al crecimiento del mercado maduro; sin compras nuevas.</w:t>
            </w:r>
          </w:p>
        </w:tc>
      </w:tr>
    </w:tbl>
    <w:p>
      <w:pPr>
        <w:spacing w:after="160" w:before="0"/>
      </w:pPr>
    </w:p>
    <w:p>
      <w:pPr>
        <w:spacing w:after="100"/>
      </w:pPr>
      <w:r>
        <w:rPr>
          <w:b/>
        </w:rPr>
        <w:t xml:space="preserve">En parte.</w:t>
      </w:r>
      <w:r>
        <w:t xml:space="preserve"> El volumen está demostrado: los clientes activos subieron un 32 % en el 2T26 y Latinoamérica es ya la primera región, con licencias locales en 23 países [1]. Lo que no está demostrado es el poder de precios: cada mercado que se regula sube los impuestos al juego (del 12,8 % al 15,5 % de los ingresos en 2025 y al 19,6 % en el 2T26) y el margen EBITDA ha caído de 28,5 % a 18,2 % en el 1S26 [1, 4]. La proyección necesita poca inversión (reinversión del 9 % del beneficio operativo, con un ROIC del 26,2 %), pierde algo de cuota (del 1,6 % al 1,5 % en 2030e) y no exige que el B2B recupere al cliente perdido. Por eso el caso base crece un 4,5 % anual, por debajo del 6,4 % del consenso para 2027e y del 6,9 % del mercado europeo, y el margen solo se recupera hasta el 21 % (por debajo del 26 % de 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 (WACC: 9,5 %)</w:t>
            </w:r>
          </w:p>
        </w:tc>
      </w:tr>
    </w:tbl>
    <w:p>
      <w:pPr>
        <w:spacing w:after="160" w:before="0"/>
      </w:pPr>
    </w:p>
    <w:p>
      <w:pPr>
        <w:spacing w:after="100"/>
      </w:pPr>
      <w:r>
        <w:t xml:space="preserve">El DCF da </w:t>
      </w:r>
      <w:r>
        <w:rPr>
          <w:b/>
        </w:rPr>
        <w:t xml:space="preserve">14,93 EUR por acción</w:t>
      </w:r>
      <w:r>
        <w:t xml:space="preserve"> (166,7 SEK), un 74,3 % sobre el precio de 8,565 EUR (95,65 SEK), con un WACC del 9,52 % y un valor terminal que pesa el 65 %. Es el resultado de un negocio que genera 125-190 M de flujo libre al año sin apenas inversión y que cotiza a 4,7 veces el EBITDA de los últimos 12 meses.</w:t>
      </w:r>
    </w:p>
    <w:p>
      <w:pPr>
        <w:spacing w:after="100"/>
      </w:pPr>
      <w:r>
        <w:rPr>
          <w:b/>
        </w:rPr>
        <w:t xml:space="preserve">Lo que descuenta el precio es una contracción</w:t>
      </w:r>
      <w:r>
        <w:t xml:space="preserve">: el DCF inverso pide que los ingresos caigan un 9,1 % anual en 2027e-2032e (frente al +4,5 % de nuestro caso base) o que el margen EBITDA baje al 14,3 % (frente al 21,0 %); dicho de otro modo, al precio actual la acción rinde un 17,6 % anual si se cumplen nuestras cifras, frente a un WACC del 9,52 %. Nuestra proyección está un 3 % por debajo del consenso en ventas y EBITDA [35]: la distancia no viene de ser más optimistas que los analistas, sino de que el mercado pone a Betsson una tasa de descuento de casi el doble.</w:t>
      </w:r>
    </w:p>
    <w:p>
      <w:pPr>
        <w:spacing w:after="100"/>
      </w:pPr>
      <w:r>
        <w:t xml:space="preserve">¿Es razonable? En parte. Betsson ha cotizado a 4,9-5,7 veces el EBITDA en los cinco últimos cierres de ejercicio, así que el mercado lleva años aplicándole este descuento por el riesgo de los mercados no regulados, y nada garantiza que lo retire. Pero ese descuento se fijó cuando el 36-46 % de los ingresos venía de mercados con licencia local; hoy es el 76 % [8]. El riesgo que justificaba el múltiplo ha bajado, aunque a costa del margen.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del cliente B2B en el negocio que queda sin licencia local: un país de CEECA o de Latinoamérica bloquea o prohíbe (como Brasil el 25-sep-2026) y los ingresos caen un 22 % en 2027e, con un margen 6 puntos más bajo; después la empresa crece 1,5 puntos menos y con 4 puntos menos de margen, y el mercado le exige un punto más de WACC.</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B2B se queda en unos 50 M por trimestre, el B2C sigue creciendo en mercados regulados (Latinoamérica, Finlandia desde 2027, Canadá con Rhino) y los mercados aún sin beneficio llegan al equilibrio: ingresos +4,5 % anual y margen EBITDA del 19 %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B2C mantiene un crecimiento de dos cifras con Latinoamérica y Canadá, el B2B vuelve a crecer con clientes nuevos y los mercados recién regulados maduran antes: 1,5 puntos más de crecimiento y 2 puntos más de margen (21-23 %, aún por debajo del 26 %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13,32 EUR (+55,5 %).</w:t>
      </w:r>
    </w:p>
    <w:p>
      <w:pPr>
        <w:spacing w:after="100"/>
      </w:pPr>
      <w:r>
        <w:t xml:space="preserve">La asimetría es favorable: el alcista vale 17,91 EUR (+109,1 %) y el bajista 7,07 EUR (−17,5 %), una relación de 6,23 veces. El bajista no es cosmético: supone perder en un año un 22 % de los ingresos, más o menos lo que todavía viene de mercados sin licencia local (24 %), y aun así pierde menos del 20 % porque el precio ya descuenta una contracción. La pérdida es acotada porque Betsson tiene caja neta (deuda neta ajustada de 6 M) y reparte un 7,7 % de dividendo. Lo que no recoge ningún escenario es una pérdida de licencias en varios mercados a la vez con multas o litigios de jugadores, que dejaría el valor por debajo del bajista.</w:t>
      </w:r>
    </w:p>
    <w:p>
      <w:pPr>
        <w:pStyle w:val="Heading1"/>
      </w:pPr>
      <w:r>
        <w:t xml:space="preserve">22. Suma de partes</w:t>
      </w:r>
    </w:p>
    <w:p>
      <w:pPr>
        <w:pStyle w:val="Confianza"/>
        <w:spacing w:after="100"/>
      </w:pPr>
      <w:r>
        <w:t xml:space="preserve">Confianza: Media</w:t>
      </w:r>
    </w:p>
    <w:p>
      <w:pPr>
        <w:spacing w:after="100"/>
      </w:pPr>
      <w:r>
        <w:t xml:space="preserve">Betsson tiene un solo segmento operativo (NIIF 8) y no publica el resultado del B2B ni de cada región: no hay base para una suma de partes.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13,76 EUR (+60,7 % sobre 8,56).</w:t>
      </w:r>
    </w:p>
    <w:p>
      <w:pPr>
        <w:spacing w:after="100"/>
      </w:pPr>
      <w:r>
        <w:t xml:space="preserve">Pesos: DCF 40 %, escenarios 40 % y comparables 20 %. El DCF es el método más fiable porque Betsson apenas necesita inversión y su flujo libre es estable (conversión del 103 % en 2021-2025); los escenarios recogen el riesgo regulatorio, que es el que explica el descuento. Los comparables pesan menos: la mediana de 6,4x el EBITDA a 12 meses viene de empresas con deuda neta de 2-4 veces el EBITDA y otros riesgos (Entain, Evoke, Flutter), y la regresión con el crecimiento no explica nada (R² de 0,01). Las transacciones no pesan: la mediana de 9,0x incluye prima de control y Betsson está controlada por las familias de las acciones A, que no han mostrado intención de vender. Todos los métodos quedan por encima del precio: el más bajo, el bajista (7,07 EUR), está un 17,5 % por debajo; los comparables dan 12,32 EUR y el DCF con la prima implícita del mercado (4,20 % [72]) más que el nuestro.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Rhino y tras el Mundial; prueba del margen (2S26 de nuestro caso: 20,4 %) y del B2B (≈49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Revocación de las autorizaciones de juego online en Brasil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operación brasileña, recién lanzada (13 empleados en 2025); el Congreso tiene 120 días para ratificar la medida [4, 71]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pago del dividendo (0,33 EUR por acción)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7,7 %; posible nuevo programa de recompras, que pide el foro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el B2B estabilizado; el dividendo sigue la política de hasta el 50 % del beneficio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del mercado finlandés con licencias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ya pidió licencia; mercado nuevo en una región tradicional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2024/2027 (99,4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o pago con caja (310 M a jun-26) y la nueva línea de 75 M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 o bloqueo de mercados sin licencia local (24 %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7,07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lleva tres años migrando a licencias locales (del 36 % al 76 % de los ingresos)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ingresos en CEECA (de 122 a 96 M entre el 1T25 y el 1T26) o salida anunciada de un país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caída del gran cliente B2B (Realm Entertainment)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de margen perdido (sensibilidad del DCF: 13,97 EUR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el cliente se estabilizó desde diciembre de 2025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B2B por debajo de 45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impuestos al juego (Colombia, Brasil, Perú,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Repercusión parcial en bonos y promociones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al juego por encima del 20 % de los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Prohibiciones en Latinoamérica (Brasil, 25-sep-2026)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Brasil es pequeño; un caso similar en Argentina, Perú o Colombia restaría ≈10-15 % del valor (estimación propia por peso de la región, 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por provincia en Argentina y licencia en Perú y Colombia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ley de prohibición o impuestos sobre depósitos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B2C sin beneficio que no maduran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margen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cuantifica la pérdida (10-15 M de EBIT por trimestre) y puede salir de mercados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trimestral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decidida por las acciones 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−10 % si se pagan compras caras con la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recientes baratas (Rhino a 4,7x el EBITDA) y dividendo del 50 % del beneficio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a más de 10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jugadores en Austria y Alemania por juego previo a la regulación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 sin provisión específica [4]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tribunales malteses se niegan a ejecutar las sentencias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europea contra Malta en el expediente de 2025</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2027: tras Brasil, otro país latinoamericano y uno de Asia central que Betsson atendía con licencia de Malta endurecen la persecución del juego sin licencia local. Betsson pierde en dos años la mayor parte del 24 % de ingresos que aún no tenía licencia local, justo el más rentable, porque no paga impuestos de juego del país. A la vez, el gran cliente B2B vuelve a recortar, porque atiende el mismo tipo de mercado. El margen EBITDA cae por debajo del 15 % y el beneficio por acción a 0,6 EUR; el dividendo se reduce a la mitad y el mercado, que valoraba a Betsson por su rentabilidad por dividendo, castiga el recorte. Las familias de las acciones A no venden y la caja se gasta en compras de mercados regulados de bajo margen. Las señales que lo habrían anticipado: los ingresos de CEECA, que ya cayeron de 122 a 96 M entre el 1T25 y el 1T26 [26]; las licencias B2B por debajo de 45 M; y los impuestos al juego por encima del 20 % de los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El asunto que más pesa en las cifras es el </w:t>
      </w:r>
      <w:r>
        <w:rPr>
          <w:b/>
        </w:rPr>
        <w:t xml:space="preserve">juego responsable</w:t>
      </w:r>
      <w:r>
        <w:t xml:space="preserve">: condiciona licencias, multas y demandas. En el 2T26, el 93,1 % de los clientes activos tenía alguna herramienta de control activada, el 26,6 % usaba límites de depósito y Betsson revisó a mano a 22.801 clientes por posible juego de riesgo; un 3,0 % se autoexcluyó más de seis meses [1]. El segundo es la </w:t>
      </w:r>
      <w:r>
        <w:rPr>
          <w:b/>
        </w:rPr>
        <w:t xml:space="preserve">ética y el cumplimiento</w:t>
      </w:r>
      <w:r>
        <w:t xml:space="preserve"> (blanqueo, mercados sin licencia): la empresa apoya su modelo en la licencia maltesa y la libre prestación de servicios de la UE, lo que la expone a demandas de jugadores en Austria, Alemania y Países Bajos [4]. El clima es menor: objetivos validados por SBTi de −55 % en alcance 1 y 2 y −15 % en alcance 3 para 2030 frente a 2019 [4]. Tiene el sello ESG de la MGA por segundo año [1].</w:t>
      </w:r>
    </w:p>
    <w:p>
      <w:pPr>
        <w:pStyle w:val="Heading2"/>
      </w:pPr>
      <w:r>
        <w:t xml:space="preserve">Controversias</w:t>
      </w:r>
    </w:p>
    <w:p>
      <w:pPr>
        <w:spacing w:after="100"/>
      </w:pPr>
      <w:r>
        <w:t xml:space="preserve">En jun-2025 el regulador sueco (Spelinspektionen) multó a Betsson Nordic con 6,5 M SEK y una advertencia formal por fallos en el control de clientes y sus depósitos; la empresa ha recurrido [4]. En jul-2025 el Tribunal Supremo sueco condenó a BML Group a devolver ≈ 0,5 M EUR a un jugador por incumplir el deber de cuidado en 2009-2014 [4]. Tres multas de 25.000 EUR en Lituania (2022) fueron anuladas tras una sentencia del TJUE de mar-2025 [4]. En 2026 abandonó el Reino Unido (Zecure) e Irlanda (RaceBets)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sin licencia local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qué margen EBITDA tiene el 24 % de los ingresos que viene de mercados sin licencia local, y en qué países está?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explica el descuento: el escenario bajista depende de su tamaño y de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 B2B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Realm Entertainment en las licencias B2B, en qué mercados opera y qué cláusulas de duración tiene el contrato?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B2B cayeron de 90,2 M a 49,1 M por trimestre sin explicación del cliente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B2C con pérdidas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mercados restan los 10-15 M de EBIT por trimestre y en qué plazo esperan el equilibrio?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del margen hasta el 21 % de nuestro caso base depende de ello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y Latinoamérica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tenía Brasil en el 3T26 y qué riesgo ven de medidas similares en Perú, Colombia o Argentina?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es ya la primera región (27 % de los ingresos de 2025) [4, 71].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Rhino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aporta Rhino y cuánto falta por pagar?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se cerró el 3-ago-2026 y su EBITDA pro forma (13,7 M) está en nuestro 2026e y 2027e [2, 39].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310 M de caja está inmovilizada por exigencias de las licencias, además de los 54,4 M de saldos de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cuánta caja hay para recompras y para el bono de 2027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un nuevo programa de recompras con la acción a 4,7x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recompra a estos precios crea más valor que una compra de un operador regulado.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Forum (Avanza), hilos sobre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día de resultados predominó la lectura alcista (récord B2C, B2B que deja de caer, buena caja, arranque fuerte del 3T), pero la caída de la acción tras abrir al alza generó frustración y explicaciones conspirativas sobre los bajistas. Una minoría ve el caso «roto»: beneficio a la mitad y crecimiento comido por impuestos y regulación [63,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Forum (Avanza), hilo sobre Turquía y márgenes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más largo del trimestre: la pérdida del negocio B2B en Turquía se lleva el margen alto y el B2C regulado es mucho menos rentable. Críticas a la comunicación de la dirección, alguna petición de relevar al consejero delegado y temor a un dividendo más bajo; otros defienden que la valoración ya lo descuenta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Forum (Avanza), septiembre-octubre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conversación gira en torno a las posiciones cortas al alza, el ruido de Brasil (que la empresa calificó de no-acontecimiento) y el miedo a un aviso de beneficios antes del 22 de octubre, disipado en parte por la invitación normal a la presentación del 3T. Muchos piden recompras y compran en las caídas [68,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Betsson 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dudas sobre el anuncio de Brasil de prohibir el casino online y su impacto, enlaces a análisis externos y búsqueda de analistas que sigan el valor; en julio se echó en falta un nuevo programa de recompras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Inderes Forum (Finlandia/Suecia)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hilo propio de Betsson está parado desde febrero (4T25 por debajo del consenso, acción barata con beneficio en caída); desde julio solo hay compras sueltas para promediar a la baja y referencias a la apertura del mercado finlandés con socios locales [61,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Turquía y el gran cliente B2B: ¿ya ha tocado fondo?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eje del caso y la gente lo identifica bien: el 2T26 confirmó la caída de ingresos B2B de un gran cliente y el EBITDA bajó un 31 % con ingresos que aun así subieron un 2 %. Los alcistas creen que lo peor ya está en las cifras (el 3T es el cuarto trimestre con el efecto); los bajistas temen que el margen no se recupere porque el negocio que queda es regulado y paga más impuestos. Lo que no se puede comprobar desde fuera es el riesgo residual de ese cliente: por eso conviene seguirlo [64, 66,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crecientes y la idea de un estrangulamiento de bajistas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sigue cada día el registro de posiciones cortas de la FI y lo interpreta como manipulación o como combustible para una subida. Las cifras que circulan no se usan aquí: deben contrastarse en el registro oficial de la FI. Que haya posiciones cortas al alza antes de resultados apunta más bien a que hay inversores profesionales que esperan más deterioro, no a una subida inminente [68,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recompras y valoración muy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particular la tesis es rentabilidad por dividendo alta, caja neta y múltiplos de un dígito. Pero en el propio foro se reconoce que, si se reparte la mitad del beneficio, el dividendo baja con el beneficio; y el programa de recompras acabó en primavera sin que se anunciara otro en el 2T, algo que varios leen como señal de cautela. Es justo lo que hay que vigilar el 22 de octubre [60, 64, 66,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y el riesgo regulatorio en Latinoamérica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anuncio de finales de septiembre de una posible prohibición del juego online en Brasil, en plena campaña electoral, hizo vender a algunos; la empresa lo calificó de no-acontecimiento y la mayoría del foro lo compró como bajo riesgo. Hay que comprobar en la fuente original cuánto pesa Brasil en ingresos, porque Latinoamérica es ya la primera región del grupo [60,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Mundial y crecimiento B2C (Latinoamérica, Italia, compra de Rhino)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 publicado: récord de ingresos en el 2T y un 3T que empezó con un +14 % de ingresos diarios. El foro tiende a extrapolar el efecto del Mundial, que no se repite, y a suponer que la compra de Rhino suma beneficio desde el 3T sin conocer su margen [63, 65, 67].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Confianza en la dirección y en su forma de comunicar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minoría acusa a la dirección de comunicar poco sobre el cliente B2B y pide cambios; otros defienden la discreción con clientes concretos. Las compras de directivos en torno a 100 coronas se citan como argumento a favor, aunque se echa de menos que no haya compras nuevas en los mínimos [66, 67, 70].</w:t>
            </w:r>
          </w:p>
        </w:tc>
      </w:tr>
    </w:tbl>
    <w:p>
      <w:pPr>
        <w:spacing w:after="160" w:before="0"/>
      </w:pPr>
    </w:p>
    <w:p>
      <w:pPr>
        <w:spacing w:after="100"/>
      </w:pPr>
      <w:r>
        <w:t xml:space="preserve">El inversor particular sueco está </w:t>
      </w:r>
      <w:r>
        <w:rPr>
          <w:b/>
        </w:rPr>
        <w:t xml:space="preserve">muy expuesto y es mayoritariamente alcista por valoración y dividendo</w:t>
      </w:r>
      <w:r>
        <w:t xml:space="preserve">, con una minoría bajista dura que ve el beneficio estructuralmente más bajo tras perder el B2B turco. No es capitulación: tras el 2T el tono mejoró frente a la primavera y en septiembre-octubre la gente compraba en las caídas. Lo que aporta al análisis es la señal contraria: </w:t>
      </w:r>
      <w:r>
        <w:rPr>
          <w:b/>
        </w:rPr>
        <w:t xml:space="preserve">las posiciones cortas suben antes del 3T</w:t>
      </w:r>
      <w:r>
        <w:t xml:space="preserve"> mientras el particular espera una sorpresa positiva, de modo que una decepción en el margen o en la política de remuneración el 22 de octubre puede castigar con fuerza. Dos puntos que el análisis debe cuantificar: cuánto peso tiene Brasil tras el anuncio de prohibición y si el dividendo es sostenible sin recompras. El seguimiento fuera de Suecia es casi nulo: no hay debate en inglés.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72 (35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 explica la causa (créditos fiscales, regularizaciones, mezcla de países) y no lo proyectes en el DCF. Explicación: El 11,2 % de 2023 es anterior al impuesto mínimo global (Pilar 2), que desde 2024 lleva el tipo al 21-23 %; el DCF usa el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1,5 % en 2030e frente al 1,6 %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16,2 % real: genera una variación de circulante de 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R² de 0,01: en el juego online el múltiplo lo explica el riesgo regulatorio y la deuda, no el crecimiento;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(5,6x → 4,2x): el salto implica un crecimiento del EBITDA que no cuadra con el de las ventas. ¿EBITDA de proveedores distintos, o un cambio de perímetro? Explicación: Playtech pasa de 5,6x a 4,2x por la venta de Snaitech y el cambio de perímetro; su peso en la mediana es pequeño y quitarla no la mueve.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68,4 %, asimetría de 6,23, bajista del -17,5 % y el precio descuenta 13,6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gastos_financieros 2021-2023 (gasto por intereses)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cierre 2022 y 2023: solo dan el resultado financiero neto; 2) nota 10 del informe anual 2025: solo 2024-2025; 3) no se descargaron los informes anuales 2022-2023 (18-24 MB)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conferencias 1T26 y 2T26 y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Betsson: solo informe, presentación y webcast; 2) presentaciones en PDF del 1T26 y 2T26 (texto mínimo, sin preguntas); 3) no se buscaron proveedores de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ultima_presentacion con los mensajes de los informes y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Betsson (no dan consenso); 2) presentaciones; 3) consenso de MarketScreener sin estimaciones trimestrales previas a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KickerTech (2022) y Sporting Solutions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cierre 2022 (KickerTech): sin precio; 2) informe anual 2025 nota 33 y trimestral 3T25: sin precio de Sporting Solutions; 3) flujo de compras de filiales de 2024 (36,4 M) como cota superior, no atribuible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proveedores 2021-2023 y separación de fondo de comercio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cierre 2021-2023: balance resumido; 2) informe anual 2025: solo 2024-2025 y saldo inicial 2024; 3) no se descargaron los informes anuales 2021-2023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ejercicios 2019-2020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cierre 2019: en SEK; 2) resumen de cinco años del informe anual 2025: empieza en 2021; 3) informe de cierre 2021: en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EGBA eu-market: no publica cuotas por operador; 2) informes anuales de Betsson y competidores: no publican cuota de mercado europea; 3) derivarlo con ingresos de Flutter, Entain, FDJ United: mezclan EE. UU., Australia y lotería,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GGR online de Latinoamérica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Betsson: solo da el gráfico mundial de H2GC sin cifras regionales; 2) EGBA: solo Europa; 3) dato oficial de Brasil (SPA) vía prensa, solo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Brasil 2025 en tamano)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de Noruega, Países Bajos y Alemania con fechas y tipos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actualizaciones regulatorias del informe anual 2025 y del 2T26: solo demandas de jugadores en Alemania y Países Bajos y la compra cancelada de Holland Gaming; 2) tabla de licencias del informe anual (Alemania desde 2016, sin Noruega ni Países Bajos); 3) no se usaron más búsquedas web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(declaración de sostenibilidad): solo cita MSCI AAA; 2) informe del 2T26: sello ESG de la MGA y socio de transparencia ESG de Nasdaq, sin calificaciones; 3) no se buscaron en las webs de las agencias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del primer cliente B2B (Realm Entertainment)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3-4 del informe anual 2025: lo nombra sin dar su peso; 2) informes trimestrales del 4T25 y 2T26: solo hablan de «uno de los grandes clientes B2B»; 3) derivarlo: no hay datos suficientes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2025 y 2026: solo dicen que el informe se aprobó; su anexo 2 de votos anticipados no está publicado; 2) web de juntas de Betsson y comunicado de resultados de la junta (Cision): sin porcentajes; 3) búsqueda en la red: no aparece el recuento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nombramientos para la junta de 2027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Cision hasta el 12-10-2026: no se ha anunciado; 2) listado de MFN: no aparece; 3) web de gobierno: solo la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(frases sobre la evolución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Betsson no publica previsiones; el informe de remuneraciones lo confirma; 2) las actualizaciones al inicio de cada trimestre dicen expresamente que no son previsiones; 3) solo se descargó el informe del 2T26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Identidad de Provobis Holding AB y relación de Berit Lindwall con 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da el nombre; 2) convocatoria de 2026: no la menciona; 3) actas de 2024 a 2026: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una segunda fuente para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completas 2026-2028, en SEK); 2) Stock Analysis: solo ventas y BPA 2026-2027 (2028 de pago); 3) Investing no consultado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MarketScreener convertido con su tipo implícito y se contrasta con Stock Analysis donde hay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estimaciones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 2) Stock Analysis forecast: solo número de recomendaciones por mes; 3) informes de analistas (ABG, Carnegie, Pareto)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evolución de recomendaciones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Codere Online y Rush Street Interactive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en MarketScreener por presupuesto; 2) B tiene el 20-F de Codere Online;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nueve comparables con el mismo método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MGM-LeoVegas, Evoke(888)-William Hill, Allwyn-OPAP/Novibet, DraftKings-Golden Nugget/Jackpocket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declaración del consejo de LeoVegas: sin múltiplo; 2) búsqueda de notas oficiales del resto: no leídas por presupuesto; 3) prensa: no válida para múltiplos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LeoVegas sin múltiplos; el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a valor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2T26: contable negativo (-14,2 M); 2) no hay cotización ni operación de referencia; 3) beneficio atribuido a minoritarios LTM ≈ 7,1 M × PER NTM 8,3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(59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en inglés (Seeking Alpha, Stocktwits, Reddit, Simply Wall 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RSS de Seeking Alpha para BETS-B y BTSBF: solo la transcripción de la conferencia del 2T26 (17-jul), sin artículos de opinión; 2) comunidad de Simply Wall St: 403; 3) Reddit y Stocktwits no se intentan (bloqueados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debate es casi solo sueco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hilo propio de Betsson y análisis recientes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Inderes Suecia: sin recomendación visible de jul-oct; 2) hilo del foro: último mensaje en febrero de 2026; 3) búsqueda en el foro desde el 1-jul: dos menciones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como sitio de poco debate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 de Brasil (finales de 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Foros: anuncio de posible prohibición del juego online y comunicado de Betsson calificándolo de no-acontecimiento (titulares en Nordnet); 2) búsqueda web: sin la noticia original; 3) pendiente de que A-D lo verifiquen en la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Citado solo como tema de foro; no se usa ninguna cifra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 interim report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https://www.betssonab.com/sites/default/files/pr/betsson-interim-report-january-june-2026.pdf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 interim report 1 January - 31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https://www.betssonab.com/sites/default/files/pr/202604233436-1.pdf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 year-end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https://www.betssonab.com/sites/default/files/pr/202602046299-1.pdf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https://www.betssonab.com/sites/default/files/pr/202603302617-1.pdf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interim report January -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https://www.betssonab.com/sites/default/files/pr/202510238730-1.pdf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year-end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https://www.betssonab.com/sites/default/files/pr/202402148364-1.pdf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year-end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https://www.betssonab.com/sites/default/files/pr/202302131669-1.pdf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Q2 2026 webcast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https://www.betssonab.com/sites/default/files/pr/presentation-q2-2026-webcast.pdf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Betsson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https://www.betssonab.com/about-us/history-betsson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 completes acquisition of NordicBet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https://www.betssonab.com/press/betsson-ab-publ-completes-acquisition-nordicbet-and-resolves-result-thereof-issue-kind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Market: European online gambling key figures (datos de H2 Gambling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Gaming and Betting Association (EGBA)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https://www.egba.eu/eu-market/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 registram receita bruta de R$ 37 bilhões em 2025, aponta Secretaria de Prêmios e Apostas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https://bnldata.com.br/bets-registram-receita-bruta-de-r-37-bilhoes-em-2025-aponta-secretaria-de-premios-e-apostas/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(BRL, USD, GBP, SEK)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https://data-api.ecb.europa.eu/service/data/EXR/D.BRL+USD+GBP+SEK.EUR.SP00.A?startPeriod=2025-12-30&amp;endPeriod=2025-12-31&amp;format=csvdata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Form 10-K 2025,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https://data.sec.gov/api/xbrl/companyfacts/CIK0001635327.json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 FY25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https://www.entaingroup.com/media/5v2dfqtk/entain-fy25-results-press-release.pdf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 2025 results and 2026 outlook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https://www.fdjunited.com/wp-content/uploads/2026/02/20260219-FDJUNITEDpressrelease-2025resultsand2026outlook.pdf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plc Q4 2025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plc,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https://www.inderes.se/releases/kambi-group-plc-q4-2025-report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Codere Online Luxembourg, S.A.: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Codere Online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https://www.sec.gov/Archives/edgar/data/1866782/000182912626004041/codereonline_20f.htm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https://www.betssonab.com/sites/default/files/gm/agm2026_remuneration_report_2025.pdf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https://www.betssonab.com/sites/default/files/gm/betsson-ab-minutes-from-the-annual-general-meeting-2026.pdf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https://www.betssonab.com/sites/default/files/gm/betsson-ab-minutes-from-the-annual-general-meeting_2025_0.pdf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https://www.betssonab.com/sites/default/files/gm/minutes_from_the_annual_general_meeting_2024_1.pdf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2 - Betsson AGM 2024 Summary Postal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https://www.betssonab.com/sites/default/files/gm/appendix_2_betsson_agm_2024_summary_postal_votes_0.pdf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Annual General Meeting 2026 (propuestas de la comisión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https://www.betssonab.com/sites/default/files/agm_2026/betsson_ab_notice_of_the_agm_in_betsson_ab%28publ%29.pdf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(Insynshandel), emisor Betsson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https://marknadssok.fi.se/publiceringsklient/en-GB/Search/Search?SearchFunctionType=Insyn&amp;Utgivare=Betsson+AB&amp;PubliceringsDatumFrom=2025-10-12&amp;PubliceringsDatumTo=2026-10-12&amp;button=search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Betsson AB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https://news.cision.com/betsson-ab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Lindwall to stay on as Betsson CEO after board U-turn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iGaming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https://igamingbusiness.com/people/people-moves/lindwall-to-stay-on-as-betsson-ceo/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shift in Betsson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https://www.betssonab.com/press/ceo-shift-betsson-1523641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EUR/SEK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comunicados regulados de Betsson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https://mfn.se/all/a/betsson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BETS-B.ST, ^OMXSPI, ^OMX, EXV9.DE, EXSA.DE, ^STOXX, BETZ y EURSEK=X (herramienta bolsa.mjs y script de betas)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https://finance.yahoo.com/quote/BETS-B.ST/history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EUR/SEK, serie diaria (EXR.D.SEK.EUR.SP00.A), 2019-2026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https://data-api.ecb.europa.eu/service/data/EXR/D.SEK.EUR.SP00.A?startPeriod=2019-12-20&amp;endPeriod=2025-12-31&amp;format=csvdata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 am Rentenmarkt: rendimiento de la deuda federal alemana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https://api.statistiken.bundesbank.de/rest/data/BBSIS/D.I.ZST.ZI.EUR.S1311.B.A604.R10XX.R.A.A._Z._Z.A?lastNObservations=8&amp;format=csv&amp;lang=en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B: Finances (estimaciones anuales y trimestrales 2021-2028, en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https://www.marketscreener.com/quote/stock/BETSSON-B-122801461/finances/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B: Consensus (recomendación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https://www.marketscreener.com/quote/stock/BETSSON-B-122801461/consensus/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(STO:BETS.B)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https://stockanalysis.com/quote/sto/BETS.B/statistics/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(STO:BETS.B)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https://stockanalysis.com/quote/sto/BETS.B/forecast/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Acquisition of Rhino Entertainment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https://mfn.se/cis/a/betsson/betsson-ab-acquisition-of-rhino-entertainment-completed-0412b758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 short positions (registro de posiciones cortas; Betsson AB 3,33 %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https://www.fi.se/en/our-registers/net-short-positions/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https://www.marketscreener.com/quote/stock/EVOLUTION-AB-58808466/finances/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(STO:EVO)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https://stockanalysis.com/quote/sto/EVO/statistics/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https://www.marketscreener.com/quote/stock/ENTAIN-PLC-4005005/finances/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 (LON:ENT)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Group: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https://www.marketscreener.com/quote/stock/LOTTOMATICA-GROUP-S-P-A-154104931/finances/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Group (BIT:LTMC)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https://stockanalysis.com/quote/bit/LTMC/statistics/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https://www.marketscreener.com/quote/stock/LA-FRANCAISE-DES-JEUX-75739100/finances/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 (EPA:FDJU)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https://stockanalysis.com/quote/epa/FDJU/statistics/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 Group (SGHC) Limited: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https://www.marketscreener.com/quote/stock/SUPER-GROUP-SGHC-LIMITED-132481134/finances/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 Group (NYSE:SGHC)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https://stockanalysis.com/stocks/sghc/statistics/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Evoke plc: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https://www.marketscreener.com/quote/stock/EVOKE-PLC-4005509/finances/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Evoke plc (LON:EVOK)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https://stockanalysis.com/quote/lon/EVOK/statistics/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Playtech y Flutter Entertainment: Finances (estimaciones 2024-2027), consultadas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https://www.marketscreener.com/quote/stock/KAMBI-GROUP-PLC-39435612/finances/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Playtech y Flutter Entertainment: Statistics, consultadas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https://stockanalysis.com/quote/sto/KAMBI/statistics/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Création d'un champion européen des jeux d'argent et de hasard (presentación de la oferta sobre Kindred)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https://www.fdjunited.com/wp-content/uploads/2024/01/20240122-Presentationconfrencepresse-VDEF.pdf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of Kindred in relation to the public offer from La Française des Jeux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https://news.cision.com/kindred-group/r/statement-by-the-board-of-directors--1--of-kindred-in-relation-to-the-public-offer-from-la-francaise,c3912882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of LeoVegas in relation to the public offer from MGM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LeoVegas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https://storage.mfn.se/7e3afae0-f9ff-4eb0-94ae-ce2ba92c354f/statement-by-the-board-of-directors-of-leovegas-in-relation-to-the-public-offer-from-mgm.pdf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comunicato integrativo sull'acquisizione di SKS365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https://italia-informa.com/public/italiainforma/ComunicatiStampa/Lottomatica/LOTTOMATICA_3_NOVEMBRE.pdf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to acquire Snaitech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https://www.sec.gov/Archives/edgar/data/1635327/000119312524220094/d639844dex991.htm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B: Nordnet Social (foro de la acción y titulares de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https://www.nordnet.se/marknaden/aktiekurser/16406506-betsson-b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 Rahapelialan arvo-osake? (hilo del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https://forum.inderes.com/t/betsson-rahapelialan-arvo-osake/28025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Ostin/myin juuri äsken (Osa 8): mensaje sobre Betsson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https://forum.inderes.com/t/ostin-myin-juuri-asken-osa-8/69575/5329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«Mycket bra rapport och stark tillväxt för B2C verksamheten»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https://forum.placera.se/inlagg/1830a323-77b4-48d4-95c7-a1fd24ea96ef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«B2B stabiliserat, B2C-rekord»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https://forum.placera.se/inlagg/954709ff-c245-4214-bc41-726c43e296ab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«Bättre än väntat, för somliga...»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https://forum.placera.se/inlagg/47224cdb-39da-4fd2-9838-97c3d565b804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«Kommer sämre siffror att komma?» (Turquía)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https://forum.placera.se/inlagg/14e551f3-5e66-4699-95d9-d51979645189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«Ökning under fotbolls-VM»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https://forum.placera.se/inlagg/852a7523-6f17-43db-9b6b-974a57615436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«Blankningen stiger igen»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https://forum.placera.se/inlagg/b981a302-55fa-4f71-92bd-0974db996694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«Icke händelse» (Brasil)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https://forum.placera.se/inlagg/8c6fb7d4-71c8-448f-ae0d-b9c17e5a24ef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«Vinstvarning?»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https://forum.placera.se/inlagg/d61c10af-c2cf-41b1-aef5-ad3cb8c2ca63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Brazil's president bans online betting less than two years after launch and nine days before election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CDC Gaming Reports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https://cdcgaming.com/brazils-president-bans-online-betting-less-than-two-years-after-launch-and-nine-days-before-election/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94,1 %</w:t>
      </w:r>
      <w:r>
        <w:t xml:space="preserve"> · Secciones con menos del 60 % de campos cubiertos: </w:t>
      </w:r>
      <w:r>
        <w:rPr>
          <w:b/>
          <w:bCs/>
        </w:rPr>
        <w:t xml:space="preserve">ninguna</w:t>
      </w:r>
      <w:r>
        <w:t xml:space="preserve"> · Generado el 12 oct 2026.</w:t>
      </w:r>
    </w:p>
    <w:p>
      <w:pPr>
        <w:pStyle w:val="Nota"/>
        <w:spacing w:after="100"/>
      </w:pPr>
      <w:r>
        <w:t xml:space="preserve">Betsson publica en EUR y cotiza en SEK (Nasdaq Stockholm, solo la clase B, ISIN SE0022726485); todas las cifras van en millones de EUR. El precio es el cierre del viernes 9-oct-2026 (95,65 SEK): a la hora de corte del lunes 12-oct la sesión de Estocolmo no había cerrado. Conversión con el tipo del BCE del 9-oct-2026 (11,1675 SEK por EUR; el del 12-oct no estaba publicado) [32]. Las acciones A (10 votos, no cotizan) se valoran al precio de la B; las C están todas en autocartera: 135,305 M de acciones en circulación. Hasta 2021 Betsson publicaba en SEK: la serie en EUR empieza en 2021 (cinco ejercicios). El LTM a jun-26 es la suma de los cuatro últimos trimestres. El consenso de MarketScreener viene en SEK y se pasa a EUR con el tipo implícito del proveedor (10,6216), que reproduce las cifras en EUR de Stock Analysis. La beta se calcula con la acción convertida a EUR frente al STOXX Europe 600 (la de la acción en SEK frente al OMXSPI, 0,17, no es utilizable). Rentabilidades de bolsa de precio, sin dividendos.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Betsson AB (publ) (BETS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Hoja1!$B$2:$B$10</c:f>
              <c:numCache>
                <c:formatCode>#,##0.0</c:formatCode>
                <c:ptCount val="9"/>
                <c:pt idx="0">
                  <c:v>7.25</c:v>
                </c:pt>
                <c:pt idx="1">
                  <c:v>8.06</c:v>
                </c:pt>
                <c:pt idx="2">
                  <c:v>10.09</c:v>
                </c:pt>
                <c:pt idx="3">
                  <c:v>12.51</c:v>
                </c:pt>
                <c:pt idx="4">
                  <c:v>16.55</c:v>
                </c:pt>
                <c:pt idx="5">
                  <c:v>13.94</c:v>
                </c:pt>
                <c:pt idx="6">
                  <c:v>7.07</c:v>
                </c:pt>
                <c:pt idx="7">
                  <c:v>15.66</c:v>
                </c:pt>
                <c:pt idx="8">
                  <c:v>8.52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Hoja1!$C$2:$C$10</c:f>
              <c:numCache>
                <c:formatCode>#,##0.0</c:formatCode>
                <c:ptCount val="9"/>
                <c:pt idx="0">
                  <c:v>7.08</c:v>
                </c:pt>
                <c:pt idx="1">
                  <c:v>0.8899999999999988</c:v>
                </c:pt>
                <c:pt idx="2">
                  <c:v>4.029999999999999</c:v>
                </c:pt>
                <c:pt idx="3">
                  <c:v>3.7700000000000014</c:v>
                </c:pt>
                <c:pt idx="4">
                  <c:v>2.1099999999999994</c:v>
                </c:pt>
                <c:pt idx="5">
                  <c:v>2.2200000000000006</c:v>
                </c:pt>
                <c:pt idx="6">
                  <c:v>10.84</c:v>
                </c:pt>
                <c:pt idx="7">
                  <c:v>1.8099999999999987</c:v>
                </c:pt>
                <c:pt idx="8">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CEECA (Europa Central y del Este y Asia Central)</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212.1</c:v>
                </c:pt>
                <c:pt idx="1">
                  <c:v>278.7</c:v>
                </c:pt>
                <c:pt idx="2">
                  <c:v>399.8</c:v>
                </c:pt>
                <c:pt idx="3">
                  <c:v>472.8</c:v>
                </c:pt>
                <c:pt idx="4">
                  <c:v>480.3</c:v>
                </c:pt>
              </c:numCache>
            </c:numRef>
          </c:val>
        </c:ser>
        <c:ser>
          <c:idx val="1"/>
          <c:order val="1"/>
          <c:tx>
            <c:strRef>
              <c:f>Hoja1!$C$1</c:f>
              <c:strCache>
                <c:ptCount val="1"/>
                <c:pt idx="0">
                  <c:v>Latinoamérica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88.3</c:v>
                </c:pt>
                <c:pt idx="1">
                  <c:v>173.6</c:v>
                </c:pt>
                <c:pt idx="2">
                  <c:v>201.6</c:v>
                </c:pt>
                <c:pt idx="3">
                  <c:v>253.9</c:v>
                </c:pt>
                <c:pt idx="4">
                  <c:v>320.1</c:v>
                </c:pt>
              </c:numCache>
            </c:numRef>
          </c:val>
        </c:ser>
        <c:ser>
          <c:idx val="2"/>
          <c:order val="2"/>
          <c:tx>
            <c:strRef>
              <c:f>Hoja1!$D$1</c:f>
              <c:strCache>
                <c:ptCount val="1"/>
                <c:pt idx="0">
                  <c:v>Europa Occidental</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136</c:v>
                </c:pt>
                <c:pt idx="1">
                  <c:v>97.8</c:v>
                </c:pt>
                <c:pt idx="2">
                  <c:v>135</c:v>
                </c:pt>
                <c:pt idx="3">
                  <c:v>184.5</c:v>
                </c:pt>
                <c:pt idx="4">
                  <c:v>232.7</c:v>
                </c:pt>
              </c:numCache>
            </c:numRef>
          </c:val>
        </c:ser>
        <c:ser>
          <c:idx val="3"/>
          <c:order val="3"/>
          <c:tx>
            <c:strRef>
              <c:f>Hoja1!$E$1</c:f>
              <c:strCache>
                <c:ptCount val="1"/>
                <c:pt idx="0">
                  <c:v>Nórdicos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207.7</c:v>
                </c:pt>
                <c:pt idx="1">
                  <c:v>212.2</c:v>
                </c:pt>
                <c:pt idx="2">
                  <c:v>196.1</c:v>
                </c:pt>
                <c:pt idx="3">
                  <c:v>179.5</c:v>
                </c:pt>
                <c:pt idx="4">
                  <c:v>141.7</c:v>
                </c:pt>
              </c:numCache>
            </c:numRef>
          </c:val>
        </c:ser>
        <c:ser>
          <c:idx val="4"/>
          <c:order val="4"/>
          <c:tx>
            <c:strRef>
              <c:f>Hoja1!$F$1</c:f>
              <c:strCache>
                <c:ptCount val="1"/>
                <c:pt idx="0">
                  <c:v>Resto del mundo</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13.5</c:v>
                </c:pt>
                <c:pt idx="1">
                  <c:v>15</c:v>
                </c:pt>
                <c:pt idx="2">
                  <c:v>15.6</c:v>
                </c:pt>
                <c:pt idx="3">
                  <c:v>15.9</c:v>
                </c:pt>
                <c:pt idx="4">
                  <c:v>22.5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CEECA (Europa Central y del Este y Asia Central)</c:v>
                </c:pt>
                <c:pt idx="1">
                  <c:v>Latinoamérica</c:v>
                </c:pt>
                <c:pt idx="2">
                  <c:v>Europa Occidental</c:v>
                </c:pt>
                <c:pt idx="3">
                  <c:v>Nórdicos</c:v>
                </c:pt>
                <c:pt idx="4">
                  <c:v>Resto del mundo</c:v>
                </c:pt>
              </c:strCache>
            </c:strRef>
          </c:cat>
          <c:val>
            <c:numRef>
              <c:f>Hoja1!$B$2:$B$6</c:f>
              <c:numCache>
                <c:formatCode>General</c:formatCode>
                <c:ptCount val="5"/>
                <c:pt idx="0">
                  <c:v>40.1</c:v>
                </c:pt>
                <c:pt idx="1">
                  <c:v>26.7</c:v>
                </c:pt>
                <c:pt idx="2">
                  <c:v>19.4</c:v>
                </c:pt>
                <c:pt idx="3">
                  <c:v>11.8</c:v>
                </c:pt>
                <c:pt idx="4">
                  <c:v>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CEECA</c:v>
                </c:pt>
                <c:pt idx="1">
                  <c:v>Latinoamérica</c:v>
                </c:pt>
                <c:pt idx="2">
                  <c:v>Europa Occidental</c:v>
                </c:pt>
                <c:pt idx="3">
                  <c:v>Nórdicos</c:v>
                </c:pt>
                <c:pt idx="4">
                  <c:v>Resto del mundo</c:v>
                </c:pt>
              </c:strCache>
            </c:strRef>
          </c:cat>
          <c:val>
            <c:numRef>
              <c:f>Hoja1!$B$2:$B$6</c:f>
              <c:numCache>
                <c:formatCode>0"%"</c:formatCode>
                <c:ptCount val="5"/>
                <c:pt idx="0">
                  <c:v>40.1</c:v>
                </c:pt>
                <c:pt idx="1">
                  <c:v>26.7</c:v>
                </c:pt>
                <c:pt idx="2">
                  <c:v>19.5</c:v>
                </c:pt>
                <c:pt idx="3">
                  <c:v>11.8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(GGR del juego online en Europa, EGBA/H2GC; 2023 y 2025e-2028e son estimaciones propias))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2024</c:v>
                </c:pt>
                <c:pt idx="2">
                  <c:v>2025e</c:v>
                </c:pt>
                <c:pt idx="3">
                  <c:v>2026e</c:v>
                </c:pt>
                <c:pt idx="4">
                  <c:v>2027e</c:v>
                </c:pt>
                <c:pt idx="5">
                  <c:v>2028e</c:v>
                </c:pt>
                <c:pt idx="6">
                  <c:v>2029e</c:v>
                </c:pt>
              </c:strCache>
            </c:strRef>
          </c:cat>
          <c:val>
            <c:numRef>
              <c:f>Hoja1!$B$2:$B$8</c:f>
              <c:numCache>
                <c:formatCode>#,##0</c:formatCode>
                <c:ptCount val="7"/>
                <c:pt idx="0">
                  <c:v>43484</c:v>
                </c:pt>
                <c:pt idx="1">
                  <c:v>47900</c:v>
                </c:pt>
                <c:pt idx="2">
                  <c:v>51205</c:v>
                </c:pt>
                <c:pt idx="3">
                  <c:v>54738</c:v>
                </c:pt>
                <c:pt idx="4">
                  <c:v>58515</c:v>
                </c:pt>
                <c:pt idx="5">
                  <c:v>62553</c:v>
                </c:pt>
                <c:pt idx="6">
                  <c:v>66800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Betsson</c:v>
                </c:pt>
                <c:pt idx="1">
                  <c:v>Flutter Entertainment</c:v>
                </c:pt>
                <c:pt idx="2">
                  <c:v>Entain</c:v>
                </c:pt>
                <c:pt idx="3">
                  <c:v>FDJ United (con Kindred)</c:v>
                </c:pt>
                <c:pt idx="4">
                  <c:v>Kambi Group</c:v>
                </c:pt>
                <c:pt idx="5">
                  <c:v>Codere Online</c:v>
                </c:pt>
              </c:strCache>
            </c:strRef>
          </c:cat>
          <c:val>
            <c:numRef>
              <c:f>Hoja1!$B$2:$B$7</c:f>
              <c:numCache>
                <c:formatCode>0.0"%"</c:formatCode>
                <c:ptCount val="6"/>
                <c:pt idx="0">
                  <c:v>21.1</c:v>
                </c:pt>
                <c:pt idx="1">
                  <c:v>0.2</c:v>
                </c:pt>
                <c:pt idx="2">
                  <c:v>-3.7</c:v>
                </c:pt>
                <c:pt idx="3">
                  <c:v>10</c:v>
                </c:pt>
                <c:pt idx="4">
                  <c:v>5</c:v>
                </c:pt>
                <c:pt idx="5">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657.7</c:v>
                </c:pt>
                <c:pt idx="1">
                  <c:v>777.2</c:v>
                </c:pt>
                <c:pt idx="2">
                  <c:v>948.2</c:v>
                </c:pt>
                <c:pt idx="3">
                  <c:v>1106.6</c:v>
                </c:pt>
                <c:pt idx="4">
                  <c:v>1197</c:v>
                </c:pt>
                <c:pt idx="5">
                  <c:v>1245</c:v>
                </c:pt>
                <c:pt idx="6">
                  <c:v>1320</c:v>
                </c:pt>
                <c:pt idx="7">
                  <c:v>1392</c:v>
                </c:pt>
                <c:pt idx="8">
                  <c:v>1462</c:v>
                </c:pt>
                <c:pt idx="9">
                  <c:v>1528</c:v>
                </c:pt>
                <c:pt idx="10">
                  <c:v>1581</c:v>
                </c:pt>
                <c:pt idx="11">
                  <c:v>1621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153.7</c:v>
                </c:pt>
                <c:pt idx="1">
                  <c:v>172.4</c:v>
                </c:pt>
                <c:pt idx="2">
                  <c:v>262.7</c:v>
                </c:pt>
                <c:pt idx="3">
                  <c:v>315.9</c:v>
                </c:pt>
                <c:pt idx="4">
                  <c:v>313.6</c:v>
                </c:pt>
                <c:pt idx="5">
                  <c:v>237</c:v>
                </c:pt>
                <c:pt idx="6">
                  <c:v>257</c:v>
                </c:pt>
                <c:pt idx="7">
                  <c:v>278</c:v>
                </c:pt>
                <c:pt idx="8">
                  <c:v>300</c:v>
                </c:pt>
                <c:pt idx="9">
                  <c:v>321</c:v>
                </c:pt>
                <c:pt idx="10">
                  <c:v>332</c:v>
                </c:pt>
                <c:pt idx="11">
                  <c:v>340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64.7</c:v>
                </c:pt>
                <c:pt idx="1">
                  <c:v>64.9</c:v>
                </c:pt>
                <c:pt idx="2">
                  <c:v>66.6</c:v>
                </c:pt>
                <c:pt idx="3">
                  <c:v>65</c:v>
                </c:pt>
                <c:pt idx="4">
                  <c:v>63.1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23.4</c:v>
                </c:pt>
                <c:pt idx="1">
                  <c:v>22.2</c:v>
                </c:pt>
                <c:pt idx="2">
                  <c:v>27.7</c:v>
                </c:pt>
                <c:pt idx="3">
                  <c:v>28.5</c:v>
                </c:pt>
                <c:pt idx="4">
                  <c:v>26.2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22.2</c:v>
                </c:pt>
                <c:pt idx="3">
                  <c:v>23.2</c:v>
                </c:pt>
                <c:pt idx="4">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16.2</c:v>
                </c:pt>
                <c:pt idx="1">
                  <c:v>15.4</c:v>
                </c:pt>
                <c:pt idx="2">
                  <c:v>18.7</c:v>
                </c:pt>
                <c:pt idx="3">
                  <c:v>16.4</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c:v>
                </c:pt>
                <c:pt idx="1">
                  <c:v>22</c:v>
                </c:pt>
                <c:pt idx="2">
                  <c:v>18</c:v>
                </c:pt>
                <c:pt idx="3">
                  <c:v>12</c:v>
                </c:pt>
                <c:pt idx="4">
                  <c:v>6</c:v>
                </c:pt>
                <c:pt idx="5">
                  <c:v>-1</c:v>
                </c:pt>
                <c:pt idx="6">
                  <c:v>-3</c:v>
                </c:pt>
                <c:pt idx="7">
                  <c:v>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51</c:v>
                </c:pt>
                <c:pt idx="1">
                  <c:v>48</c:v>
                </c:pt>
                <c:pt idx="2">
                  <c:v>20</c:v>
                </c:pt>
                <c:pt idx="3">
                  <c:v>16</c:v>
                </c:pt>
                <c:pt idx="4">
                  <c:v>11</c:v>
                </c:pt>
                <c:pt idx="5">
                  <c:v>5</c:v>
                </c:pt>
                <c:pt idx="6">
                  <c:v>4</c:v>
                </c:pt>
                <c:pt idx="7">
                  <c:v>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98</c:v>
                </c:pt>
                <c:pt idx="1">
                  <c:v>94</c:v>
                </c:pt>
                <c:pt idx="2">
                  <c:v>76</c:v>
                </c:pt>
                <c:pt idx="3">
                  <c:v>89</c:v>
                </c:pt>
                <c:pt idx="4">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23</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105.7</c:v>
                </c:pt>
                <c:pt idx="1">
                  <c:v>136.79999999999998</c:v>
                </c:pt>
                <c:pt idx="2">
                  <c:v>182.8</c:v>
                </c:pt>
                <c:pt idx="3">
                  <c:v>216.79999999999998</c:v>
                </c:pt>
                <c:pt idx="4">
                  <c:v>142.7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106.4</c:v>
                </c:pt>
                <c:pt idx="1">
                  <c:v>119.6</c:v>
                </c:pt>
                <c:pt idx="2">
                  <c:v>177.3</c:v>
                </c:pt>
                <c:pt idx="3">
                  <c:v>181.3</c:v>
                </c:pt>
                <c:pt idx="4">
                  <c:v>177.4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18.5</c:v>
                </c:pt>
                <c:pt idx="1">
                  <c:v>20.4</c:v>
                </c:pt>
                <c:pt idx="2">
                  <c:v>28.7</c:v>
                </c:pt>
                <c:pt idx="3">
                  <c:v>28</c:v>
                </c:pt>
                <c:pt idx="4">
                  <c:v>26.2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18.6</c:v>
                </c:pt>
                <c:pt idx="1">
                  <c:v>19.5</c:v>
                </c:pt>
                <c:pt idx="2">
                  <c:v>24.9</c:v>
                </c:pt>
                <c:pt idx="3">
                  <c:v>22.1</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-0.31</c:v>
                </c:pt>
                <c:pt idx="2">
                  <c:v>-0.2</c:v>
                </c:pt>
                <c:pt idx="3">
                  <c:v>-0.39</c:v>
                </c:pt>
                <c:pt idx="4">
                  <c:v>-0.43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0</c:v>
                </c:pt>
                <c:pt idx="1">
                  <c:v>100</c:v>
                </c:pt>
                <c:pt idx="2">
                  <c:v>0</c:v>
                </c:pt>
                <c:pt idx="3">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39.5</c:v>
                </c:pt>
                <c:pt idx="1">
                  <c:v>15.7</c:v>
                </c:pt>
                <c:pt idx="2">
                  <c:v>117.6</c:v>
                </c:pt>
                <c:pt idx="3">
                  <c:v>43.3</c:v>
                </c:pt>
                <c:pt idx="4">
                  <c:v>8.5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50.3</c:v>
                </c:pt>
                <c:pt idx="2">
                  <c:v>59.7</c:v>
                </c:pt>
                <c:pt idx="3">
                  <c:v>90.2</c:v>
                </c:pt>
                <c:pt idx="4">
                  <c:v>104.8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4</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Hamberg Förvaltning AB (familia Hamberg; consejero Peter Hamberg)</c:v>
                </c:pt>
                <c:pt idx="1">
                  <c:v>Knutsson Holdings AB (consejero Tristan Sjöberg es socio)</c:v>
                </c:pt>
                <c:pt idx="2">
                  <c:v>Lars Kling (familia Kling)</c:v>
                </c:pt>
                <c:pt idx="3">
                  <c:v>Berit Lindwall</c:v>
                </c:pt>
                <c:pt idx="4">
                  <c:v>Provobis Holding AB</c:v>
                </c:pt>
                <c:pt idx="5">
                  <c:v>Pontus Lindwall (CEO)</c:v>
                </c:pt>
                <c:pt idx="6">
                  <c:v>Fidelity Investments (FMR)</c:v>
                </c:pt>
                <c:pt idx="7">
                  <c:v>Avanza Pension</c:v>
                </c:pt>
                <c:pt idx="8">
                  <c:v>Vanguard</c:v>
                </c:pt>
                <c:pt idx="9">
                  <c:v>Svea Bank AB</c:v>
                </c:pt>
                <c:pt idx="10">
                  <c:v>Autocartera</c:v>
                </c:pt>
              </c:strCache>
            </c:strRef>
          </c:cat>
          <c:val>
            <c:numRef>
              <c:f>Hoja1!$B$2:$B$12</c:f>
              <c:numCache>
                <c:formatCode>0.0"%"</c:formatCode>
                <c:ptCount val="11"/>
                <c:pt idx="0">
                  <c:v>3.8</c:v>
                </c:pt>
                <c:pt idx="1">
                  <c:v>4.8</c:v>
                </c:pt>
                <c:pt idx="2">
                  <c:v>2.7</c:v>
                </c:pt>
                <c:pt idx="3">
                  <c:v>1.3</c:v>
                </c:pt>
                <c:pt idx="4">
                  <c:v>1.1</c:v>
                </c:pt>
                <c:pt idx="5">
                  <c:v>1.5</c:v>
                </c:pt>
                <c:pt idx="6">
                  <c:v>5.5</c:v>
                </c:pt>
                <c:pt idx="7">
                  <c:v>3.8</c:v>
                </c:pt>
                <c:pt idx="8">
                  <c:v>3.1</c:v>
                </c:pt>
                <c:pt idx="9">
                  <c:v>2.9</c:v>
                </c:pt>
                <c:pt idx="10">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-43.5</c:v>
                </c:pt>
                <c:pt idx="1">
                  <c:v>-31.2</c:v>
                </c:pt>
                <c:pt idx="2">
                  <c:v>20.7</c:v>
                </c:pt>
                <c:pt idx="3">
                  <c:v>-40.2</c:v>
                </c:pt>
                <c:pt idx="4">
                  <c:v>68.7</c:v>
                </c:pt>
                <c:pt idx="5">
                  <c:v>-25.8</c:v>
                </c:pt>
                <c:pt idx="6">
                  <c:v>55.1</c:v>
                </c:pt>
                <c:pt idx="7">
                  <c:v>28</c:v>
                </c:pt>
                <c:pt idx="8">
                  <c:v>32.4</c:v>
                </c:pt>
                <c:pt idx="9">
                  <c:v>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6.4</c:v>
                </c:pt>
                <c:pt idx="2">
                  <c:v>-7.7</c:v>
                </c:pt>
                <c:pt idx="3">
                  <c:v>29.6</c:v>
                </c:pt>
                <c:pt idx="4">
                  <c:v>12.9</c:v>
                </c:pt>
                <c:pt idx="5">
                  <c:v>35</c:v>
                </c:pt>
                <c:pt idx="6">
                  <c:v>-24.6</c:v>
                </c:pt>
                <c:pt idx="7">
                  <c:v>15.6</c:v>
                </c:pt>
                <c:pt idx="8">
                  <c:v>5.6</c:v>
                </c:pt>
                <c:pt idx="9">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2">
                  <c:v>4.9</c:v>
                </c:pt>
                <c:pt idx="3">
                  <c:v>5.7</c:v>
                </c:pt>
                <c:pt idx="4">
                  <c:v>4.9</c:v>
                </c:pt>
                <c:pt idx="5">
                  <c:v>5.1</c:v>
                </c:pt>
                <c:pt idx="6">
                  <c:v>5.6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5.1</c:v>
                </c:pt>
                <c:pt idx="1">
                  <c:v>5.1</c:v>
                </c:pt>
                <c:pt idx="2">
                  <c:v>5.1</c:v>
                </c:pt>
                <c:pt idx="3">
                  <c:v>5.1</c:v>
                </c:pt>
                <c:pt idx="4">
                  <c:v>5.1</c:v>
                </c:pt>
                <c:pt idx="5">
                  <c:v>5.1</c:v>
                </c:pt>
                <c:pt idx="6">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Betsson</c:v>
                </c:pt>
                <c:pt idx="1">
                  <c:v>Evolution</c:v>
                </c:pt>
                <c:pt idx="2">
                  <c:v>Entain</c:v>
                </c:pt>
                <c:pt idx="3">
                  <c:v>Lottomatica</c:v>
                </c:pt>
                <c:pt idx="4">
                  <c:v>FDJ United</c:v>
                </c:pt>
                <c:pt idx="5">
                  <c:v>Super Group</c:v>
                </c:pt>
                <c:pt idx="6">
                  <c:v>Evoke</c:v>
                </c:pt>
                <c:pt idx="7">
                  <c:v>Flutter Entertainment</c:v>
                </c:pt>
                <c:pt idx="8">
                  <c:v>Kambi Group</c:v>
                </c:pt>
                <c:pt idx="9">
                  <c:v>Playtech</c:v>
                </c:pt>
              </c:strCache>
            </c:strRef>
          </c:cat>
          <c:val>
            <c:numRef>
              <c:f>Hoja1!$B$2:$B$11</c:f>
              <c:numCache>
                <c:formatCode>0.0"x"</c:formatCode>
                <c:ptCount val="10"/>
                <c:pt idx="0">
                  <c:v>4.7</c:v>
                </c:pt>
                <c:pt idx="1">
                  <c:v>8.4</c:v>
                </c:pt>
                <c:pt idx="2">
                  <c:v>6.4</c:v>
                </c:pt>
                <c:pt idx="3">
                  <c:v>7.6</c:v>
                </c:pt>
                <c:pt idx="4">
                  <c:v>6.3</c:v>
                </c:pt>
                <c:pt idx="5">
                  <c:v>6.9</c:v>
                </c:pt>
                <c:pt idx="6">
                  <c:v>5.5</c:v>
                </c:pt>
                <c:pt idx="7">
                  <c:v>8.2</c:v>
                </c:pt>
                <c:pt idx="8">
                  <c:v>5.5</c:v>
                </c:pt>
                <c:pt idx="9">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Betsson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9.8</c:v>
                </c:pt>
              </c:numCache>
            </c:numRef>
          </c:xVal>
          <c:yVal>
            <c:numRef>
              <c:f>Hoja1!$C$2</c:f>
              <c:numCache>
                <c:formatCode>0.0"x"</c:formatCode>
                <c:ptCount val="1"/>
                <c:pt idx="0">
                  <c:v>4.7</c:v>
                </c:pt>
              </c:numCache>
            </c:numRef>
          </c:yVal>
          <c:smooth val="0"/>
        </c:ser>
        <c:ser>
          <c:idx val="1"/>
          <c:order val="1"/>
          <c:tx>
            <c:strRef>
              <c:f>Hoja1!$A$3</c:f>
              <c:strCache>
                <c:ptCount val="1"/>
                <c:pt idx="0">
                  <c:v>Evolution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8.4</c:v>
                </c:pt>
              </c:numCache>
            </c:numRef>
          </c:yVal>
          <c:smooth val="0"/>
        </c:ser>
        <c:ser>
          <c:idx val="2"/>
          <c:order val="2"/>
          <c:tx>
            <c:strRef>
              <c:f>Hoja1!$A$4</c:f>
              <c:strCache>
                <c:ptCount val="1"/>
                <c:pt idx="0">
                  <c:v>Entain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0.6</c:v>
                </c:pt>
              </c:numCache>
            </c:numRef>
          </c:xVal>
          <c:yVal>
            <c:numRef>
              <c:f>Hoja1!$C$4</c:f>
              <c:numCache>
                <c:formatCode>0.0"x"</c:formatCode>
                <c:ptCount val="1"/>
                <c:pt idx="0">
                  <c:v>6.4</c:v>
                </c:pt>
              </c:numCache>
            </c:numRef>
          </c:yVal>
          <c:smooth val="0"/>
        </c:ser>
        <c:ser>
          <c:idx val="3"/>
          <c:order val="3"/>
          <c:tx>
            <c:strRef>
              <c:f>Hoja1!$A$5</c:f>
              <c:strCache>
                <c:ptCount val="1"/>
                <c:pt idx="0">
                  <c:v>Lottomatica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7.1</c:v>
                </c:pt>
              </c:numCache>
            </c:numRef>
          </c:xVal>
          <c:yVal>
            <c:numRef>
              <c:f>Hoja1!$C$5</c:f>
              <c:numCache>
                <c:formatCode>0.0"x"</c:formatCode>
                <c:ptCount val="1"/>
                <c:pt idx="0">
                  <c:v>7.6</c:v>
                </c:pt>
              </c:numCache>
            </c:numRef>
          </c:yVal>
          <c:smooth val="0"/>
        </c:ser>
        <c:ser>
          <c:idx val="4"/>
          <c:order val="4"/>
          <c:tx>
            <c:strRef>
              <c:f>Hoja1!$A$6</c:f>
              <c:strCache>
                <c:ptCount val="1"/>
                <c:pt idx="0">
                  <c:v>FDJ United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0.5</c:v>
                </c:pt>
              </c:numCache>
            </c:numRef>
          </c:xVal>
          <c:yVal>
            <c:numRef>
              <c:f>Hoja1!$C$6</c:f>
              <c:numCache>
                <c:formatCode>0.0"x"</c:formatCode>
                <c:ptCount val="1"/>
                <c:pt idx="0">
                  <c:v>6.3</c:v>
                </c:pt>
              </c:numCache>
            </c:numRef>
          </c:yVal>
          <c:smooth val="0"/>
        </c:ser>
        <c:ser>
          <c:idx val="5"/>
          <c:order val="5"/>
          <c:tx>
            <c:strRef>
              <c:f>Hoja1!$A$7</c:f>
              <c:strCache>
                <c:ptCount val="1"/>
                <c:pt idx="0">
                  <c:v>Super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15.6</c:v>
                </c:pt>
              </c:numCache>
            </c:numRef>
          </c:xVal>
          <c:yVal>
            <c:numRef>
              <c:f>Hoja1!$C$7</c:f>
              <c:numCache>
                <c:formatCode>0.0"x"</c:formatCode>
                <c:ptCount val="1"/>
                <c:pt idx="0">
                  <c:v>6.9</c:v>
                </c:pt>
              </c:numCache>
            </c:numRef>
          </c:yVal>
          <c:smooth val="0"/>
        </c:ser>
        <c:ser>
          <c:idx val="6"/>
          <c:order val="6"/>
          <c:tx>
            <c:strRef>
              <c:f>Hoja1!$A$8</c:f>
              <c:strCache>
                <c:ptCount val="1"/>
                <c:pt idx="0">
                  <c:v>Evoke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2.9</c:v>
                </c:pt>
              </c:numCache>
            </c:numRef>
          </c:xVal>
          <c:yVal>
            <c:numRef>
              <c:f>Hoja1!$C$8</c:f>
              <c:numCache>
                <c:formatCode>0.0"x"</c:formatCode>
                <c:ptCount val="1"/>
                <c:pt idx="0">
                  <c:v>5.5</c:v>
                </c:pt>
              </c:numCache>
            </c:numRef>
          </c:yVal>
          <c:smooth val="0"/>
        </c:ser>
        <c:ser>
          <c:idx val="7"/>
          <c:order val="7"/>
          <c:tx>
            <c:strRef>
              <c:f>Hoja1!$A$9</c:f>
              <c:strCache>
                <c:ptCount val="1"/>
                <c:pt idx="0">
                  <c:v>Flutter Entertainment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8.2</c:v>
                </c:pt>
              </c:numCache>
            </c:numRef>
          </c:yVal>
          <c:smooth val="0"/>
        </c:ser>
        <c:ser>
          <c:idx val="8"/>
          <c:order val="8"/>
          <c:tx>
            <c:strRef>
              <c:f>Hoja1!$A$10</c:f>
              <c:strCache>
                <c:ptCount val="1"/>
                <c:pt idx="0">
                  <c:v>Kambi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7.2</c:v>
                </c:pt>
              </c:numCache>
            </c:numRef>
          </c:xVal>
          <c:yVal>
            <c:numRef>
              <c:f>Hoja1!$C$10</c:f>
              <c:numCache>
                <c:formatCode>0.0"x"</c:formatCode>
                <c:ptCount val="1"/>
                <c:pt idx="0">
                  <c:v>5.5</c:v>
                </c:pt>
              </c:numCache>
            </c:numRef>
          </c:yVal>
          <c:smooth val="0"/>
        </c:ser>
        <c:ser>
          <c:idx val="9"/>
          <c:order val="9"/>
          <c:tx>
            <c:strRef>
              <c:f>Hoja1!$A$11</c:f>
              <c:strCache>
                <c:ptCount val="1"/>
                <c:pt idx="0">
                  <c:v>Playtech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7.3</c:v>
                </c:pt>
              </c:numCache>
            </c:numRef>
          </c:xVal>
          <c:yVal>
            <c:numRef>
              <c:f>Hoja1!$C$11</c:f>
              <c:numCache>
                <c:formatCode>0.0"x"</c:formatCode>
                <c:ptCount val="1"/>
                <c:pt idx="0">
                  <c:v>4.2</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Kindred Group</c:v>
                </c:pt>
                <c:pt idx="1">
                  <c:v>LeoVegas</c:v>
                </c:pt>
                <c:pt idx="2">
                  <c:v>SKS365 (Planetwin365)</c:v>
                </c:pt>
                <c:pt idx="3">
                  <c:v>Snaitech</c:v>
                </c:pt>
              </c:strCache>
            </c:strRef>
          </c:cat>
          <c:val>
            <c:numRef>
              <c:f>Hoja1!$B$2:$B$5</c:f>
              <c:numCache>
                <c:formatCode>0.0"x"</c:formatCode>
                <c:ptCount val="4"/>
                <c:pt idx="0">
                  <c:v>10.9</c:v>
                </c:pt>
                <c:pt idx="2">
                  <c:v>8.7</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120</c:v>
                </c:pt>
                <c:pt idx="1">
                  <c:v>126</c:v>
                </c:pt>
                <c:pt idx="2">
                  <c:v>140</c:v>
                </c:pt>
                <c:pt idx="3">
                  <c:v>155</c:v>
                </c:pt>
                <c:pt idx="4">
                  <c:v>171</c:v>
                </c:pt>
                <c:pt idx="5">
                  <c:v>179</c:v>
                </c:pt>
                <c:pt idx="6">
                  <c:v>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734</c:v>
                </c:pt>
                <c:pt idx="1">
                  <c:v>1350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8,56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7.07</c:v>
                </c:pt>
                <c:pt idx="1">
                  <c:v>14.93</c:v>
                </c:pt>
                <c:pt idx="2">
                  <c:v>17.91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Hoja1!$B$2:$B$10</c:f>
              <c:numCache>
                <c:formatCode>#,##0.0</c:formatCode>
                <c:ptCount val="9"/>
                <c:pt idx="0">
                  <c:v>7.25</c:v>
                </c:pt>
                <c:pt idx="1">
                  <c:v>8.06</c:v>
                </c:pt>
                <c:pt idx="2">
                  <c:v>10.09</c:v>
                </c:pt>
                <c:pt idx="3">
                  <c:v>12.51</c:v>
                </c:pt>
                <c:pt idx="4">
                  <c:v>16.55</c:v>
                </c:pt>
                <c:pt idx="5">
                  <c:v>13.94</c:v>
                </c:pt>
                <c:pt idx="6">
                  <c:v>7.07</c:v>
                </c:pt>
                <c:pt idx="7">
                  <c:v>15.66</c:v>
                </c:pt>
                <c:pt idx="8">
                  <c:v>8.52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Hoja1!$C$2:$C$10</c:f>
              <c:numCache>
                <c:formatCode>#,##0.0</c:formatCode>
                <c:ptCount val="9"/>
                <c:pt idx="0">
                  <c:v>7.08</c:v>
                </c:pt>
                <c:pt idx="1">
                  <c:v>0.8899999999999988</c:v>
                </c:pt>
                <c:pt idx="2">
                  <c:v>4.029999999999999</c:v>
                </c:pt>
                <c:pt idx="3">
                  <c:v>3.7700000000000014</c:v>
                </c:pt>
                <c:pt idx="4">
                  <c:v>2.1099999999999994</c:v>
                </c:pt>
                <c:pt idx="5">
                  <c:v>2.2200000000000006</c:v>
                </c:pt>
                <c:pt idx="6">
                  <c:v>10.84</c:v>
                </c:pt>
                <c:pt idx="7">
                  <c:v>1.8099999999999987</c:v>
                </c:pt>
                <c:pt idx="8">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