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Alibaba Group Holding Limited</w:t>
      </w:r>
    </w:p>
    <w:p>
      <w:pPr>
        <w:spacing w:after="60"/>
        <w:rPr>
          <w:color w:val="52514E"/>
          <w:sz w:val="22"/>
          <w:szCs w:val="22"/>
        </w:rPr>
      </w:pPr>
      <w:r>
        <w:rPr>
          <w:color w:val="52514E"/>
          <w:sz w:val="22"/>
          <w:szCs w:val="22"/>
        </w:rPr>
        <w:t xml:space="preserve">BABA · NYSE (ADS; 1 ADS = 8 acciones ordinarias 9988.HK) · ISIN US01609W1027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742,70 CNY (110,85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565,83 CNY (84,45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-22,8 % (base -12,5 %)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807,95 CNY (120,59 USD) · mercado 916,15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1.846.352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Alibaba Group Holding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BABA / US01609W1027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(ADS; 1 ADS = 8 acciones ordinarias 9988.HK)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 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Comercio minorista por internet y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Hangzhou · 1999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https://www.alibabagroup.com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742,70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616,30 – 1.222,80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1.846.352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1.454.993 M CNY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565,83 CNY (84,45 USD)</w:t>
      </w:r>
      <w:r>
        <w:t xml:space="preserve"> frente a 742,70 (110,85 USD) · Rentabilidad a 12 meses </w:t>
      </w:r>
      <w:r>
        <w:rPr>
          <w:b/>
          <w:bCs/>
        </w:rPr>
        <w:t xml:space="preserve">-22,8 % (base -12,5 %)</w:t>
      </w:r>
      <w:r>
        <w:t xml:space="preserve"> · Valor intrínseco 807,95 CNY (120,59 USD) · con la prima implícita del mercado: 916,15 (136,74 USD) (+23,4 %) · Alcista / bajista +50,3 % / -28,4 %</w:t>
      </w:r>
    </w:p>
    <w:p>
      <w:pPr>
        <w:spacing w:after="100"/>
      </w:pPr>
      <w:r>
        <w:rPr>
          <w:b/>
        </w:rPr>
        <w:t xml:space="preserve">La recomendación y por qué.</w:t>
      </w:r>
      <w:r>
        <w:t xml:space="preserve"> Vender, con convicción baja: para quien no la tiene, no comprar. El objetivo a 12 meses es de 565,83 RMB por ADS (84,45 USD), un −22,8 % ponderado con el dividendo y un −12,5 % en el caso base (642,72 RMB, 95,93 USD), frente a 742,70 RMB (110,85 USD). El valor intrínseco es de 807,95 RMB (120,59 USD, +8,8 %) y el objetivo medio de los analistas, 188,70 USD, queda muy por encima de todo nuestro rango [28]. La razón: el ADS cotiza a 21,7x nuestro BPA no GAAP de FY2027e y la regla común solo paga la mediana de 5 años (13,0x), así que el precio ya descuenta la recuperación del beneficio. La convicción es baja porque las reglas discrepan (con la prima implícita del mercado el valor intrínseco sube a 916,15 RMB, +23,4 %) y porque el resultado depende de un PER histórico de años de miedo regulatorio; subiría si el 2T27 (≈24-nov) muestra el suelo del EBITA ajustado por encima de 35.000 M RMB, y la bajaría otra colocación.</w:t>
      </w:r>
    </w:p>
    <w:p>
      <w:pPr>
        <w:spacing w:after="100"/>
      </w:pPr>
      <w:r>
        <w:rPr>
          <w:b/>
        </w:rPr>
        <w:t xml:space="preserve">El negocio.</w:t>
      </w:r>
      <w:r>
        <w:t xml:space="preserve"> Taobao y Tmall siguen siendo un mercado con efectos de red y poder sobre la comisión (CMR +5 % en FY2026 [1]) y la nube crece un 45 % con margen EBITA del 12 % [4]. Pero el grupo invierte en el comercio rápido y la IA: el EBITA ajustado cayó un 56 % en FY2026 [2] y el ROIC del 13,8 % al 4,5 %, por debajo del WACC del 9,15 % (−4,7 puntos). Sostenibilidad: en parte. El crecimiento proyectado (6,4 %) no lo financia el ROIC actual; sale de la vuelta del margen hacia el 17-21 % de FY2023-25, y rebajamos un punto el crecimiento de todos los años.</w:t>
      </w:r>
    </w:p>
    <w:p>
      <w:pPr>
        <w:spacing w:after="100"/>
      </w:pPr>
      <w:r>
        <w:rPr>
          <w:b/>
        </w:rPr>
        <w:t xml:space="preserve">Finanzas.</w:t>
      </w:r>
      <w:r>
        <w:t xml:space="preserve"> La caja libre fue de −49.900 M RMB en FY2026 y de −44.670 M en el 1T27, con un capex de 67.680 M en el trimestre (+75 %) [4, 11]. La caja neta se mantiene (deuda neta ajustada de −249.940 M), pero la caja líquida bajó de 571.029 M a 316.820 M en dos años [10] y en agosto la empresa colocó 710 M de acciones nuevas (3,7 %) a 112,70 HKD, tras recomprar ≈311.000 M RMB en cuatro años [11, 26]. El beneficio publicado lleva plusvalías de participadas: usamos el no GAAP.</w:t>
      </w:r>
    </w:p>
    <w:p>
      <w:pPr>
        <w:spacing w:after="100"/>
      </w:pPr>
      <w:r>
        <w:rPr>
          <w:b/>
        </w:rPr>
        <w:t xml:space="preserve">Equipo y gobierno.</w:t>
      </w:r>
      <w:r>
        <w:t xml:space="preserve"> Resta. La Alibaba Partnership nombra la mayoría del consejo sin tener la del capital, el inversor del ADS posee una sociedad de las Islas Caimán con contratos sobre las chinas (VIE) y hay una demanda colectiva en Nueva York tras la entrada en la lista 1260H del Pentágono en junio [3, 20]. La dirección no da guía y ha fallado el BPA más de la mitad de los últimos ocho trimestres [40].</w:t>
      </w:r>
    </w:p>
    <w:p>
      <w:pPr>
        <w:spacing w:after="100"/>
      </w:pPr>
      <w:r>
        <w:rPr>
          <w:b/>
        </w:rPr>
        <w:t xml:space="preserve">Valoración.</w:t>
      </w:r>
      <w:r>
        <w:t xml:space="preserve"> El DCF da 874,85 RMB (+17,8 %) con WACC del 9,15 % y terminal del 1,1 %; el DCF inverso dice que el precio descuenta un crecimiento del 3,5 % con margen del 21 %, o un margen del 18,8 % con nuestro crecimiento: no es exigente, pero exige que el margen vuelva. Los comparables (mediana de PER de 12,8x) dan 587-1.017 RMB. Discrepamos del mercado en el múltiplo a un año, no en el negocio: nuestro BPA FY2028e (49,44 RMB) queda solo un 12 % bajo el de Erste [29].</w:t>
      </w:r>
    </w:p>
    <w:p>
      <w:pPr>
        <w:spacing w:after="100"/>
      </w:pPr>
      <w:r>
        <w:rPr>
          <w:b/>
        </w:rPr>
        <w:t xml:space="preserve">Riesgos y catalizadores.</w:t>
      </w:r>
      <w:r>
        <w:t xml:space="preserve"> El mayor es que la IA no rinda: el bajista del DCF pierde un 28,4 % y el de 12 meses un 57 % (8,4x, el PER de marzo de 2024). Le siguen la guerra del comercio rápido (rentable en FY2029, según la empresa [4]) y la geopolítica, binaria para el ADS. Catalizadores: 2T27 (≈24-nov), fin del bloqueo de la colocación (noviembre) y 3T27 (febrero). Los foros están divididos y van por detrás de los analistas; ven el mismo riesgo del capex.</w:t>
      </w:r>
    </w:p>
    <w:p>
      <w:pPr>
        <w:spacing w:after="100"/>
      </w:pPr>
      <w:r>
        <w:rPr>
          <w:b/>
        </w:rPr>
        <w:t xml:space="preserve">Qué cambiaría la decisión.</w:t>
      </w:r>
      <w:r>
        <w:t xml:space="preserve"> Compraríamos por debajo de 498,32 RMB (74,38 USD); por encima de 636,74 RMB (95,04 USD) la regla dice vender. Pasaríamos a Mantener si el EBITA ajustado vuelve a crecer en el 2T27 y la caja libre deja de ser negativa en el 3T27.</w:t>
      </w:r>
    </w:p>
    <w:p>
      <w:r>
        <w:br w:type="page"/>
      </w:r>
    </w:p>
    <w:p>
      <w:pPr>
        <w:pStyle w:val="Heading1"/>
      </w:pPr>
      <w:r>
        <w:t xml:space="preserve">Resumen ejecutivo</w:t>
      </w:r>
    </w:p>
    <w:p>
      <w:pPr>
        <w:pStyle w:val="Confianza"/>
        <w:spacing w:after="100"/>
      </w:pPr>
      <w:r>
        <w:t xml:space="preserve">Confianza: Baja</w:t>
      </w:r>
    </w:p>
    <w:p>
      <w:pPr>
        <w:pStyle w:val="Aviso"/>
        <w:spacing w:after="100"/>
      </w:pPr>
      <w:r>
        <w:t xml:space="preserve">Aviso: este informe no incluye «3. Sector y mercado», porque no se encontró información verificable tras tres búsquedas. Ver el anexo «Información no disponible».</w:t>
      </w:r>
    </w:p>
    <w:p>
      <w:pPr>
        <w:spacing w:after="100"/>
      </w:pPr>
      <w:r>
        <w:rPr>
          <w:b/>
          <w:bCs/>
        </w:rPr>
        <w:t xml:space="preserve">Recomendación: Vender</w:t>
      </w:r>
      <w:r>
        <w:t xml:space="preserve"> · Convicción: Baja · Horizonte: 12 meses (la tesis de valor, a más de un año) · Objetivo a 12 meses: </w:t>
      </w:r>
      <w:r>
        <w:rPr>
          <w:b/>
          <w:bCs/>
        </w:rPr>
        <w:t xml:space="preserve">565,83 CNY (84,45 USD)</w:t>
      </w:r>
      <w:r>
        <w:t xml:space="preserve"> (rentabilidad -22,8 % (base -12,5 %)) · Valor intrínseco: 807,95 CNY (120,59 USD) (+8,8 % sobre 742,70) · con la prima implícita del mercado: 916,15 (136,74 USD) (+23,4 %)</w:t>
      </w:r>
    </w:p>
    <w:p>
      <w:pPr>
        <w:spacing w:after="100"/>
      </w:pPr>
      <w:r>
        <w:t xml:space="preserve">Alibaba es el mayor mercado de comercio electrónico de China y su primera nube. Facturó 1.023.670 M RMB en FY2026 y su comercio electrónico gana dinero con la comisión y la publicidad que pagan los comercios [1]. La nube crece un 45 % con la IA (Qwen) [4]. Pero el grupo está en plena inversión: el EBITA ajustado cayó un 56 % en FY2026 y la caja libre es negativa [2, 11].</w:t>
      </w:r>
    </w:p>
    <w:p>
      <w:pPr>
        <w:spacing w:after="100"/>
      </w:pPr>
      <w:r>
        <w:t xml:space="preserve">El precio (110,85 USD por ADS) descuenta, según el DCF inverso, un crecimiento del 3,5 % anual con el margen EBITDA del 21 %. Cotiza a 21,7x nuestro BPA no GAAP de FY2027e, por encima de cualquier cierre de marzo de FY2022-25 (8,4-14,7x): el mercado ya paga que el beneficio se recupere.</w:t>
      </w:r>
    </w:p>
    <w:p>
      <w:pPr>
        <w:spacing w:after="100"/>
      </w:pPr>
      <w:r>
        <w:t xml:space="preserve">Para invertir hay que creer que la IA de Alibaba rinde lo que dice la dirección (inversión pagada en tres años [13]) y que el comercio rápido deja de perder en FY2029, y además que el mercado seguirá pagando más de 20x. Con la regla común de múltiplos, el ADS a 12 meses vale menos que hoy; a más largo plazo, el DCF le da un 17,8 %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565,83 CNY (84,45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35,92 = 301,73 · 13,0x × 49,44 = 642,72 · 13,0x × 59,21 = 769,73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1.264,30 (nuestro base -49,2 %)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807,95 CNY (120,59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6,7000 CNY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742,70 CNY (110,85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 / -28,4 %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9,2 %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916,15 CNY (136,74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financiable al ROIC actual: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498,32 (74,38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498,32 y 636,74 (74,38 y 95,04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636,74 (95,04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498,32 RMB (74,38 USD): pasaría a Comprar con la regla de 12 meses.</w:t>
      </w:r>
    </w:p>
    <w:p>
      <w:pPr>
        <w:pStyle w:val="ListParagraph"/>
        <w:numPr>
          <w:ilvl w:val="0"/>
          <w:numId w:val="2"/>
        </w:numPr>
        <w:spacing w:after="60"/>
      </w:pPr>
      <w:r>
        <w:t xml:space="preserve">EBITA ajustado del 2T27 por encima de 35.000 M RMB y caja libre positiva en el 3T27: revisaríamos el BPA de FY2028e al alza y pasaríamos a Mantener.</w:t>
      </w:r>
    </w:p>
    <w:p>
      <w:pPr>
        <w:pStyle w:val="ListParagraph"/>
        <w:numPr>
          <w:ilvl w:val="0"/>
          <w:numId w:val="2"/>
        </w:numPr>
        <w:spacing w:after="60"/>
      </w:pPr>
      <w:r>
        <w:t xml:space="preserve">Una nueva colocación o un convertible antes de mayo de 2027: reforzaría Vender.</w:t>
      </w:r>
    </w:p>
    <w:p>
      <w:pPr>
        <w:pStyle w:val="ListParagraph"/>
        <w:numPr>
          <w:ilvl w:val="0"/>
          <w:numId w:val="2"/>
        </w:numPr>
        <w:spacing w:after="60"/>
      </w:pPr>
      <w:r>
        <w:t xml:space="preserve">Una restricción de EE. UU. a los inversores en empresas de la lista 1260H: Vender con convicción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(188,70 USD de media, 22 casas) [28] dan por hecha la recuperación del beneficio y pagan la IA a más de 20x el BPA de FY2028; el precio de hoy ya cotiza a 21,7x nuestro BPA de FY2027.</w:t>
      </w:r>
    </w:p>
    <w:p>
      <w:pPr>
        <w:keepNext/>
        <w:spacing w:after="100"/>
      </w:pPr>
      <w:r>
        <w:rPr>
          <w:b/>
          <w:bCs/>
        </w:rPr>
        <w:t xml:space="preserve">Lo que creemos nosotros.</w:t>
      </w:r>
    </w:p>
    <w:p>
      <w:pPr>
        <w:spacing w:after="100"/>
      </w:pPr>
      <w:r>
        <w:t xml:space="preserve">El beneficio se recuperará (49,44 RMB por ADS en FY2028e, parecido al consenso), pero el múltiplo de un grupo chino con caja libre negativa, dilución y riesgo de la lista 1260H no tiene por qué ser 20x: su historia no GAAP de FY2022-25 está en 8-15x.</w:t>
      </w:r>
    </w:p>
    <w:p>
      <w:pPr>
        <w:keepNext/>
        <w:spacing w:after="100"/>
      </w:pPr>
      <w:r>
        <w:rPr>
          <w:b/>
          <w:bCs/>
        </w:rPr>
        <w:t xml:space="preserve">Por qué podemos tener razón.</w:t>
      </w:r>
    </w:p>
    <w:p>
      <w:pPr>
        <w:spacing w:after="100"/>
      </w:pPr>
      <w:r>
        <w:t xml:space="preserve">Desde 2021 el mercado solo ha pagado más de 15x a Alibaba durante la euforia de la IA de 2025; el resto del tiempo, con la regulación y la competencia de PDD, cotizó a 8-15x. Nada de eso ha desaparecido y el capex de la IA añade riesgo de ejecución.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La nube crece un 45 %</w:t>
      </w:r>
      <w:r>
        <w:t xml:space="preserve"> con margen EBITA del 12 % y es la primera de China [4].</w:t>
      </w:r>
    </w:p>
    <w:p>
      <w:pPr>
        <w:pStyle w:val="ListParagraph"/>
        <w:numPr>
          <w:ilvl w:val="0"/>
          <w:numId w:val="2"/>
        </w:numPr>
        <w:spacing w:after="60"/>
      </w:pPr>
      <w:r>
        <w:rPr>
          <w:b/>
        </w:rPr>
        <w:t xml:space="preserve">Caja neta</w:t>
      </w:r>
      <w:r>
        <w:t xml:space="preserve">: deuda neta ajustada de −249.940 M RMB y caja líquida de 474.505 M [4].</w:t>
      </w:r>
    </w:p>
    <w:p>
      <w:pPr>
        <w:pStyle w:val="ListParagraph"/>
        <w:numPr>
          <w:ilvl w:val="0"/>
          <w:numId w:val="2"/>
        </w:numPr>
        <w:spacing w:after="60"/>
      </w:pPr>
      <w:r>
        <w:rPr>
          <w:b/>
        </w:rPr>
        <w:t xml:space="preserve">El precio no descuenta mucho crecimiento</w:t>
      </w:r>
      <w:r>
        <w:t xml:space="preserve">: 3,5 % anual según el DCF inverso.</w:t>
      </w:r>
    </w:p>
    <w:p>
      <w:pPr>
        <w:pStyle w:val="ListParagraph"/>
        <w:numPr>
          <w:ilvl w:val="0"/>
          <w:numId w:val="2"/>
        </w:numPr>
        <w:spacing w:after="60"/>
      </w:pPr>
      <w:r>
        <w:rPr>
          <w:b/>
        </w:rPr>
        <w:t xml:space="preserve">Ant Group (33 %) y otras participadas</w:t>
      </w:r>
      <w:r>
        <w:t xml:space="preserve"> a valor contable en el puente (206.803 M RMB) [3].</w:t>
      </w:r>
    </w:p>
    <w:p>
      <w:pPr>
        <w:pStyle w:val="ListParagraph"/>
        <w:numPr>
          <w:ilvl w:val="0"/>
          <w:numId w:val="2"/>
        </w:numPr>
        <w:spacing w:after="60"/>
      </w:pPr>
      <w:r>
        <w:rPr>
          <w:b/>
        </w:rPr>
        <w:t xml:space="preserve">Valor intrínseco por encima del precio</w:t>
      </w:r>
      <w:r>
        <w:t xml:space="preserve">: 807,95 RMB, +8,8 %.</w:t>
      </w:r>
    </w:p>
    <w:p>
      <w:pPr>
        <w:pStyle w:val="Heading2"/>
      </w:pPr>
      <w:r>
        <w:t xml:space="preserve">En contra</w:t>
      </w:r>
    </w:p>
    <w:p>
      <w:pPr>
        <w:pStyle w:val="ListParagraph"/>
        <w:numPr>
          <w:ilvl w:val="0"/>
          <w:numId w:val="2"/>
        </w:numPr>
        <w:spacing w:after="60"/>
      </w:pPr>
      <w:r>
        <w:rPr>
          <w:b/>
        </w:rPr>
        <w:t xml:space="preserve">Caja libre negativa</w:t>
      </w:r>
      <w:r>
        <w:t xml:space="preserve">: −49.900 M RMB en FY2026 y −44.670 M en el 1T27 [4, 11].</w:t>
      </w:r>
    </w:p>
    <w:p>
      <w:pPr>
        <w:pStyle w:val="ListParagraph"/>
        <w:numPr>
          <w:ilvl w:val="0"/>
          <w:numId w:val="2"/>
        </w:numPr>
        <w:spacing w:after="60"/>
      </w:pPr>
      <w:r>
        <w:rPr>
          <w:b/>
        </w:rPr>
        <w:t xml:space="preserve">ROIC por debajo del WACC</w:t>
      </w:r>
      <w:r>
        <w:t xml:space="preserve">: 4,5 % frente a 9,15 %.</w:t>
      </w:r>
    </w:p>
    <w:p>
      <w:pPr>
        <w:pStyle w:val="ListParagraph"/>
        <w:numPr>
          <w:ilvl w:val="0"/>
          <w:numId w:val="2"/>
        </w:numPr>
        <w:spacing w:after="60"/>
      </w:pPr>
      <w:r>
        <w:rPr>
          <w:b/>
        </w:rPr>
        <w:t xml:space="preserve">Dilución</w:t>
      </w:r>
      <w:r>
        <w:t xml:space="preserve">: 710 M de acciones nuevas (3,7 %) en agosto, tras años de recompras [26].</w:t>
      </w:r>
    </w:p>
    <w:p>
      <w:pPr>
        <w:pStyle w:val="ListParagraph"/>
        <w:numPr>
          <w:ilvl w:val="0"/>
          <w:numId w:val="2"/>
        </w:numPr>
        <w:spacing w:after="60"/>
      </w:pPr>
      <w:r>
        <w:rPr>
          <w:b/>
        </w:rPr>
        <w:t xml:space="preserve">Comercio rápido en pérdidas</w:t>
      </w:r>
      <w:r>
        <w:t xml:space="preserve"> hasta FY2029, según la propia empresa [4].</w:t>
      </w:r>
    </w:p>
    <w:p>
      <w:pPr>
        <w:pStyle w:val="ListParagraph"/>
        <w:numPr>
          <w:ilvl w:val="0"/>
          <w:numId w:val="2"/>
        </w:numPr>
        <w:spacing w:after="60"/>
      </w:pPr>
      <w:r>
        <w:rPr>
          <w:b/>
        </w:rPr>
        <w:t xml:space="preserve">Riesgo geopolítico</w:t>
      </w:r>
      <w:r>
        <w:t xml:space="preserve">: lista 1260H del Pentágono y demanda colectiva [20].</w:t>
      </w:r>
    </w:p>
    <w:p>
      <w:pPr>
        <w:pStyle w:val="ListParagraph"/>
        <w:numPr>
          <w:ilvl w:val="0"/>
          <w:numId w:val="2"/>
        </w:numPr>
        <w:spacing w:after="60"/>
      </w:pPr>
      <w:r>
        <w:rPr>
          <w:b/>
        </w:rPr>
        <w:t xml:space="preserve">Múltiplo exigente frente a su historia</w:t>
      </w:r>
      <w:r>
        <w:t xml:space="preserve">: 21,7x el BPA FY2027e frente a 13,0x de mediana.</w:t>
      </w:r>
    </w:p>
    <w:p>
      <w:pPr>
        <w:pStyle w:val="Heading2"/>
      </w:pPr>
      <w:r>
        <w:t xml:space="preserve">Qué tiene que pasar para que la tesis funcione</w:t>
      </w:r>
    </w:p>
    <w:p>
      <w:pPr>
        <w:spacing w:after="100"/>
      </w:pPr>
      <w:r>
        <w:t xml:space="preserve">La tesis depende de que el EBITA ajustado toque fondo en el 2T27 y vuelva a crecer en el 3T27 sin que el capex siga subiendo. La señal en contra: EBITA ajustado del 2T27 por debajo de 30.000 M RMB, caja libre negativa en el 3T27 o una nueva emisión de acciones al terminar el bloqueo de noviembre.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 M RMB (1T27, −30 %)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beneficio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−44.670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 en el 3T27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se puede pagar sin diluir.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67.680 M RMB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380.000 M en 2026-29.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CMR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Salud del negocio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Alibaba nació en 1999 en Hangzhou como mercado entre empresas; Taobao (2003) y Tmall la hicieron el centro del comercio electrónico chino, y Alipay se separó en Ant Group. Salió a bolsa en Nueva York en 2014 y añadió Hong Kong en 2019. La suspensión de la salida a bolsa de Ant y la multa antimonopolio de 2021 abrieron cuatro años de regulación, competencia de PDD y Douyin y recompras masivas. Desde 2023, con Joe Tsai de presidente y Eddie Wu de primer ejecutivo, vendió activos minoristas (Sun Art, Intime) y en 2025-26 apostó por la IA (Qwen y la nube) y el comercio rápido, financiados con un plan de 380.000 M RMB y una colocación de 80.000 M HKD [1, 13,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Ma y 17 cofundadores crean Alibaba.com en Hangzhou (comercio entre empresas).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Taobao; en 2004, Alipay (hoy Ant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 25.000 M USD, la mayor de la historia hasta entonces.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cotización en Hong Kong (9988.HK); 1 ADS pasa a ser 8 acciones ordinarias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Suspensión de la salida a bolsa de Ant Group y multa antimonopolio de 18.228 M RMB; empieza la campaña regulatoria [A7].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seis grupos; Eddie Wu, primer ejecutivo, y Joe Tsai, presidente.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Sun Art e Intime; entrada en el comercio rápido (Taobao Instant Commerce) [A1].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380.000 M RMB en IA y nube para 2026-29 y colocación de 80.000 M HKD en acciones nuevas para financiarlo [A13, D4].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Alibaba opera los mercados Taobao y Tmall (comercio electrónico en China), el comercio rápido (Taobao Instant Commerce, Ele.me y Freshippo), la nube y la IA (Alibaba Cloud, modelos Qwen), el comercio internacional (AliExpress, Trendyol, Lazada) y otras unidades (Cainiao, Amap, Youku). En FY2026 ingresó 1.023.670 M RMB (+3 %; +11 % sin Sun Art ni Intime) [1]. En el 1T27 (abril-junio de 2026) los ingresos crecieron un 9 %, hasta 268.950 M [17, 18]: comercio electrónico 205.860 M (+4 %), nube 48.440 M (+45 %) y comercio rápido 53.300 M (+45 %) [4, 15].</w:t>
      </w:r>
    </w:p>
    <w:p>
      <w:pPr>
        <w:pStyle w:val="Heading2"/>
      </w:pPr>
      <w:r>
        <w:t xml:space="preserve">Cómo gana dinero</w:t>
      </w:r>
    </w:p>
    <w:p>
      <w:pPr>
        <w:spacing w:after="100"/>
      </w:pPr>
      <w:r>
        <w:t xml:space="preserve">El grueso del beneficio sale de la comisión y la publicidad que pagan los comercios en Taobao y Tmall (CMR): crece un 5 % en FY2026 por la subida de la comisión y no por volumen [1]. Es un negocio de capital ligero con márgenes EBITA del 40 % antes de la guerra de subvenciones. La nube cobra por capacidad de cálculo y modelos; tiene alto capex y un margen EBITA del 12 % [4]. El comercio rápido pierde dinero hasta FY2029 según la empresa [4]. El EBITA ajustado del grupo bajó de 173.065 M en FY2025 a 76.416 M en FY2026 (−56 %) por esa inversión [2].</w:t>
      </w:r>
    </w:p>
    <w:p>
      <w:pPr>
        <w:pStyle w:val="Heading2"/>
      </w:pPr>
      <w:r>
        <w:t xml:space="preserve">Clientes, recurrencia y poder de precios</w:t>
      </w:r>
    </w:p>
    <w:p>
      <w:pPr>
        <w:spacing w:after="100"/>
      </w:pPr>
      <w:r>
        <w:t xml:space="preserve">Cientos de millones de compradores y millones de comercios en China: no hay concentración en clientes. El poder de precios se mide en la comisión (take rate): el CMR crece un 5 % con el volumen plano [1], y la nube subió precios de cálculo y almacenamiento en 2026 [19]. En contra, el programa de incentivos a comercios resta ingresos (sin él, el CMR habría crecido un 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la nube (AI Cloud and Compute)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48.440 M RMB en el 1T27,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 de crecimiento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ritmo más alto en 22 trimestres; margen EBITA del 12 % [A4, A13].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 (quick commerce)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78.500 M RMB en FY2026, +47 %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53.300 M RMB en el 1T27, +45 %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en pérdidas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rentabilidad en FY2029 [A4, A15].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gestión de clientes (CMR)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FY2026 (+7 % sin el programa de incentivos)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la comisión (take rate), no por volumen [A1].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126.113 M RMB en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67.680 M RMB en el 1T27, +75 %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380.000 M RMB en IA y nube para 2026-29 [A13].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−17.300 M RMB en el 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−44.670 M RMB en el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nube y el comercio rápido [A1, A4].</w:t>
            </w:r>
          </w:p>
        </w:tc>
      </w:tr>
    </w:tbl>
    <w:p>
      <w:pPr>
        <w:spacing w:after="160" w:before="0"/>
      </w:pP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comercio electrónico en China por volumen de mercancía (Taobao y Tmall) y 1.º en nube pública en China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 (Pinduoduo, Temu)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subvenciones; gana cuota en el comercio electrónico chino desde 2019.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JD.com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 logística propia; rival en el comercio rápido desde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Meituan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3690.HK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reparto a domicilio; la guerra de subvenciones del comercio rápido es con él.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en vídeo y en directo; también modelos de IA (Doubao).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Tencent Cloud / Huawei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0700.HK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en la nube; Huawei con chips propios.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3" name="Gráfico 3"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Taobao y Tmall unen cientos de millones de compradores y millones de comercios; el CMR crece un 5 % en FY2026 por la comisión, no por volumen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para el comprador; algo mayores para el comercio (publicidad, datos) y para los clientes de la nube.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Taobao, Tmall y Alipay; modelos de lenguaje Qwen.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en la nube ayuda, pero el EBITA de comercio electrónico cae un 44 % en FY2026 por la guerra de subvenciones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nube de China; el plan de inversión de 380.000 M RMB es difícil de igualar salvo para Tencent, ByteDance o Huawei [A13].</w:t>
            </w:r>
          </w:p>
        </w:tc>
      </w:tr>
    </w:tbl>
    <w:p>
      <w:pPr>
        <w:spacing w:after="160" w:before="0"/>
      </w:pPr>
    </w:p>
    <w:p>
      <w:pPr>
        <w:pStyle w:val="Heading2"/>
      </w:pPr>
      <w:r>
        <w:t xml:space="preserve">Amenazas</w:t>
      </w:r>
    </w:p>
    <w:p>
      <w:pPr>
        <w:spacing w:after="100"/>
      </w:pPr>
      <w:r>
        <w:t xml:space="preserve">Tres amenazas con probabilidad alta. PDD y Douyin siguen ganando cuota en el comercio electrónico con precio bajo y vídeo, y obligan a subvencionar (el EBITA de comercio electrónico cae un 44 % en FY2026 [2]). La guerra del comercio rápido con Meituan y JD no tiene fecha de fin (rentable en FY2029 según la empresa [4]). En la nube, Huawei, Tencent y ByteDance invierten igual o más y los modelos abiertos bajan el precio de la IA. La ventaja de Taobao y Tmall (efectos de red, datos de comercios) aguanta, pero rinde menos que hace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r>
    </w:tbl>
    <w:p>
      <w:pPr>
        <w:spacing w:after="160" w:before="0"/>
      </w:pPr>
    </w:p>
    <w:p>
      <w:pPr>
        <w:spacing w:after="100"/>
      </w:pPr>
      <w:r>
        <w:t xml:space="preserve">Crecimiento anual compuesto FY2022-FY2026: ingresos </w:t>
      </w:r>
      <w:r>
        <w:rPr>
          <w:b/>
          <w:bCs/>
        </w:rPr>
        <w:t xml:space="preserve">4,7 %</w:t>
      </w:r>
      <w:r>
        <w:t xml:space="preserve">, EBITDA </w:t>
      </w:r>
      <w:r>
        <w:rPr>
          <w:b/>
          <w:bCs/>
        </w:rPr>
        <w:t xml:space="preserve">n.d.</w:t>
      </w:r>
      <w:r>
        <w:t xml:space="preserve">, BPA </w:t>
      </w:r>
      <w:r>
        <w:rPr>
          <w:b/>
          <w:bCs/>
        </w:rPr>
        <w:t xml:space="preserve">18,0 %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t xml:space="preserve">Los ingresos crecieron de 853.062 M RMB en FY2022 a 1.023.670 M en FY2026; en FY2026 solo un 3 %, por la venta de Sun Art e Intime (11 % comparable) [1, 9]. El resultado operativo pasó de 113.350 M en FY2024 [8] y 140.905 M en FY2025 a 50.150 M en FY2026: el margen EBIT cae del 15,3 % al 5,9 % por el comercio rápido, la captación de usuarios de Qwen y la nube [2]. El beneficio atribuido (105.904 M) resiste por las plusvalías de participadas y la venta del negocio local de Trendyol [1, 9]. El 1T27 confirma el bache: EBITA ajustado −30 %, beneficio no GAAP −38 % [4].</w:t>
      </w:r>
    </w:p>
    <w:p>
      <w:pPr>
        <w:pStyle w:val="Heading2"/>
      </w:pPr>
      <w:r>
        <w:t xml:space="preserve">Ajustes y partidas no recurrentes</w:t>
      </w:r>
    </w:p>
    <w:p>
      <w:pPr>
        <w:spacing w:after="100"/>
      </w:pPr>
      <w:r>
        <w:t xml:space="preserve">La empresa publica un beneficio no GAAP que excluye los pagos en acciones (11.180 M en FY2026), la amortización y deterioro de intangibles (5.079 M), los deterioros del fondo de comercio (10.007 M) y las plusvalías y minusvalías de participadas [2]. El BPA no GAAP por ADS fue 65,15 RMB en FY2021, 52,69 en FY2022, 54,56 en FY2023, 62,23 en FY2024, 65,41 en FY2025 y 26,80 en FY2026 [1, 5, 6, 7]; el publicado, 22,72-53,59 RMB, oscila con la revalorización de participadas. Los deterioros del fondo de comercio se repiten cada año (11.854 M en FY2025): los tratamos como no recurrentes en el EBITDA pero el analista debe saber que vuelven.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Lo que dijo la dirección en las últimas presentaciones</w:t>
      </w:r>
    </w:p>
    <w:p>
      <w:pPr>
        <w:spacing w:after="100"/>
      </w:pPr>
      <w:r>
        <w:t xml:space="preserve">En la conferencia del 20-ago-2026 (1T27) la dirección repitió el mensaje de mayo: la prioridad es la IA y el comercio rápido, y el margen es secundario. Eddie Wu dijo que la inversión en IA (380.000 M RMB en 2026-29, la mitad ya comprometida este año) se paga en tres años con los márgenes brutos actuales, y que los chips propios mejorarán el margen de la nube [13]. El director financiero, Toby Xu, reconoció la debilidad del consumo chino [13]. La nube creció un 45 %, su mejor ritmo en 22 trimestres, con margen EBITA del 12 % [4, 16]. El BPA no GAAP (8,52 RMB) quedó por debajo de lo esperado (≈10,8) y el ADS cayó un 4,6 % [4, 40]. Ni en mayo ni en agosto dio cifras de pérdidas del comercio rápido ni del rendimiento de la inversión en IA; el 4T26 ya había dejado un beneficio no GAAP de solo 86 M RMB [1, 47].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1.122.921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1.764.829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1.909.570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Venta de Sun Art e Intime (cerradas en FY2025): las ventas comparables crecen un 11 % frente al 3 % publicado [A1].). Los ratios de balance de ese año (días, circulante, deuda neta / EBITDA, ROIC) y los indicadores de calidad contable no son comparables con los anteriores.</w:t>
      </w:r>
    </w:p>
    <w:p>
      <w:pPr>
        <w:spacing w:after="100"/>
      </w:pPr>
      <w:r>
        <w:t xml:space="preserve">La deuda bruta (bancos, bonos sénior, convertibles y canjeables) subió de 176.597 M RMB en FY2022 a 281.722 M en FY2026 y 293.165 M en junio de 2026, mientras la caja y la tesorería líquida bajaron de 571.029 M (FY2024) a 316.820 M (FY2026) según Stock Analysis y Fintel [10, 12]. La empresa define una caja más amplia (474.505 M a junio, con la tesorería a largo plazo) [4]. Sigue con caja neta, pero cinco años de recompras (≈400.000 M RMB) y el capex de IA la han reducido a la mitad; de ahí la colocación de agosto.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Acumulado FY2022-FY2026: FCF </w:t>
      </w:r>
      <w:r>
        <w:rPr>
          <w:b/>
          <w:bCs/>
        </w:rPr>
        <w:t xml:space="preserve">433.000</w:t>
      </w:r>
      <w:r>
        <w:t xml:space="preserve">, conversión </w:t>
      </w:r>
      <w:r>
        <w:rPr>
          <w:b/>
          <w:bCs/>
        </w:rPr>
        <w:t xml:space="preserve">96 %</w:t>
      </w:r>
      <w:r>
        <w:t xml:space="preserve"> del beneficio neto; adquisiciones 0, dividendos 80.700, recompras 318.945.</w:t>
      </w:r>
    </w:p>
    <w:p>
      <w:pPr>
        <w:spacing w:after="100"/>
      </w:pPr>
      <w:r>
        <w:t xml:space="preserve">El flujo operativo bajó de 199.752 M RMB en FY2023 a 76.213 M en FY2026, y el capex subió de 32.093 M (FY2024) a 126.113 M (FY2026): la caja libre de Stock Analysis pasó de 165.400 M a −49.900 M [11]. En el 1T27 fue de −44.670 M por la nube [4]. Casi todo el capex nuevo es de crecimiento (centros de datos y chips para IA); el de mantenimiento del comercio electrónico es pequeño (≈3 % de las ventas, estimación propia por el capex de FY2023-24). Los dividendos (33.700 M en FY2026) siguen, pero las recompras cayeron de 86.662 M a 7.638 M [3, 11].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Zhong Tian (PwC)</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contable es aceptable pero ruidosa. El beneficio publicado mezcla cada año revalorizaciones de participadas cotizadas y plusvalías por ventas (Trendyol en FY2026), por eso usamos el no GAAP [1]. Los deterioros del fondo de comercio se repiten (10.007 M en FY2026, 11.854 M en FY2025) [2]: las compras pasadas (Sun Art, Youku, Lazada) no rindieron. Los pagos en acciones bajan (11.180 M, 1,1 % de las ventas). El Altman Z de 2,05 sale bajo porque el balance lleva enormes participadas que no generan ventas; el Piotroski de 3 refleja la caída del margen y del flujo operativo; el Beneish no se calcula por falta de partidas. Auditor: PwC Zhong Tian, con la limitación de inspección del PCAOB en China ya resuelta desde 2022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del fondo de comercio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10.007 M en FY2026 y 11.854 M en FY2025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inflado por plusvalías de participadas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105.904 M frente a 60.658 M no GAAP en FY2026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negativa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−49.900 M en FY2026 y −44.670 M en el 1T27 [4, 11].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803.705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770.602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1.000.976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ROIC incremental</w:t>
      </w:r>
      <w:r>
        <w:t xml:space="preserve"> (variación del NOPAT sobre variación del capital invertido en el periodo): -3,6 % · </w:t>
      </w:r>
      <w:r>
        <w:rPr>
          <w:b/>
          <w:bCs/>
        </w:rPr>
        <w:t xml:space="preserve">WACC</w:t>
      </w:r>
      <w:r>
        <w:t xml:space="preserve">: 9,2 %.</w:t>
      </w:r>
    </w:p>
    <w:p>
      <w:pPr>
        <w:spacing w:after="100"/>
      </w:pPr>
      <w:r>
        <w:t xml:space="preserve">Alibaba no crea valor hoy: el ROIC del motor fue del 13,8 % en FY2025 y del 4,5 % en FY2026, frente a un WACC del 9,15 % (−4,7 puntos). El capital invertido incluye ≈690.000 M RMB de participadas y valores que no dan EBIT; sin ellos, el ROIC del negocio sería aproximadamente el doble, aún por debajo del de Tencent o Amazon (11,9 % [39]). Lo mueve el margen, no la rotación (0,55 veces). El ROIC incremental es negativo: el capex de la IA y las subvenciones del comercio rápido han caído en el EBIT antes que el rendimiento.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-181.340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(tesorería sin restricciones) de 474.505 M RMB a 30-jun-2026 [A4], más los ≈68.600 M RMB netos de la colocación de agosto de 2026 [D4]; crédito sindicado de 8.000 M USD repartido entre 22 bancos en 2026 [A14].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Covenants, pasivos fuera de la deuda y contingencias</w:t>
      </w:r>
    </w:p>
    <w:p>
      <w:pPr>
        <w:spacing w:after="100"/>
      </w:pPr>
      <w:r>
        <w:t xml:space="preserve">Estructura VIE: las licencias de internet en China están en sociedades de propiedad china controladas por contratos; el accionista de BABA tiene derechos económicos, no la propiedad [3]. Demanda colectiva abierta en Nueva York (2026) [20]. Crédito sindicado de 8.000 M USD en 2026 [14]. No hay pensiones relevantes ni arrendamientos en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anual de 1,05 USD por ADS para FY2026 (FY2025: 1,05 más 0,95 extraordinario) [3]. Programa de recompra ampliado en 25.000 M USD en febrero de 2024 hasta marzo de 2027, pero en FY2026 solo recompró 73 M de acciones por 1.000 M USD [3]. La prioridad declarada es la inversión en IA: 380.000 M RMB en 2026-29 [13] y una colocación de 710 M de acciones nuevas a 112,70 HKD (≈79.700 M HKD netos) en agosto de 2026, toda para IA [26,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asignación de capital ha cambiado de signo. De FY2022 a FY2025 la empresa devolvió ≈311.000 M RMB en recompras y ≈47.000 M en dividendos [11] a precios de 72-132 USD por ADS; en agosto de 2026 emitió acciones a 112,70 HKD (≈115 USD por ADS), casi al precio medio al que había recomprado. El ROIC del motor cayó del 13,8 % en FY2025 al 4,5 % en FY2026 y el incremental es negativo: la inversión de los dos últimos años todavía no rinde. La apuesta por la IA puede ser correcta, pero el accionista paga dos veces: la caja de las recompras y la dilución del 3,7 %.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(Joe)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(1999) y vicepresidente ejecutivo durante dos décadas; preside desde septiembre de 2023 [C1].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Yongming Wu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 Taobao y Tmall y dirige la nube. Ha llevado el giro a la IA (plan de 380.000 M RMB) y la entrada en el comercio rápido [A13].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Toby Xu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socio de PwC; ha llevado la venta de activos no estratégicos (Sun Art, Intime) y la colocación de 2026 [C1, D4].</w:t>
            </w:r>
          </w:p>
        </w:tc>
      </w:tr>
    </w:tbl>
    <w:p>
      <w:pPr>
        <w:spacing w:after="160" w:before="0"/>
      </w:pPr>
    </w:p>
    <w:p>
      <w:pPr>
        <w:spacing w:after="100"/>
      </w:pPr>
      <w:r>
        <w:t xml:space="preserve">Equipo estable desde 2023 (Tsai, Wu, Xu) y con estrategia clara: vender lo no estratégico e invertir en IA [3]. La credibilidad numérica es baja: no da guía anual, ha fallado el BPA más de la mitad de los últimos ocho trimestres [40] y la colocación de agosto llegó tras cinco años de recompras. No hay plan de sucesión público; el control lo ejerce la Alibaba Partnership.</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La Alibaba Partnership (unos 20-30 socios, directivos y fundadores) tiene por estatutos el derecho a nombrar la mayoría simple del consejo sin tener la mayoría del capital: es un control sin propiedad [3]. Estructura VIE: el ADS da derechos sobre una sociedad de las Islas Caimán con contratos sobre las sociedades chinas, que el Estado podría declarar inválidos [3]. Emisor extranjero: sin proxy ni Form 4; cumple el gobierno de Hong Kong (cotización primaria doble desde 2022). Con Ant Group (33 %) hay operaciones vinculadas recurrentes [3].</w:t>
      </w:r>
    </w:p>
    <w:p>
      <w:pPr>
        <w:pStyle w:val="Heading2"/>
      </w:pPr>
      <w:r>
        <w:t xml:space="preserve">Señales de alerta</w:t>
      </w:r>
    </w:p>
    <w:p>
      <w:pPr>
        <w:pStyle w:val="ListParagraph"/>
        <w:numPr>
          <w:ilvl w:val="0"/>
          <w:numId w:val="2"/>
        </w:numPr>
        <w:spacing w:after="60"/>
      </w:pPr>
      <w:r>
        <w:t xml:space="preserve">Demanda colectiva en Nueva York (Wistisen v. Alibaba, 1:26-cv-06654, SDNY) por supuestas omisiones sobre sus vínculos con el Estado chino; periodo del 26-jun-2025 al 24-jun-2026 [C2, C3].</w:t>
      </w:r>
    </w:p>
    <w:p>
      <w:pPr>
        <w:pStyle w:val="ListParagraph"/>
        <w:numPr>
          <w:ilvl w:val="0"/>
          <w:numId w:val="2"/>
        </w:numPr>
        <w:spacing w:after="60"/>
      </w:pPr>
      <w:r>
        <w:t xml:space="preserve">Inclusión en la lista 1260H del Departamento de Defensa de EE. UU. (empresas militares chinas) el 8-jun-2026, según la demanda; en febrero de 2026 entró y salió el mismo día [C2, C4].</w:t>
      </w:r>
    </w:p>
    <w:p>
      <w:pPr>
        <w:pStyle w:val="ListParagraph"/>
        <w:numPr>
          <w:ilvl w:val="0"/>
          <w:numId w:val="2"/>
        </w:numPr>
        <w:spacing w:after="60"/>
      </w:pPr>
      <w:r>
        <w:t xml:space="preserve">Estructura VIE: el accionista de BABA posee una sociedad de las Islas Caimán con contratos sobre las sociedades chinas, no estas [C1].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guía numérica anual. Mensajes vigentes: inversión de 380.000 M RMB en IA y nube en 2026-29 (podría superarse) [13]; comercio rápido rentable en FY2029 [4]; inversión en IA pagada en tres años con los márgenes brutos actuales [13]. Última confirmación: 20-ago-2026.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MarketBeat (5,91 USD por ADS a 6,70) [D8]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8-sep-2026 (8,41 USD por ADS a 6,70); una sola casa [D7]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1.216.222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1.264,30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904,50 – 1.507,50</w:t>
            </w:r>
          </w:p>
        </w:tc>
      </w:tr>
    </w:tbl>
    <w:p>
      <w:pPr>
        <w:spacing w:after="160" w:before="0"/>
      </w:pPr>
    </w:p>
    <w:p>
      <w:pPr>
        <w:pStyle w:val="Heading2"/>
      </w:pPr>
      <w:r>
        <w:t xml:space="preserve">Revisiones de estimaciones</w:t>
      </w:r>
    </w:p>
    <w:p>
      <w:pPr>
        <w:spacing w:after="100"/>
      </w:pPr>
      <w:r>
        <w:t xml:space="preserve">Solo hay estimaciones completas de una casa (Erste Group): el BPA FY2027 bajó de 5,73 a 5,66 USD por ADS y subió a 5,81 el 8-sep; FY2028, 8,41 USD [29]. El consenso de MarketBeat para FY2027 bajó de 6,28 USD en julio a 5,91 en septiembre [30]. Los objetivos, en cambio, suben: Barclays a 200 USD, Susquehanna a 190, Goldman a 205 y Mizuho a 195 [28, 42]. La empresa ha fallado el BPA más de la mitad de los últimos ocho trimestres [40].</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1" name="Gráfico 11"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El ADS subió un 74 % en 2025 por la IA (Qwen) y llegó a 182,50 USD en 52 semanas, pero cae un 24,4 % en 2026 hasta 110,85 USD, con una capitalización de ≈276.000 M USD [23, 24, 25, 33]: resultados por debajo de lo esperado, caja libre negativa, la entrada en la lista 1260H del Pentágono en junio y la colocación de agosto, que hundió la acción hasta un 10 % en el día [20, 27]. La caída máxima del año fue del 36,8 % en abril, con los aranceles [22]. Sin beta ni volatilidad propias (sin acceso a cotizaciones históricas).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El motor calcula el PER sobre el BPA publicado (16,9x hoy frente a una media de 21,8x), que lleva plusvalías de participadas. En la base no GAAP de la regla a 12 meses, el ADS cotizó a 13,1x en marzo de 2022, 12,9x en 2023, 8,4x en 2024 y 14,7x en 2025; marzo de 2026 (32x sobre un BPA hundido por la inversión) se excluye. Hoy cotiza a 21,7x nuestro BPA FY2027e: el mercado ya paga la recuperación del beneficio. El cambio estructural es doble: más crecimiento por la nube y más riesgo (capex, geopolítica).</w:t>
      </w:r>
    </w:p>
    <w:p>
      <w:pPr>
        <w:pStyle w:val="Heading1"/>
      </w:pPr>
      <w:r>
        <w:t xml:space="preserve">18. Comparables cotizados</w:t>
      </w:r>
    </w:p>
    <w:p>
      <w:pPr>
        <w:pStyle w:val="Confianza"/>
        <w:spacing w:after="100"/>
      </w:pPr>
      <w:r>
        <w:t xml:space="preserve">Confianza: Baja</w:t>
      </w:r>
    </w:p>
    <w:p>
      <w:pPr>
        <w:spacing w:after="100"/>
      </w:pPr>
      <w:r>
        <w:t xml:space="preserve">Plataformas chinas de internet que cotizan con el mismo descuento de país (Tencent, Baidu, NetEase, PDD) y dos referencias de comercio electrónico y nube fuera de China (Amazon, MercadoLibre). JD.com y Meituan se quedan fuera: sin PER fiable (Meituan en pérdidas por la misma guerra del comercio rápido; JD solo con PER sin caja).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18.790.398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MercadoLibre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UY</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 / 12,8x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3" name="Gráfico 1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La mediana del PER de los próximos 12 meses es de 12,8x (12,1-23,5x); los chinos, 9,4-13,3x [36, 37], y Amazon y MercadoLibre, 23,5x y 36,4x [39]. Alibaba cotiza a 15,3x el BPA de los próximos 12 meses del motor: entre los dos grupos. Su crecimiento de la nube (+45 %) justifica algo de prima frente a Tencent o Baidu, pero su caída de beneficio y su caja libre negativa no. Usamos la mediana con peso del 20 %: los múltiplos chinos son de abril y no hay EBITDA de los comparables.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del 9 % en FY2027-28, bajando al 3,5 % en FY2034. El 1T27 creció un 9 % con la nube al +45 % y el comercio rápido al +45 %, y el comercio electrónico al +4 % [4]. La nube pesa ≈18 % y el comercio rápido ≈20 % de las ventas: si siguen al 25-30 % y el comercio electrónico al 3-4 %, el grupo crece al 9-10 % dos años y después se modera. Rebajamos un punto todos los años frente al primer cálculo porque la prueba de sostenibilidad no pasaba.</w:t>
      </w:r>
    </w:p>
    <w:p>
      <w:pPr>
        <w:keepNext/>
        <w:spacing w:after="100"/>
      </w:pPr>
      <w:r>
        <w:rPr>
          <w:b/>
          <w:bCs/>
        </w:rPr>
        <w:t xml:space="preserve">Márgenes.</w:t>
      </w:r>
    </w:p>
    <w:p>
      <w:pPr>
        <w:spacing w:after="100"/>
      </w:pPr>
      <w:r>
        <w:t xml:space="preserve">El margen EBITDA (después de pagos en acciones) sube del 10,0 % de FY2026 al 12,3 % en FY2027 y al 16,5 % en FY2028, y se estabiliza en el 21 %. FY2025 tuvo un 17,7 % sobre esta misma base (EBITDA ajustado del 20,3 % menos pagos en acciones) [1, 2]. El 21 % final supone que el comercio rápido deja de perder y que la nube llega a márgenes de nube madura; no supera el de FY2023-24 por la mayor amortización de la IA.</w:t>
      </w:r>
    </w:p>
    <w:p>
      <w:pPr>
        <w:keepNext/>
        <w:spacing w:after="100"/>
      </w:pPr>
      <w:r>
        <w:rPr>
          <w:b/>
          <w:bCs/>
        </w:rPr>
        <w:t xml:space="preserve">Inversión y circulante.</w:t>
      </w:r>
    </w:p>
    <w:p>
      <w:pPr>
        <w:spacing w:after="100"/>
      </w:pPr>
      <w:r>
        <w:t xml:space="preserve">Capex del 18 % de las ventas en FY2027 (el 1T27 ya llevó 67.680 M, +75 % [4], y el plan es de 380.000 M en 2026-29 [13]), 12 % en FY2028 y 7 % al final, por encima de la amortización (6,5 %). Antes de la IA el capex era del 3-4 % (FY2023-24 [11]): el 7 % terminal recoge la renovación de los centros de datos. Circulante neutro (sin datos de clientes y proveedores; históricamente negativo, lo que es prudente).</w:t>
      </w:r>
    </w:p>
    <w:p>
      <w:pPr>
        <w:keepNext/>
        <w:spacing w:after="100"/>
      </w:pPr>
      <w:r>
        <w:rPr>
          <w:b/>
          <w:bCs/>
        </w:rPr>
        <w:t xml:space="preserve">Coste del capital.</w:t>
      </w:r>
    </w:p>
    <w:p>
      <w:pPr>
        <w:spacing w:after="100"/>
      </w:pPr>
      <w:r>
        <w:t xml:space="preserve">Flujos en RMB: tasa libre del bono chino a 10 años, 1,67 % [34]; beta 1,0 (sin serie propia; el ADS es más volátil que el S&amp;P 500 pero poco correlacionado); prima de mercado del 5,5 %; prima adicional del 2,9 %: ≈0,9 de riesgo país de China más 2 puntos por la estructura VIE, la lista 1260H y la regulación. Coste de la deuda del 3 % (bonos en USD y RMB) y peso del 12 %. WACC del 9,15 %. Con la prima implícita del mercado (4,2 % [38]), el WACC baja al 8,0 %.</w:t>
      </w:r>
    </w:p>
    <w:p>
      <w:pPr>
        <w:keepNext/>
        <w:spacing w:after="100"/>
      </w:pPr>
      <w:r>
        <w:rPr>
          <w:b/>
          <w:bCs/>
        </w:rPr>
        <w:t xml:space="preserve">Valor terminal.</w:t>
      </w:r>
    </w:p>
    <w:p>
      <w:pPr>
        <w:spacing w:after="100"/>
      </w:pPr>
      <w:r>
        <w:t xml:space="preserve">Gordon con crecimiento del 1,1 %: por debajo de la tasa libre menos medio punto (1,17 %), como pide la coherencia de divisa, y por encima de la inflación esperada en China (≈0,5-1 %). Implica un múltiplo de salida moderado; el valor terminal pesa un 68 %.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101.541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2.347.411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3.535.971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1.116,30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292.361 M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(ROIC 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51,4 % (histórico: -3,6 %)</w:t>
            </w:r>
          </w:p>
        </w:tc>
      </w:tr>
    </w:tbl>
    <w:p>
      <w:pPr>
        <w:spacing w:after="160" w:before="0"/>
      </w:pPr>
    </w:p>
    <w:p>
      <w:pPr>
        <w:spacing w:after="100"/>
      </w:pPr>
      <w:r>
        <w:t xml:space="preserve">La proyección reinvierte el 26 % del NOPAT. Con el ROIC del último ejercicio (4,5 %), eso financia un crecimiento del 1,2 % anual, frente al 6,4 % de ingresos proyectado. Supone que el capital nuevo rinde un 51,4 %, frente a un ROIC incremental histórico del -3,6 %.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nube (+30-45 %) y comercio rápido (+40 %) [4]; precio: comisión del CMR y subida de precios de la nube [1,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FY2027 con la nube algo más lenta; el comercio electrónico al 3-4 %.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baja al 20 %; el comercio rápido deja de subvencionar (rentable en FY2029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nube madura y comercio electrónico con el consumo chino.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al crecimiento nominal de China más la nube.</w:t>
            </w:r>
          </w:p>
        </w:tc>
      </w:tr>
    </w:tbl>
    <w:p>
      <w:pPr>
        <w:spacing w:after="160" w:before="0"/>
      </w:pPr>
    </w:p>
    <w:p>
      <w:pPr>
        <w:spacing w:after="100"/>
      </w:pPr>
      <w:r>
        <w:t xml:space="preserve">En parte. El foso de Taobao y Tmall sostiene un comercio electrónico al 3-4 % con subidas de comisión (CMR +5 % [1]), y la nube crece al 45 % [4]. Pero la prueba del motor falla: con el ROIC de FY2026 (4,5 %), la reinversión financia un 1,2 % de crecimiento frente al 6,4 % proyectado, y supone que el capital nuevo rinde un 51 %. Ese ROIC es el de un año de inversión extraordinaria y el capital del motor incluye ≈690.000 M RMB de participadas: casi todo el aumento del NOPAT es recuperación de margen hacia el 17-21 % de FY2023-25. Aun así rebajamos un punto el crecimiento de todos los años; el ROIC sigue por debajo del WACC hasta que la IA rinda.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(base: 6,4 %)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9,2 %)</w:t>
            </w:r>
          </w:p>
        </w:tc>
      </w:tr>
    </w:tbl>
    <w:p>
      <w:pPr>
        <w:spacing w:after="160" w:before="0"/>
      </w:pPr>
    </w:p>
    <w:p>
      <w:pPr>
        <w:spacing w:after="100"/>
      </w:pPr>
      <w:r>
        <w:t xml:space="preserve">El DCF da 874,85 RMB por ADS (130,57 USD), un 17,8 % sobre el precio, con un WACC del 9,15 % y un valor terminal que pesa el 68 %. El DCF inverso dice que el precio descuenta un crecimiento del 3,5 % anual en FY2027-34 con el margen del 21 % (o un margen del 18,8 % con nuestro crecimiento del 6,4 %), y una rentabilidad implícita del 10,7 %. No es exigente: es menos que el crecimiento de FY2023-26 (≈4,9 % anual, 11 % comparable en FY2026). La duda no es el crecimiento sino el margen y la caja: el valor depende de que el EBITDA vuelva al 21 % y el capex baje al 7 %, y hoy la caja libre es negativa. Con la prima implícita del mercado el DCF sube a 1.014,84 RMB.</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guerra del comercio rápido dura hasta FY2030, PDD y Douyin siguen quitando cuota, la nube crece pero con márgenes bajos por la competencia de Huawei y ByteDance, y la tensión con EE. UU. (lista 1260H, posible exclusión de la cotización) eleva la prima de riesgo: crecimiento 3 puntos menor, margen 3 puntos menor y WACC 1 punto mayor. Ya pasó en 2021-22.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el comercio rápido crecen al 25-45 % dos años, el comercio rápido deja de perder en FY2029 y el margen EBITDA vuelve al 21 % en FY2033 con el capex en el 7 %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de Alibaba (Qwen, chips propios) gana cuota en la nube china y sube precios, el comercio rápido se consolida antes y el consumo chino se recupera con los estímulos: 2 puntos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820,21 CNY (+10,4 %).</w:t>
      </w:r>
    </w:p>
    <w:p>
      <w:pPr>
        <w:spacing w:after="100"/>
      </w:pPr>
      <w:r>
        <w:t xml:space="preserve">Asimetría del valor intrínseco de 1,77x: el alcista gana un 50,3 % y el bajista pierde un 28,4 %. Compensa en el DCF, pero a 12 meses la asimetría es la contraria: con los múltiplos de la regla común el bajista pierde un 57 % y el alcista apenas gana. El bajista es verosímil: es 2021-22, cuando el ADS cayó de 226 a 72 USD.</w:t>
      </w:r>
    </w:p>
    <w:p>
      <w:pPr>
        <w:pStyle w:val="Heading1"/>
      </w:pPr>
      <w:r>
        <w:t xml:space="preserve">22. Suma de partes</w:t>
      </w:r>
    </w:p>
    <w:p>
      <w:pPr>
        <w:pStyle w:val="Confianza"/>
        <w:spacing w:after="100"/>
      </w:pPr>
      <w:r>
        <w:t xml:space="preserve">Confianza: Baja</w:t>
      </w:r>
    </w:p>
    <w:p>
      <w:pPr>
        <w:spacing w:after="100"/>
      </w:pPr>
      <w:r>
        <w:t xml:space="preserve">No se hace por falta de ingresos y EBITA por segmento de varios años; la nube (EBITA de 14.265 M en FY2026 [2]) valdría por sí sola una parte relevante a múltiplos de nube, pero sin cifras completas no se puede sostener.</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CNY) · precio actual 74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807,95 CNY (+8,8 % sobre 742,70).</w:t>
      </w:r>
    </w:p>
    <w:p>
      <w:pPr>
        <w:spacing w:after="100"/>
      </w:pPr>
      <w:r>
        <w:t xml:space="preserve">DCF 50 %, escenarios 30 % y comparables 20 %. El DCF es el método más útil porque el beneficio de hoy no es representativo, pero depende de un margen que aún no se ve (21 %). Los comparables solo dan PER y de fechas distintas. La dispersión es amplia: comparables 587-1.017 RMB, DCF 799-972 y analistas 905-1.508. El valor intrínseco ponderado es de 807,95 RMB (120,59 USD), un 8,8 % sobre el precio. Puente: caja líquida 474.505 M, deuda 293.165 M, colocación 68.600 M, participadas por el método de la participación a valor contable (206.803 M, incluida Ant Group) y minoritarios estimados (65.384 M); los valores estratégicos cotizados no se suman para no duplicar la tesorería a largo plazo.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spacing w:after="100"/>
      </w:pPr>
      <w:r>
        <w:rPr>
          <w:b/>
          <w:bCs/>
        </w:rPr>
        <w:t xml:space="preserve">Objetivo a 12 meses (ponderado):</w:t>
      </w:r>
      <w:r>
        <w:t xml:space="preserve"> 565,83 CNY (84,45 USD) · rentabilidad -22,8 % (base -12,5 %) · señal Vender.</w:t>
      </w:r>
    </w:p>
    <w:p>
      <w:pPr>
        <w:keepNext/>
        <w:spacing w:after="100"/>
      </w:pPr>
      <w:r>
        <w:rPr>
          <w:b/>
          <w:bCs/>
        </w:rPr>
        <w:t xml:space="preserve">Frente al consenso (solo contraste).</w:t>
      </w:r>
    </w:p>
    <w:p>
      <w:pPr>
        <w:spacing w:after="100"/>
      </w:pPr>
      <w:r>
        <w:t xml:space="preserve">Nuestro BPA FY2028e (49,44 RMB) queda un 12 % por debajo del de Erste (56,3 RMB, 8,41 USD) [29]: suponemos más capex y amortización y no contamos recompras. La gran diferencia es el múltiplo: el objetivo medio (188,70 USD, 1.264,30 RMB) [28] equivale a 22x el BPA de Erste, y la regla común toma la mediana no GAAP de 5 años (13,0x). El base queda un 49 % por debajo del objetivo medio: no lo acercamos; el consenso paga ya la IA a múltiplos que el ADS no ha tenido desde 2021.</w:t>
      </w:r>
    </w:p>
    <w:p>
      <w:pPr>
        <w:keepNext/>
        <w:spacing w:after="100"/>
      </w:pPr>
      <w:r>
        <w:rPr>
          <w:b/>
          <w:bCs/>
        </w:rPr>
        <w:t xml:space="preserve">Del valor intrínseco al objetivo a 12 meses.</w:t>
      </w:r>
    </w:p>
    <w:p>
      <w:pPr>
        <w:spacing w:after="100"/>
      </w:pPr>
      <w:r>
        <w:t xml:space="preserve">El valor intrínseco (807,95 RMB, 120,59 USD) queda un 26 % por encima del objetivo a 12 meses ponderado (565,83 RMB, 84,45 USD). Para cerrar la distancia haría falta que el mercado siga pagando 20x o más mientras el beneficio se recupera: es lo que hace hoy (21,7x FY2027e), pero la regla común no lo admite porque la historia limpia está en 8-15x. Catalizadores: resultados del 2T27 (≈24-nov [41]) y del 3T27 (feb-2027), que deberían mostrar el suelo del EBITA.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que compara con el pico de pérdidas del comercio rápido de 2025: debería mostrar el suelo del EBITA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90 días de la colocación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emitir más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(Singles Day incluido)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CMR y de la nube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en Nueva York y lista 1260H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restricciones a inversores de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libre del año y política de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(380.000 M RMB)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al +45 % con margen del 12 %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la nube por debajo del 10 % o crecimiento bajo 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subvenciones del comercio rápido más larga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rentabilidad en FY2029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comercio electrónico que no mejora en el 2T27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lista 1260H, exclusión de la cotización en EE. UU. o veto a inversores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 en el ADS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primaria en Hong Kong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ejecutiva o ley que afecte a la lista 1260H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Jurídico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−100 %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de hecho por el regulador chino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la CSRC sobre VIE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PDD y Douyin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comisión y Taobao Instant Commerce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CMR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líquida de 474.505 M RMB</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colocaciones o convertibles tras el bloqueo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chino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Estímulos del Gobierno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minoristas por debajo del 3 %</w:t>
            </w:r>
          </w:p>
        </w:tc>
      </w:tr>
    </w:tbl>
    <w:p>
      <w:pPr>
        <w:spacing w:after="160" w:before="0"/>
      </w:pPr>
    </w:p>
    <w:p>
      <w:pPr>
        <w:pStyle w:val="Heading2"/>
      </w:pPr>
      <w:r>
        <w:t xml:space="preserve">Pre-mortem</w:t>
      </w:r>
    </w:p>
    <w:p>
      <w:pPr>
        <w:spacing w:after="100"/>
      </w:pPr>
      <w:r>
        <w:t xml:space="preserve">Octubre de 2029: el ADS cotiza a 65 USD. La nube creció, pero Huawei y ByteDance hundieron los precios de la IA y el margen EBITA no pasó del 8 %; los 380.000 M RMB de centros de datos se amortizan a un ritmo que se come el beneficio. El comercio rápido no llegó a ser rentable en FY2029 porque Meituan y JD aguantaron, y Taobao siguió perdiendo cuota frente a Douyin: el margen EBITDA del grupo se quedó en el 13 %. La caja libre siguió negativa dos años más, la empresa hizo otra colocación y suspendió las recompras. En 2027 EE. UU. limitó la inversión en empresas de la lista 1260H y los fondos estadounidenses vendieron el ADS. Las señales: el margen de la nube estancado en el 12 % del 1T27, la caja libre de −44.670 M y la colocación de agosto de 2026, que dijo que la caja no llegaba.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la regulación (antimonopolio, datos, plataforma), la energía de los centros de datos de IA (el capex de 380.000 M RMB multiplica el consumo eléctrico) y las condiciones laborales de los repartidores del comercio rápido [3, 13]. Sin calificaciones verificadas en este análisis.</w:t>
      </w:r>
    </w:p>
    <w:p>
      <w:pPr>
        <w:pStyle w:val="Heading2"/>
      </w:pPr>
      <w:r>
        <w:t xml:space="preserve">Controversias</w:t>
      </w:r>
    </w:p>
    <w:p>
      <w:pPr>
        <w:spacing w:after="100"/>
      </w:pPr>
      <w:r>
        <w:t xml:space="preserve">Multa antimonopolio de 18.228 M RMB en 2021 [7]; demanda colectiva en Nueva York por omisiones sobre sus vínculos con el Estado chino (2026) [20, 21]; entrada en la lista 1260H del Pentágono en junio de 2026 [20].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pierde hoy el comercio rápido por pedido y por trimestre, y qué hipótesis hay detrás de la rentabilidad en FY2029?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principal de la caída del EBITA de comercio electrónico (−44 %).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y margen de la nube supone el plan de 380.000 M RMB para pagarse en tres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dato el capex es un acto de fe.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emitir acciones en agosto tras recomprar ≈311.000 M RMB a precios parecidos?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cuánta caja libre espera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 Group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la participación del 33 % en Ant (salida a bolsa,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a valor contable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si la lista 1260H obliga a vender a los inversores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binario sobre el ADS.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compras quedan con riesgo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10.000-12.000 M RMB al año de deterioros del fondo de comercio.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Conviven un «Mantener» por el frenazo del consumo chino que pesa sobre la nube y tesis alcistas que ven el suelo técnico cerca y la inversión en IA pagada en tres años [E1, E2, E3].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(Amazon frente a Alibaba)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 a Alibaba como la opción barata y a Amazon como la de calidad; el riesgo de China pesa en la comparación [E4].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cae un 27 % en el año porque los resultados fallan una y otra vez frente a las previsiones; el próximo informe tiene que demostrar que el gasto rinde [E5].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y agregadores técnicos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en «Compra moderada» con objetivos al alza; los indicadores técnicos la sitúan bajo las medias de 50 y 200 sesiones [D6, E6].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IA y la caja libre negativa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fue de −44.670 M RMB en el 1T27 y la inversión subió un 75 % [A4]; la dirección dice que la inversión en IA se paga en tres años, sin cifras de rendimiento que lo prueben.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colocación de agosto (dilución)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acciones nuevas, un 3,7 % del capital, a 112,70 HKD [D4]: diluye el BPA en la misma proporción y rompe con cinco años de recompras.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rápido y guerra de subvenciones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+45 % pero en pérdidas hasta FY2029, según la empresa [A4]; es la principal causa de la caída del 44 % del EBITA de comercio electrónico [A2].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geopolítico y regulatorio (lista 1260H,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la lista del Pentágono el 8-jun-2026 según la demanda colectiva [C2]; no hay cifra que lo cuantifique: va a la prima de riesgo del WACC.</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nube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 un 45 % con margen EBITA del 12 % [A4]: los foros tienen razón en el crecimiento; el peso en el beneficio todavía es pequeño.</w:t>
            </w:r>
          </w:p>
        </w:tc>
      </w:tr>
    </w:tbl>
    <w:p>
      <w:pPr>
        <w:spacing w:after="160" w:before="0"/>
      </w:pPr>
    </w:p>
    <w:p>
      <w:pPr>
        <w:spacing w:after="100"/>
      </w:pPr>
      <w:r>
        <w:t xml:space="preserve">El sentimiento de los particulares va por detrás del de los analistas: estos mantienen «Compra» con objetivos al alza (188,70 USD de media) [28], mientras los foros dudan por la caja libre negativa, la dilución y la geopolítica [32, 43]. No es capitulación: la acción sigue a 21,7x nuestro BPA FY2027e. Los foros ven bien el riesgo que nuestro análisis pone en el centro (el capex sin rendimiento probado) y exageran el de la colocación (3,7 % de dilución). Hay también quien ve el suelo técnico cerca o da por pagada la IA en tres años, y quien la compara con Amazon como la opción barata [44, 45, 46]. Ningún dato del informe sale de ahí.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48 (11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51,4 % frente a un ROIC de 4,5 % y un incremental histórico de -3,6 %: crecimiento que la empresa no ha demostrado poder comprar. Explicación: El ROIC de FY2026 (4,5 %) es el de un año de inversión extraordinaria (comercio rápido y captación de usuarios de Qwen) y el capital invertido del motor incluye ≈690.000 M RMB de participadas y valores; el EBITDA del caso base vuelve al 16,5-21 %, el margen de FY2023-25 [1, 5], así que casi todo el aumento del NOPAT es recuperación de margen y no rendimiento del capital nuevo. Se rebajó un punto el crecimiento de todos los años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-49,2 %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sector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Sin tamaño de mercado contrastado con dos fuentes en el presupuesto de búsquedas; el contexto competitivo está en competencia y riesgos.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Sector y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en EDGAR (no abre desde la nube); 2) Stock Analysis y Fintel por búsqueda (solo ingresos, beneficio y BPA); 3) comunicados de resultados citados por la búsqueda (solo resultado operativo y conciliación no GAAP)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ingresos de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2) comunicado FY2026 por búsqueda (solo EBITA ajustado por segmento y reorganización de 2025); 3) Stock Analysis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vencimientos y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2) Stock Analysis y Fintel; 3) prensa de las emisiones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(tamaño del mercado con dos fuentes, Porter, ciclo)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 oficial de ventas en línea de China (NBS) por búsqueda; 2) informes de mercado de la nube china (IDC, Canalys) por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por falta de búsquedas en el presupuesto compartido; el contexto va en competencia y en riesgos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PDD, JD y Meituan por búsqueda;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ESG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votos de la junta, remuneración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FY2026 en EDGAR (no abre); 2) circular de la junta en HKEX por búsqueda;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la estructura de control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cumplimiento de la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2) transcripciones;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empresa no da guía numérica anual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operaciones del sector en el 20-F; 2) búsqueda de compras de plataformas chinas de comercio electrónico con múltiplo;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índices y rentabilidad total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Stock Analysis por búsqueda; 3) Macrotrends (solo cierres anuales de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múltiplos de EBITDA y crecimiento de los comparables chinos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de PDD); 2) nota de Citigroup (solo PER a un año, de abril); 3) AlphaSpread (capitalizaciones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chinos (Xueqiu)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reddit.com (dominio bloqueado para el buscador); 2) Stocktwits por búsqueda (sin resultados); 3) Xueqiu (no se intentó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mercado de Ant Group y de los valores estratégicos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(nota de inversiones); 2) prensa sobre la valoración de Ant; 3) cotizaciones de las participadas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a valor contable en el puente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Announces March Quarter 2026 and Fiscal Year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https://www.sec.gov/Archives/edgar/data/0001577552/000110465926060224/tm2614494d1_ex99-1.htm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FY2026: conciliación no GAAP y EBITA por segmentos (6-K, ex. 99.1,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https://www.sec.gov/Archives/edgar/data/0001577552/000119312526274928/d133513dex991.pdf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https://www.sec.gov/Archives/edgar/data/0001577552/000119312526231755/baba-20260331.htm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June Quarter 2026 Results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https://www.sec.gov/Archives/edgar/data/0001577552/000110465926099220/tm2623667d1_ex99-1.htm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2025 and Fiscal Year 2025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https://www.sec.gov/Archives/edgar/data/1577552/000110465925049400/tm2515233d1_ex99-1.htm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FY2023 (6-K, ex. 99.1): conciliación del BPA no GAAP de FY2021-23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https://www.sec.gov/Archives/edgar/data/1577552/000119312523190974/d517168dex991.pdf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and Full Fiscal Year 2021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https://www.sec.gov/Archives/edgar/data/1577552/000110465921065916/tm2116252d1_ex99-1.htm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March Quarter 2024 and Fiscal Year 2024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https://www.sec.gov/Archives/edgar/data/1577552/000110465924061145/tm2414429d1_ex99-1.htm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(HKG:9988):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https://stockanalysis.com/quote/hkg/9988/financials/balance-sheet/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(LON:0HCI): estado de flujos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https://stockanalysis.com/quote/lon/0HCI/financials/cash-flow-statement/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Limited: balance anual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https://fintel.io/bs/hk/9988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quarterly revenue up 9%, misses adjusted profit due to heavy AI spend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https://www.bnnbloomberg.ca/business/company-news/2026/08/20/alibabas-quarterly-revenue-up-9-misses-adjusted-profit-due-to-heavy-ai-spend/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allocates $8bn jumbo financing among 22 lenders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https://www.globalcapital.com/article/28ms9todcvhj3xsl3x8lm/asia/alibaba-allocates-8bn-jumbo-financing-among-22-lenders-after-13-join-in-senior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revenue rises 9% to RMB268.95bn as AI cloud sales surge 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Sector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https://www.retailsector.co.uk/744206-alibaba-revenue-rises-9-to-rmb268-95bn-as-ai-cloud-sales-surge-45/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https://www.marketbeat.com/instant-alerts/alibaba-group-q1-earnings-call-highlights-2026-08-20/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profit plunges 75% as AI spending increases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Gazette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https://www.retailgazette.co.uk/blog/2026/08/alibaba-profit-plunges-75-as-ai-spending-increases/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reports continued profit squeeze from spending on AI and instant retail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CTV News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https://www.ctvnews.ca/business/article/alibaba-reports-continued-profit-squeeze-from-spending-on-ai-and-instant-retail/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Stock Forecast for 2026: Can AI and Cloud Growth Push BABA Past $200? (subida de precios de la nube)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BingX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https://bingx.com/en/learn/article/alibaba-baba-stock-outlook-and-price-prediction-is-baba-a-good-investment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Limited (NYSE: BABA) Securities Fraud Class 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Kessler Topaz Meltzer &amp; Check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https://www.ktmc.com/?p=18145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Kaplan Fox alerts Alibaba investors to a securities class action deadline on October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Newsfile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https://www.newsfilecorp.com/release/308164/Kaplan-Fox-Kilsheimer-LLP-Alerts-Alibaba-Group-Holding-Limited-BABA-Investors-to-a-Securities-Class-Action-Deadline-on-October-5-2026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has fallen 31% from its highs: is BABA a buy in 2026? (lista 1260H de febrero)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https://www.tikr.com/es/blog/alibaba-stock-has-fallen-31-from-its-highs-is-baba-a-buy-in-2026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cotización (cierre del 13-oct-2026, 110,85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https://www.morningstar.com/stocks/xnys/baba/quote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Stock Price: Oct 12 Close $110.78; rango de 52 semanas 91,99-182,50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Holding (BABA) Stock Price &amp; Overview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710 M de acciones nuevas a 112,70 HKD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https://www.sec.gov/Archives/edgar/data/0001577552/000119312526361715/baba-ex99_3.htm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Raises $10.2 Billion in Massive Share Sale, Sending Shares Tumbling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KuCoin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https://www.kucoin.com/blog/en-alibaba-raises-10-2-billion-in-massive-share-sale-sending-shares-tumbling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(BABA) price target and analyst forecast (22 analistas,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https://www.marketbeat.com/stocks/NYSE/BABA/forecast/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 Bank Boosts Earnings Estimates for Alibaba Group (FY2027 5,81 USD; FY2028 8,41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Markets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https://www.themarketsdaily.com/?p=9936258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del ejercicio en curso (5,91 USD por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Political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https://www.dailypolitical.com/?p=10505092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(BABA) price history: precios mensuales reales de marzo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https://www.digrin.com/stocks/detail/BABA/price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is down nearly 27% in 2026 as earnings keep missing estimates (cierre del 29-sep: 107,74 USD; −14,1 % desde el 31-mar)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https://www.tikr.com/de/blog/alibaba-stock-is-down-nearly-27-in-2026-as-earnings-keep-missing-estimates-heres-what-the-next-report-has-to-show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- 12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https://www.macrotrends.net/stocks/charts/BABA/alibaba/stock-price-history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 Yield Hits Over 1-Year Low (≈1,67 %)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https://tradingeconomics.com/china/government-bond-yield/news/585190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Offshore Yuan Holds Gains (≈6,70 por dólar a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https://tradingeconomics.com/china/currency/news/587959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Citigroup Suggests Chinese Internet Stocks Are Nearing Attractive Valuation Lows (PER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https://www.itiger.com/news/1106754947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PDD Holdings: valoración (PER 2026e)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https://uk.marketscreener.com/quote/stock/PDD-HOLDINGS-INC-45049866/valuation/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estadounidenses (Amazon, MercadoLibre) del informe de Amazon del 12-oct-2026, con datos de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Q1 FY27 earnings preview: Wall Street is overwhelmingly bullish (BPA ajustado esperado 10,8 RMB por ADS)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Pepperstone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https://pepperstone.com/en/analysis/navigating-markets/alibaba-q1-fy27-earnings-preview-wall-street-is-overwhelmingly-bullish-now-ai-and-cloud-have-to-prove-it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BABA: Trendspider (próximos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TrendSpider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https://trendspider.com/markets/symbols/BABA/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boost Alibaba (BABA) price targets (Goldman 205, Mizuho 195, Jefferies 230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https://www.tipranks.com/news/analysts-see-more-upside-in-alibaba-stock-baba-on-cloud-and-ai-tailwinds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Stock: Consumer Slowdown Weighs On Cloud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https://seekingalpha.com/article/4855554-alibaba-consumer-slowdown-weighs-on-cloud-intelligence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Alibaba's Technical Bottom Is Near - Diversified Commerce/Cloud Growth Prospects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https://seekingalpha.com/article/4916622-alibaba-stock-technical-bottom-near-diversified-commerce-cloud-growth-prospects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Three-Year AI CapEx Payback Period Silence Bears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https://seekingalpha.com/article/4941330-alibaba-3-years-ai-capex-payback-period-silence-bears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vs. Alibaba: Which Consumer Stock Is a Better Buy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https://www.fool.com/coverage/better-buy/2026/10/12/amazoncom-vs-alibaba-which-consumer-stock-is-a-better-buy-in-2026/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resultados del trimestre de junio de 2026 (HKEX)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https://www1.hkexnews.hk/listedco/listconews/sehk/2026/0820/2026082000745.pdf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 Announces Filing of Annual Report on Form 20-F for Fiscal Year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https://home.alibabagroup.com/document-2003564382071554048</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68,8 %</w:t>
      </w:r>
      <w:r>
        <w:t xml:space="preserve"> · Secciones con menos del 60 % de campos cubiertos: </w:t>
      </w:r>
      <w:r>
        <w:rPr>
          <w:b/>
          <w:bCs/>
        </w:rPr>
        <w:t xml:space="preserve">sector, capital, directivos, gobierno, transacciones, balance</w:t>
      </w:r>
      <w:r>
        <w:t xml:space="preserve"> · Generado el 14 oct 2026.</w:t>
      </w:r>
    </w:p>
    <w:p>
      <w:pPr>
        <w:pStyle w:val="Nota"/>
        <w:spacing w:after="100"/>
      </w:pPr>
      <w:r>
        <w:t xml:space="preserve">Análisis hecho desde la nube con la red limitada a la búsqueda web: EDGAR, HKEX, la web de la empresa y los proveedores no se pudieron abrir, así que las cifras salen de los extractos de búsqueda de los 6-K y del 20-F, de Stock Analysis y de la prensa, cruzadas cuando fue posible; lo que no cuadró está en null y en los huecos. Cuentas en RMB (US GAAP), ejercicio cerrado en marzo (FY2026 = abril de 2025 a marzo de 2026). La línea cotizada es el ADS de Nueva York (BABA, USD): 1 ADS = 8 acciones ordinarias de Hong Kong (9988.HK, HKD). Todo el informe va por ADS y en RMB: precio de 110,85 USD (cierre del 13-oct) a 6,70 RMB por dólar (yuan extraterritorial a 30-sep [35]) = 742,70 RMB; los cierres de marzo, al tipo de conveniencia de cada comunicado. Acciones: 19.885 M ordinarias tras la colocación de agosto (2.486 M de ADS) [26]. Faltan coste de ventas, gastos, impuestos y minoritarios por año, los segmentos con ingresos y el balance detallado; el EBITDA es el resultado operativo más la amortización derivada de la conciliación no GAAP (EBITDA ajustado − EBITA ajustado + intangibles) [2]. El BPA de la regla a 12 meses es el no GAAP de la empresa (sin pagos en acciones, plusvalías ni deterioros), porque el publicado lleva cada año decenas de miles de millones de revalorización de participadas (la trampa de Amazon).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Alibaba Group Holding Limited (BABA)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742,70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Hoja1!$B$2:$B$8</c:f>
              <c:numCache>
                <c:formatCode>#,##0</c:formatCode>
                <c:ptCount val="7"/>
                <c:pt idx="0">
                  <c:v>616.3</c:v>
                </c:pt>
                <c:pt idx="1">
                  <c:v>904.5</c:v>
                </c:pt>
                <c:pt idx="2">
                  <c:v>587.07</c:v>
                </c:pt>
                <c:pt idx="3">
                  <c:v>798.91</c:v>
                </c:pt>
                <c:pt idx="4">
                  <c:v>531.74</c:v>
                </c:pt>
                <c:pt idx="5">
                  <c:v>948.21</c:v>
                </c:pt>
                <c:pt idx="6">
                  <c:v>738.99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Hoja1!$C$2:$C$8</c:f>
              <c:numCache>
                <c:formatCode>#,##0</c:formatCode>
                <c:ptCount val="7"/>
                <c:pt idx="0">
                  <c:v>606.5</c:v>
                </c:pt>
                <c:pt idx="1">
                  <c:v>603</c:v>
                </c:pt>
                <c:pt idx="2">
                  <c:v>430.4</c:v>
                </c:pt>
                <c:pt idx="3">
                  <c:v>173.11</c:v>
                </c:pt>
                <c:pt idx="4">
                  <c:v>584.56</c:v>
                </c:pt>
                <c:pt idx="5">
                  <c:v>143.90999999999985</c:v>
                </c:pt>
                <c:pt idx="6">
                  <c:v>7.419999999999959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Alibaba</c:v>
                </c:pt>
                <c:pt idx="1">
                  <c:v>PDD Holdings (Pinduoduo, Temu)</c:v>
                </c:pt>
                <c:pt idx="2">
                  <c:v>JD.com</c:v>
                </c:pt>
                <c:pt idx="3">
                  <c:v>Meituan</c:v>
                </c:pt>
                <c:pt idx="4">
                  <c:v>ByteDance (Douyin)</c:v>
                </c:pt>
                <c:pt idx="5">
                  <c:v>Tencent Cloud / Huawei Cloud</c:v>
                </c:pt>
              </c:strCache>
            </c:strRef>
          </c:cat>
          <c:val>
            <c:numRef>
              <c:f>Hoja1!$B$2:$B$7</c:f>
              <c:numCache>
                <c:formatCode>0.0"%"</c:formatCode>
                <c:ptCount val="6"/>
                <c:pt idx="0">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853062</c:v>
                </c:pt>
                <c:pt idx="1">
                  <c:v>868687</c:v>
                </c:pt>
                <c:pt idx="2">
                  <c:v>941168</c:v>
                </c:pt>
                <c:pt idx="3">
                  <c:v>996347</c:v>
                </c:pt>
                <c:pt idx="4">
                  <c:v>1023670</c:v>
                </c:pt>
                <c:pt idx="5">
                  <c:v>1115800</c:v>
                </c:pt>
                <c:pt idx="6">
                  <c:v>1216222</c:v>
                </c:pt>
                <c:pt idx="7">
                  <c:v>1313520</c:v>
                </c:pt>
                <c:pt idx="8">
                  <c:v>1405467</c:v>
                </c:pt>
                <c:pt idx="9">
                  <c:v>1489795</c:v>
                </c:pt>
                <c:pt idx="10">
                  <c:v>1564284</c:v>
                </c:pt>
                <c:pt idx="11">
                  <c:v>1626856</c:v>
                </c:pt>
                <c:pt idx="12">
                  <c:v>1683796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3">
                  <c:v>188355</c:v>
                </c:pt>
                <c:pt idx="4">
                  <c:v>102303</c:v>
                </c:pt>
                <c:pt idx="5">
                  <c:v>137243</c:v>
                </c:pt>
                <c:pt idx="6">
                  <c:v>200677</c:v>
                </c:pt>
                <c:pt idx="7">
                  <c:v>229866</c:v>
                </c:pt>
                <c:pt idx="8">
                  <c:v>267039</c:v>
                </c:pt>
                <c:pt idx="9">
                  <c:v>297959</c:v>
                </c:pt>
                <c:pt idx="10">
                  <c:v>320678</c:v>
                </c:pt>
                <c:pt idx="11">
                  <c:v>341640</c:v>
                </c:pt>
                <c:pt idx="12">
                  <c:v>353597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18.9</c:v>
                </c:pt>
                <c:pt idx="4">
                  <c:v>10</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8.2</c:v>
                </c:pt>
                <c:pt idx="1">
                  <c:v>11.8</c:v>
                </c:pt>
                <c:pt idx="2">
                  <c:v>12</c:v>
                </c:pt>
                <c:pt idx="3">
                  <c:v>15.3</c:v>
                </c:pt>
                <c:pt idx="4">
                  <c:v>5.9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7.3</c:v>
                </c:pt>
                <c:pt idx="1">
                  <c:v>8.3</c:v>
                </c:pt>
                <c:pt idx="2">
                  <c:v>8.5</c:v>
                </c:pt>
                <c:pt idx="3">
                  <c:v>13</c:v>
                </c:pt>
                <c:pt idx="4">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1T26</c:v>
                </c:pt>
                <c:pt idx="1">
                  <c:v>3T26</c:v>
                </c:pt>
                <c:pt idx="2">
                  <c:v>4T26</c:v>
                </c:pt>
                <c:pt idx="3">
                  <c:v>1T27</c:v>
                </c:pt>
              </c:strCache>
            </c:strRef>
          </c:cat>
          <c:val>
            <c:numRef>
              <c:f>Hoja1!$B$2:$B$5</c:f>
              <c:numCache>
                <c:formatCode>0.0"%"</c:formatCode>
                <c:ptCount val="4"/>
                <c:pt idx="3">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89500</c:v>
                </c:pt>
                <c:pt idx="1">
                  <c:v>165400</c:v>
                </c:pt>
                <c:pt idx="2">
                  <c:v>150500</c:v>
                </c:pt>
                <c:pt idx="3">
                  <c:v>77500</c:v>
                </c:pt>
                <c:pt idx="4">
                  <c:v>-49900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61959</c:v>
                </c:pt>
                <c:pt idx="1">
                  <c:v>72509</c:v>
                </c:pt>
                <c:pt idx="2">
                  <c:v>79741</c:v>
                </c:pt>
                <c:pt idx="3">
                  <c:v>129470</c:v>
                </c:pt>
                <c:pt idx="4">
                  <c:v>105904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6.5</c:v>
                </c:pt>
                <c:pt idx="1">
                  <c:v>9.6</c:v>
                </c:pt>
                <c:pt idx="2">
                  <c:v>11</c:v>
                </c:pt>
                <c:pt idx="3">
                  <c:v>13.8</c:v>
                </c:pt>
                <c:pt idx="4">
                  <c:v>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5.7</c:v>
                </c:pt>
                <c:pt idx="1">
                  <c:v>6.6</c:v>
                </c:pt>
                <c:pt idx="2">
                  <c:v>7.1</c:v>
                </c:pt>
                <c:pt idx="3">
                  <c:v>11.8</c:v>
                </c:pt>
                <c:pt idx="4">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3">
                  <c:v>-0.95</c:v>
                </c:pt>
                <c:pt idx="4">
                  <c:v>-0.34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17900</c:v>
                </c:pt>
                <c:pt idx="3">
                  <c:v>29100</c:v>
                </c:pt>
                <c:pt idx="4">
                  <c:v>33700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61200</c:v>
                </c:pt>
                <c:pt idx="1">
                  <c:v>74700</c:v>
                </c:pt>
                <c:pt idx="2">
                  <c:v>88745</c:v>
                </c:pt>
                <c:pt idx="3">
                  <c:v>86662</c:v>
                </c:pt>
                <c:pt idx="4">
                  <c:v>7638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-49</c:v>
                </c:pt>
                <c:pt idx="1">
                  <c:v>-25.8</c:v>
                </c:pt>
                <c:pt idx="2">
                  <c:v>-10.8</c:v>
                </c:pt>
                <c:pt idx="3">
                  <c:v>10.3</c:v>
                </c:pt>
                <c:pt idx="4">
                  <c:v>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Alibaba</c:v>
                </c:pt>
                <c:pt idx="1">
                  <c:v>Tencent</c:v>
                </c:pt>
                <c:pt idx="2">
                  <c:v>Baidu</c:v>
                </c:pt>
                <c:pt idx="3">
                  <c:v>NetEase</c:v>
                </c:pt>
                <c:pt idx="4">
                  <c:v>PDD Holdings</c:v>
                </c:pt>
                <c:pt idx="5">
                  <c:v>Amazon</c:v>
                </c:pt>
                <c:pt idx="6">
                  <c:v>MercadoLibre</c:v>
                </c:pt>
              </c:strCache>
            </c:strRef>
          </c:cat>
          <c:val>
            <c:numRef>
              <c:f>Hoja1!$B$2:$B$8</c:f>
              <c:numCache>
                <c:formatCode>0.0"x"</c:formatCode>
                <c:ptCount val="7"/>
                <c:pt idx="5">
                  <c:v>11.26</c:v>
                </c:pt>
                <c:pt idx="6">
                  <c:v>17.2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Amazon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15.07</c:v>
                </c:pt>
              </c:numCache>
            </c:numRef>
          </c:xVal>
          <c:yVal>
            <c:numRef>
              <c:f>Hoja1!$C$2</c:f>
              <c:numCache>
                <c:formatCode>0.0"x"</c:formatCode>
                <c:ptCount val="1"/>
                <c:pt idx="0">
                  <c:v>11.26</c:v>
                </c:pt>
              </c:numCache>
            </c:numRef>
          </c:yVal>
          <c:smooth val="0"/>
        </c:ser>
        <c:ser>
          <c:idx val="1"/>
          <c:order val="1"/>
          <c:tx>
            <c:strRef>
              <c:f>Hoja1!$A$3</c:f>
              <c:strCache>
                <c:ptCount val="1"/>
                <c:pt idx="0">
                  <c:v>MercadoLibre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35</c:v>
                </c:pt>
              </c:numCache>
            </c:numRef>
          </c:xVal>
          <c:yVal>
            <c:numRef>
              <c:f>Hoja1!$C$3</c:f>
              <c:numCache>
                <c:formatCode>0.0"x"</c:formatCode>
                <c:ptCount val="1"/>
                <c:pt idx="0">
                  <c:v>17.2</c:v>
                </c:pt>
              </c:numCache>
            </c:numRef>
          </c:yVal>
          <c:smooth val="0"/>
        </c:ser>
        <c:axId val="10"/>
        <c:axId val="20"/>
      </c:scatterChart>
      <c:valAx>
        <c:axId val="10"/>
        <c:scaling>
          <c:orientation val="minMax"/>
          <c:max val="40"/>
          <c:min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-78776</c:v>
                </c:pt>
                <c:pt idx="1">
                  <c:v>30406</c:v>
                </c:pt>
                <c:pt idx="2">
                  <c:v>70930</c:v>
                </c:pt>
                <c:pt idx="3">
                  <c:v>113843</c:v>
                </c:pt>
                <c:pt idx="4">
                  <c:v>147490</c:v>
                </c:pt>
                <c:pt idx="5">
                  <c:v>168317</c:v>
                </c:pt>
                <c:pt idx="6">
                  <c:v>180906</c:v>
                </c:pt>
                <c:pt idx="7">
                  <c:v>186901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561945</c:v>
                </c:pt>
                <c:pt idx="1">
                  <c:v>1221573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742,70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531.74</c:v>
                </c:pt>
                <c:pt idx="1">
                  <c:v>874.85</c:v>
                </c:pt>
                <c:pt idx="2">
                  <c:v>1116.3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742,70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Hoja1!$B$2:$B$8</c:f>
              <c:numCache>
                <c:formatCode>#,##0</c:formatCode>
                <c:ptCount val="7"/>
                <c:pt idx="0">
                  <c:v>616.3</c:v>
                </c:pt>
                <c:pt idx="1">
                  <c:v>904.5</c:v>
                </c:pt>
                <c:pt idx="2">
                  <c:v>587.07</c:v>
                </c:pt>
                <c:pt idx="3">
                  <c:v>798.91</c:v>
                </c:pt>
                <c:pt idx="4">
                  <c:v>531.74</c:v>
                </c:pt>
                <c:pt idx="5">
                  <c:v>948.21</c:v>
                </c:pt>
                <c:pt idx="6">
                  <c:v>738.99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(616,30 – 1.222,80)</c:v>
                </c:pt>
                <c:pt idx="1">
                  <c:v>Precio objetivo de los analistas (904,50 – 1.507,50)</c:v>
                </c:pt>
                <c:pt idx="2">
                  <c:v>Comparables: PER NTM (587,07 – 1.017,47)</c:v>
                </c:pt>
                <c:pt idx="3">
                  <c:v>DCF (WACC y g ± 0,5) (798,91 – 972,02)</c:v>
                </c:pt>
                <c:pt idx="4">
                  <c:v>Escenarios (bajista – alcista) (531,74 – 1.116,30)</c:v>
                </c:pt>
                <c:pt idx="5">
                  <c:v>DCF con la prima implícita del mercado (4,2 %)</c:v>
                </c:pt>
                <c:pt idx="6">
                  <c:v>Precio actual (742,70)</c:v>
                </c:pt>
              </c:strCache>
            </c:strRef>
          </c:cat>
          <c:val>
            <c:numRef>
              <c:f>Hoja1!$C$2:$C$8</c:f>
              <c:numCache>
                <c:formatCode>#,##0</c:formatCode>
                <c:ptCount val="7"/>
                <c:pt idx="0">
                  <c:v>606.5</c:v>
                </c:pt>
                <c:pt idx="1">
                  <c:v>603</c:v>
                </c:pt>
                <c:pt idx="2">
                  <c:v>430.4</c:v>
                </c:pt>
                <c:pt idx="3">
                  <c:v>173.11</c:v>
                </c:pt>
                <c:pt idx="4">
                  <c:v>584.56</c:v>
                </c:pt>
                <c:pt idx="5">
                  <c:v>143.90999999999985</c:v>
                </c:pt>
                <c:pt idx="6">
                  <c:v>7.419999999999959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