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Viscofan, S.A.</w:t>
      </w:r>
    </w:p>
    <w:p>
      <w:pPr>
        <w:spacing w:after="60"/>
        <w:rPr>
          <w:color w:val="52514E"/>
          <w:sz w:val="22"/>
          <w:szCs w:val="22"/>
        </w:rPr>
      </w:pPr>
      <w:r>
        <w:rPr>
          <w:color w:val="52514E"/>
          <w:sz w:val="22"/>
          <w:szCs w:val="22"/>
        </w:rPr>
        <w:t xml:space="preserve">VIS · Bolsa de Madrid (Mercado Continuo) · ISIN ES0184262212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55,98 EUR · mercado 62,50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+12,0 % · mercado +24,4 %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2.412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Viscofan,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 / ES0184262212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alimentarios (envolturas para la industria cárnica)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Tajonar (Navarra)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www.viscofan.com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52,90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48,35 – 62,30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 M EUR/día (101.200 acciones, media de 20 sesiones a 6-oct-2026); 3,8 M EUR/sesión de media en 2025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55,98 EUR</w:t>
      </w:r>
      <w:r>
        <w:t xml:space="preserve"> frente a 52,90 · con la prima implícita del mercado: 62,50 (+18,1 %) · Rentabilidad total esperada a 12 meses </w:t>
      </w:r>
      <w:r>
        <w:rPr>
          <w:b/>
          <w:bCs/>
        </w:rPr>
        <w:t xml:space="preserve">+12,0 %</w:t>
      </w:r>
      <w:r>
        <w:t xml:space="preserve"> · Alcista / bajista +22,8 % / -24,3 %</w:t>
      </w:r>
    </w:p>
    <w:p>
      <w:pPr>
        <w:spacing w:after="100"/>
      </w:pPr>
      <w:r>
        <w:rPr>
          <w:b/>
        </w:rPr>
        <w:t xml:space="preserve">La recomendación y por qué.</w:t>
      </w:r>
      <w:r>
        <w:t xml:space="preserve"> Comprar, con convicción baja y horizonte de 12 meses. Las dos reglas discrepan. Con nuestro WACC (7,99 %), el valor objetivo es de 55,98 € frente a 52,90 €; con el dividendo del 6,2 %, la rentabilidad total esperada es del 12,0 % y la asimetría de 0,94 veces: Mantener. Con la prima que hoy descuenta el mercado (4,20 %) [54], el WACC baja al 7,24 %, el objetivo sube a 62,50 € y la rentabilidad total al 24,4 % (asimetría de 3,24): Comprar, y manda esta regla relativa. Es un Comprar solo relativo: gana al mercado, pero con nuestra prima histórica (5,5 %) no llega al 15 %; si el mercado entero se abarata, también caerá.</w:t>
      </w:r>
    </w:p>
    <w:p>
      <w:pPr>
        <w:spacing w:after="100"/>
      </w:pPr>
      <w:r>
        <w:rPr>
          <w:b/>
        </w:rPr>
        <w:t xml:space="preserve">El negocio.</w:t>
      </w:r>
      <w:r>
        <w:t xml:space="preserve"> Viscofan es el primer fabricante mundial de envolturas, con el 31 % de las de contacto alimentario y el 17 % de las proteicas [4]. Su ROIC del 16,4 % dobla el WACC y la mediana de los comparables (7,5 %). Su vulnerabilidad es el margen: los consumos son el 33 % de las ventas [3] y repercute pieles y gas con dos o tres trimestres de retraso. En 2022 el margen EBITDA bajó del 25,5 % al 22,2 % y tardó dos años en recuperarse [3][16]. La calidad sí sostiene el crecimiento que proyectamos (4,9 % anual frente al 6,5 % de 2020-2025): volumen al ritmo del mercado, que la reinversión financia, más precio.</w:t>
      </w:r>
    </w:p>
    <w:p>
      <w:pPr>
        <w:spacing w:after="100"/>
      </w:pPr>
      <w:r>
        <w:rPr>
          <w:b/>
        </w:rPr>
        <w:t xml:space="preserve">Finanzas.</w:t>
      </w:r>
      <w:r>
        <w:t xml:space="preserve"> Los ingresos crecieron un 6,5 % anual en 2020-2025, pero el EBITDA solo un 4,3 %, y el margen de los últimos 12 meses está en el 22,1 % [5]. El circulante (48,1 % de las ventas) retiene caja: solo el 65 % del beneficio llegó a flujo libre. La deuda neta ajustada es baja (328 M, 1,2 veces el EBITDA).</w:t>
      </w:r>
    </w:p>
    <w:p>
      <w:pPr>
        <w:spacing w:after="100"/>
      </w:pPr>
      <w:r>
        <w:rPr>
          <w:b/>
        </w:rPr>
        <w:t xml:space="preserve">Equipo y gobierno.</w:t>
      </w:r>
      <w:r>
        <w:t xml:space="preserve"> Restan algo. La dirección falla en margen: incumplió el EBITDA en 2023 y 2025 [16][2] y para 2026 avisa del rango bajo [5]. Fallan también el presidente y la vicepresidenta «otros externos», con 17 y 28 años en el consejo, y el 73,5 % de apoyo a las remuneraciones [19][20].</w:t>
      </w:r>
    </w:p>
    <w:p>
      <w:pPr>
        <w:spacing w:after="100"/>
      </w:pPr>
      <w:r>
        <w:rPr>
          <w:b/>
        </w:rPr>
        <w:t xml:space="preserve">Valoración.</w:t>
      </w:r>
      <w:r>
        <w:t xml:space="preserve"> El DCF (40 %) da 57,91 €; los escenarios (30 %), 55,20 €; los comparables (20 %), 50,32 €; y las transacciones (10 %), 61,90 €, un valor de control. El precio ofrece una rentabilidad implícita del 8,5 % anual, más que nuestro WACC y que el que pide el mercado; en crecimiento descuenta un 1,7 % anual, frente a nuestro 4,9 %. Nuestras cifras coinciden con el consenso (EBITDA a menos de un 1,1 %) y, con la prima del mercado, nuestro DCF (67,51 €) se acerca a su objetivo medio (69,29 €) [30]. La discrepancia es solo de tasa de descuento: por eso la convicción es baja.</w:t>
      </w:r>
    </w:p>
    <w:p>
      <w:pPr>
        <w:spacing w:after="100"/>
      </w:pPr>
      <w:r>
        <w:rPr>
          <w:b/>
        </w:rPr>
        <w:t xml:space="preserve">Riesgos y catalizadores.</w:t>
      </w:r>
      <w:r>
        <w:t xml:space="preserve"> El mayor riesgo es no repercutir la inflación de pieles, gas y transporte: dos puntos menos de margen dejan el valor en 49,06 € (−15 %). Le siguen la competencia en precio en EE. UU. si Viskase cambia de dueño (−20 %) [22] y Danville (−5/−10 %) [45][1]. El riesgo propio del Comprar relativo es el mercado: con una prima implícita por encima del 5 %, la regla vuelve a Mantener. Catalizadores: los resultados de enero-septiembre (finales de octubre) y de 2026 (febrero de 2027), frente al rango bajo de la guía (305 M de EBITDA) [5].</w:t>
      </w:r>
    </w:p>
    <w:p>
      <w:pPr>
        <w:spacing w:after="100"/>
      </w:pPr>
      <w:r>
        <w:rPr>
          <w:b/>
        </w:rPr>
        <w:t xml:space="preserve">Qué cambiaría la decisión.</w:t>
      </w:r>
      <w:r>
        <w:t xml:space="preserve"> Con las dos reglas, por debajo de 56,43 € es Comprar y por encima de 65,83 €, Vender. Volveríamos a Mantener si el margen bruto queda por debajo del 66 % dos trimestres seguidos (66,9 % en el 2T26) [5], porque el bajista pasaría a ser el caso central. Subiríamos la convicción si el margen EBITDA trimestral vuelve al 23 % en el 4T26-1T27 y se sostiene el consenso de 328,1 M de EBITDA para 2027 [28].</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55,98 EUR</w:t>
      </w:r>
      <w:r>
        <w:t xml:space="preserve"> (+5,8 % sobre 52,90; rentabilidad total esperada +12,0 %) · con la prima implícita del mercado: 62,50 (+18,1 %)</w:t>
      </w:r>
    </w:p>
    <w:p>
      <w:pPr>
        <w:spacing w:after="100"/>
      </w:pPr>
      <w:r>
        <w:t xml:space="preserve">Viscofan es el primer fabricante mundial de envolturas para embutidos, con el 31 % del mercado de celulósica, fibrosa y plástico y el 17 % de las proteicas [4]. Es un negocio de calidad: margen EBITDA del 22-26 % durante seis años, ROIC del 16,4 % (el doble que los comparables) y deuda de 1,1x EBITDA (motor). Su competidor más directo, Viskase, pierde dinero y cierra plantas [22].</w:t>
      </w:r>
    </w:p>
    <w:p>
      <w:pPr>
        <w:spacing w:after="100"/>
      </w:pPr>
      <w:r>
        <w:t xml:space="preserve">Al precio de 52,90 € el mercado no paga esa calidad: cotiza a 8,5x EV/EBITDA y 14,2x PER de los próximos 12 meses, en línea con ingredientistas de menor rentabilidad y un 14-19 % por debajo de su media histórica (motor). El DCF inverso dice que el precio descuenta un margen terminal del 22,9 % o un crecimiento de solo el 1,7 % anual, frente al 6,5 % de 2020-2025 (motor).</w:t>
      </w:r>
    </w:p>
    <w:p>
      <w:pPr>
        <w:spacing w:after="100"/>
      </w:pPr>
      <w:r>
        <w:t xml:space="preserve">Con nuestro WACC del 7,99 %, el valor objetivo es de 55,98 € (+5,8 %) y los escenarios son simétricos (+22,8 % / −24,3 %) (motor). Con la prima de riesgo que hoy pide el mercado (4,20 %) [54] es de 62,50 €, y la rentabilidad total esperada, del 24,4 %: comprar es una apuesta relativa, no absoluta. El mercado acierta en desconfiar del margen: la dirección falló el EBITDA en 2023 y 2025 y ahora avisa del rango bajo para 2026 [5][16][2]. Para invertir hay que creer que las subidas de precio del 2S26 devuelven el margen al 23-24 % en 2027, que Danville no deja factura y que el mercado no vuelve a pedir una prima de riesgo más alta.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 -24,3 %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8,0 %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(4,9 % anual proyectado; financiable al ROIC actual: 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56,43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56,43 y 65,83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65,83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56,43 € seguimos en Comprar; entre 56,43 € y 65,83 €, Mantener; por encima de 65,83 €, Vender (motor).</w:t>
      </w:r>
    </w:p>
    <w:p>
      <w:pPr>
        <w:pStyle w:val="ListParagraph"/>
        <w:numPr>
          <w:ilvl w:val="0"/>
          <w:numId w:val="2"/>
        </w:numPr>
        <w:spacing w:after="60"/>
      </w:pPr>
      <w:r>
        <w:t xml:space="preserve">Si la prima implícita del mercado sube por encima del 5 % (4,20 % en octubre de 2026) [54], la regla relativa da Mantener al precio de hoy y pasaríamos a Mantener (motor).</w:t>
      </w:r>
    </w:p>
    <w:p>
      <w:pPr>
        <w:pStyle w:val="ListParagraph"/>
        <w:numPr>
          <w:ilvl w:val="0"/>
          <w:numId w:val="2"/>
        </w:numPr>
        <w:spacing w:after="60"/>
      </w:pPr>
      <w:r>
        <w:t xml:space="preserve">Si el margen bruto trimestral queda por debajo del 66 % dos trimestres seguidos (66,9 % en el 2T26), el bajista pasaría a ser el caso central y pasaríamos a Mantener [5].</w:t>
      </w:r>
    </w:p>
    <w:p>
      <w:pPr>
        <w:pStyle w:val="ListParagraph"/>
        <w:numPr>
          <w:ilvl w:val="0"/>
          <w:numId w:val="2"/>
        </w:numPr>
        <w:spacing w:after="60"/>
      </w:pPr>
      <w:r>
        <w:t xml:space="preserve">Si Viskase se vende o se recapitaliza y cae el precio medio en Norteamérica, la competencia en precio volvería al mercado más rentable de Viscofan (−20 % en el valor) y pasaríamos a Mantener [22].</w:t>
      </w:r>
    </w:p>
    <w:p>
      <w:pPr>
        <w:pStyle w:val="ListParagraph"/>
        <w:numPr>
          <w:ilvl w:val="0"/>
          <w:numId w:val="2"/>
        </w:numPr>
        <w:spacing w:after="60"/>
      </w:pPr>
      <w:r>
        <w:t xml:space="preserve">Si el margen EBITDA trimestral vuelve al 23 % o más en el 4T26-1T27 y se sostiene el consenso de EBITDA de 2027 (328,1 M), subiríamos la convicción [28].</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se queda en torno al 22-23 % (el consenso de 2026 está por debajo de la guía de la empresa) y que Beat'30 no acelera el crecimiento; a eso suma un descuento por el riesgo de Danville y por la salida de APG [28][45][1].</w:t>
      </w:r>
    </w:p>
    <w:p>
      <w:pPr>
        <w:keepNext/>
        <w:spacing w:after="100"/>
      </w:pPr>
      <w:r>
        <w:rPr>
          <w:b/>
          <w:bCs/>
        </w:rPr>
        <w:t xml:space="preserve">Lo que creemos nosotros.</w:t>
      </w:r>
    </w:p>
    <w:p>
      <w:pPr>
        <w:spacing w:after="100"/>
      </w:pPr>
      <w:r>
        <w:t xml:space="preserve">Coincidimos con el consenso en las cifras de 2026-2028 (nuestro EBITDA difiere menos de un 1,1 %) (motor). Discrepamos en el múltiplo: con un ROIC del 16,4 % y un competidor en retirada, Viscofan merece cotizar a 9-10x EV/EBITDA, no a 8,5x. Con el bono al 4,08 % [35] y nuestra prima del 5,5 %, el potencial no llega al 15 %; con la prima que hoy pide el mercado (4,20 %) [54], sí.</w:t>
      </w:r>
    </w:p>
    <w:p>
      <w:pPr>
        <w:keepNext/>
        <w:spacing w:after="100"/>
      </w:pPr>
      <w:r>
        <w:rPr>
          <w:b/>
          <w:bCs/>
        </w:rPr>
        <w:t xml:space="preserve">Por qué podemos tener razón.</w:t>
      </w:r>
    </w:p>
    <w:p>
      <w:pPr>
        <w:spacing w:after="100"/>
      </w:pPr>
      <w:r>
        <w:t xml:space="preserve">Hay datos que apoyan el margen: 15-22 M de ahorros identificados en tres plantas [4], la retirada de capacidad de Viskase [22] y el precedente de 2024, cuando el margen volvió al 23,7 % tras la inflación de 2022 [3]. Sin una visión distinta en las cifras, el Comprar es relativo y de convicción baja: depende de que el mercado siga pidiendo la prima de hoy.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y rentabilidad</w:t>
      </w:r>
      <w:r>
        <w:t xml:space="preserve">: ROIC del 16,4 % frente al 7,5 % mediano de los comparables (motor).</w:t>
      </w:r>
    </w:p>
    <w:p>
      <w:pPr>
        <w:pStyle w:val="ListParagraph"/>
        <w:numPr>
          <w:ilvl w:val="0"/>
          <w:numId w:val="2"/>
        </w:numPr>
        <w:spacing w:after="60"/>
      </w:pPr>
      <w:r>
        <w:rPr>
          <w:b/>
        </w:rPr>
        <w:t xml:space="preserve">Competidor en retirada</w:t>
      </w:r>
      <w:r>
        <w:t xml:space="preserve">: Viskase vendió un 10 % menos en 2025 y consolida sus plantas de Norteamérica [22].</w:t>
      </w:r>
    </w:p>
    <w:p>
      <w:pPr>
        <w:pStyle w:val="ListParagraph"/>
        <w:numPr>
          <w:ilvl w:val="0"/>
          <w:numId w:val="2"/>
        </w:numPr>
        <w:spacing w:after="60"/>
      </w:pPr>
      <w:r>
        <w:rPr>
          <w:b/>
        </w:rPr>
        <w:t xml:space="preserve">Valoración en mínimos</w:t>
      </w:r>
      <w:r>
        <w:t xml:space="preserve">: 8,5x EV/EBITDA NTM, un 14 % por debajo de su media de 2021-2025 (motor).</w:t>
      </w:r>
    </w:p>
    <w:p>
      <w:pPr>
        <w:pStyle w:val="ListParagraph"/>
        <w:numPr>
          <w:ilvl w:val="0"/>
          <w:numId w:val="2"/>
        </w:numPr>
        <w:spacing w:after="60"/>
      </w:pPr>
      <w:r>
        <w:rPr>
          <w:b/>
        </w:rPr>
        <w:t xml:space="preserve">Remuneración</w:t>
      </w:r>
      <w:r>
        <w:t xml:space="preserve">: 3,29 € por acción pagados con cargo a 2025, una rentabilidad del 6,2 % (motor) [21].</w:t>
      </w:r>
    </w:p>
    <w:p>
      <w:pPr>
        <w:pStyle w:val="ListParagraph"/>
        <w:numPr>
          <w:ilvl w:val="0"/>
          <w:numId w:val="2"/>
        </w:numPr>
        <w:spacing w:after="60"/>
      </w:pPr>
      <w:r>
        <w:rPr>
          <w:b/>
        </w:rPr>
        <w:t xml:space="preserve">Demanda estructural</w:t>
      </w:r>
      <w:r>
        <w:t xml:space="preserve">: la tripa natural es aún el 61 % de las envolturas proteicas que el colágeno sustituye [4].</w:t>
      </w:r>
    </w:p>
    <w:p>
      <w:pPr>
        <w:pStyle w:val="Heading2"/>
      </w:pPr>
      <w:r>
        <w:t xml:space="preserve">En contra</w:t>
      </w:r>
    </w:p>
    <w:p>
      <w:pPr>
        <w:pStyle w:val="ListParagraph"/>
        <w:numPr>
          <w:ilvl w:val="0"/>
          <w:numId w:val="2"/>
        </w:numPr>
        <w:spacing w:after="60"/>
      </w:pPr>
      <w:r>
        <w:rPr>
          <w:b/>
        </w:rPr>
        <w:t xml:space="preserve">Margen bajo presión</w:t>
      </w:r>
      <w:r>
        <w:t xml:space="preserve">: margen EBITDA del 21,9 % en el 2T26, 2,6 pp menos que un año antes [5].</w:t>
      </w:r>
    </w:p>
    <w:p>
      <w:pPr>
        <w:pStyle w:val="ListParagraph"/>
        <w:numPr>
          <w:ilvl w:val="0"/>
          <w:numId w:val="2"/>
        </w:numPr>
        <w:spacing w:after="60"/>
      </w:pPr>
      <w:r>
        <w:rPr>
          <w:b/>
        </w:rPr>
        <w:t xml:space="preserve">Guía poco fiable</w:t>
      </w:r>
      <w:r>
        <w:t xml:space="preserve">: falló el EBITDA en 2023 y 2025 y Beyond25 quedó 2,8 pp por debajo del margen prometido [16][2].</w:t>
      </w:r>
    </w:p>
    <w:p>
      <w:pPr>
        <w:pStyle w:val="ListParagraph"/>
        <w:numPr>
          <w:ilvl w:val="0"/>
          <w:numId w:val="2"/>
        </w:numPr>
        <w:spacing w:after="60"/>
      </w:pPr>
      <w:r>
        <w:rPr>
          <w:b/>
        </w:rPr>
        <w:t xml:space="preserve">Riesgo en EE. UU.</w:t>
      </w:r>
      <w:r>
        <w:t xml:space="preserve">: el informe sobre Danville costó un 13 % en una sesión y sigue abierto [45].</w:t>
      </w:r>
    </w:p>
    <w:p>
      <w:pPr>
        <w:pStyle w:val="ListParagraph"/>
        <w:numPr>
          <w:ilvl w:val="0"/>
          <w:numId w:val="2"/>
        </w:numPr>
        <w:spacing w:after="60"/>
      </w:pPr>
      <w:r>
        <w:rPr>
          <w:b/>
        </w:rPr>
        <w:t xml:space="preserve">Circulante pesado</w:t>
      </w:r>
      <w:r>
        <w:t xml:space="preserve">: el 48,1 % de las ventas; conversión de beneficio en caja libre del 65 % en 2020-2025 (motor).</w:t>
      </w:r>
    </w:p>
    <w:p>
      <w:pPr>
        <w:pStyle w:val="ListParagraph"/>
        <w:numPr>
          <w:ilvl w:val="0"/>
          <w:numId w:val="2"/>
        </w:numPr>
        <w:spacing w:after="60"/>
      </w:pPr>
      <w:r>
        <w:rPr>
          <w:b/>
        </w:rPr>
        <w:t xml:space="preserve">Escenarios simétricos</w:t>
      </w:r>
      <w:r>
        <w:t xml:space="preserve">: alcista +22,8 % frente a bajista −24,3 % (motor).</w:t>
      </w:r>
    </w:p>
    <w:p>
      <w:pPr>
        <w:pStyle w:val="Heading2"/>
      </w:pPr>
      <w:r>
        <w:t xml:space="preserve">Qué tiene que pasar para que la tesis funcione</w:t>
      </w:r>
    </w:p>
    <w:p>
      <w:pPr>
        <w:spacing w:after="100"/>
      </w:pPr>
      <w:r>
        <w:t xml:space="preserve">La tesis depende del margen. Si las subidas de precio del 2S26 funcionan, el margen EBITDA trimestral debería volver al 23 % o más en el 4T26-1T27 y el consenso de 2027 (328,1 M de EBITDA) se sostendría [28]. La señal de que no se cumple: un margen bruto por debajo del 66 % en el 3T26 o un EBITDA anual de 2026 inferior a 300 M, por debajo incluso del consenso [5].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 en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precios cubren los costes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pieles y gas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sin divisa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1,5x EBITDA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del dividendo extraordinario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comunicadas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(AKO,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la cotización [46].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Viscofan nació en 1975 en Navarra para fabricar envolturas de celulosa y salió a bolsa en diciembre de 1986 [21]. Su modelo actual se construyó con compras que le dieron las cuatro tecnologías: Naturin (colágeno, Alemania) en 1990, Gamex (Chequia) en 1995 y Teepak (EE. UU. y México) en 2006, que la convirtió en el primer fabricante mundial de celulósica [21]. Después llegaron plantas propias de colágeno en China (2013) y Uruguay (2014) y compras pequeñas de nicho entre 2016 y 2019, la mayor Nitta Casings en EE. UU. y Canadá [15][21]. Desde 2009 la preside José Domingo de Ampuero, que dejó las funciones ejecutivas en 2024; desde entonces el primer ejecutivo es José Antonio Canales, en la casa desde 1996 [1][18]. En 2024-2025 dio el salto a colágeno bovino y golosinas para mascotas en Brasil, y en febrero de 2026 lanzó el plan Beat'30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Navarra como Viscofan, Industria Navarra de Envolturas Celulósicas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mercado continuo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Naturin (Alemania): entrada en envolturas de colágeno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planta de cogeneración en Cáseda, origen del negocio de energía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Teepak (EE. UU. y México): liderazgo mundial en celulósica y planta de Danville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extrusión de colágeno en China y Uruguay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Nitta Casings (EE. UU. y Canadá): colágeno en Norteamérica y gel de colágeno médico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presidencia ejecutiva; José Antonio Canales, consejero delegado. Compra del 60 % de Brasfibra y Master Couros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51 % de Pet Mania; informe bajista de Hunterbrook sobre Danville (14-oct) y caída del 13 % en la sesión [1][45].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Beat'30: 1.800 M de ingresos y 25 % de margen EBITDA en 2030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Viscofan fabrica las envolturas que dan forma a salchichas, embutidos y jamón cocido: celulosa y fibrosa (se retiran antes del consumo), colágeno comestible, plástico y, en menor medida, envolturas vegetales [1]. El negocio tradicional de envolturas aportó 1.033,7 M (83 %) de los 1.252,0 M de ingresos de 2025; los nuevos negocios (bolsas y films, ingredientes, salud y golosinas para mascotas) 159,7 M (13 %) y la venta de electricidad de la cogeneración de Cáseda 58,6 M (5 %) [2]. Vende a unos 1.700 clientes de más de 100 países, sobre todo industria cárnica, desde 22 plantas en 21 países [4]. Desde 2026 reporta cuatro divisiones: Food, Packaging and Ingredients (591,7 M en el 1S26), Health (3,8 M), Pet treats (8,3 M) y Energía (26,0 M) [5].</w:t>
      </w:r>
    </w:p>
    <w:p>
      <w:pPr>
        <w:pStyle w:val="Heading2"/>
      </w:pPr>
      <w:r>
        <w:t xml:space="preserve">Cómo gana dinero</w:t>
      </w:r>
    </w:p>
    <w:p>
      <w:pPr>
        <w:spacing w:after="100"/>
      </w:pPr>
      <w:r>
        <w:t xml:space="preserve">Es un fabricante de proceso continuo e intensivo en capital y energía: los consumos (pieles bovinas, pasta de celulosa, químicos) suponen el 33 % de las ventas, el personal el 23 % y los otros gastos de explotación, con energía y transporte, el 23 % [3]. Casi todo el ingreso es recurrente porque la envoltura se consume con cada salchicha, pero no hay contratos plurianuales: el margen depende de volumen (utilización de plantas), precio y coste de pieles y gas. El apalancamiento operativo es alto: en 2025 el crecimiento comparable de ingresos del 6,1 % llevó a un EBITDA comparable un 6,2 % mayor [2]. La divisa pesa por dos vías: ventas en dólares y costes en pesos mexicanos, reales y coronas; en el 1S26 restó 10,1 pp al crecimiento del EBITDA [7]. No hay estacionalidad relevante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1320"/>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(envolturas)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(envolturas)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está atomizada: ningún cliente o grupo supera el 10 % de las ventas ni de las cuentas a cobrar, y el 90 % del riesgo de impago se asegura [5]. Los clientes son mataderos e industrias cárnicas, desde multinacionales hasta medianas regionales; cambiar de envoltura exige pruebas en sus líneas embutidoras, lo que da cierta fidelidad. El poder de precios es real pero lento: en 2022, con inflación de energía y pieles, el margen EBITDA bajó de 25,5 % a 22,2 % y tardó dos años en volver al 23,7 % [3][16]; en 2025 el mix de precios quedó ligeramente por debajo de 2024 [2]; y en el 2T26, con el gas disparado por el conflicto de Oriente Medio, la empresa anunció nuevas subidas que espera notar en la segunda mitad [5]. Es decir, repercute la inflación de costes con dos o tres trimestres de retraso.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(ingresos − consumos)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 (2025); 68,0 %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las pieles de colágeno en Europa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bono anual; volvió a subir a 436,9 M en jun-26 [2][19][6].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Brasil y más turnos por volumen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100 M; media Beat'30: 120 M/año [2][4].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(EBITDA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medio Beat'30: 250 M/año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 (dic-25); 283,3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recompras y dividendo extraordinario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gravedad de accidentes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del variable de directivos [4][19].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 por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 pagados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1,00 € extraordinario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envolturas para productos cárnicos: proteicas (colágeno, tripa natural, vegetal y coextrusión) y de contacto alimentario (celulosa, fibrosa y plástico), en todo el mundo. Usamos como cifra principal la de Viscofan, unos 5.100 M EUR en 2025 (3.300 M proteicas, de las que el 61 % es tripa natural, y 1.800 M de contacto alimentario) [4], porque separa familias y cuotas. La contrastamos con GM Insights, que estimaba 6.200 M USD en 2022 con un perímetro más amplio de tripa natural [26], y con Meticulous Research, que solo mide el colágeno (2.310 M USD en 2031) [27]. El negocio de bolsas y films compite en un mercado de envases cárnicos de 24.000 M en el que Viscofan tiene el 0,1 % [4]. Los cinco primeros fabricantes (Viscofan, Viskase, Devro, Kalle y Shenguan) suman unos 2.100 M de ingresos, ≈ 42 % del total incluida la tripa natural (estimación propia con [22][23][24][25]).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5.100 M EUR en 2025 (Viscofan [4]); 6.200 M USD en 2022 (GM Insights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M Insights; 2024e-2030e interpolados por nosotros al TCAC del 3,4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tripa natural por colágeno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tripa natural es el 61 % de las envolturas proteicas; Viscofan espera que estas crezcan un 7 % anual en 2025-2030 [4] y Meticulous un 6,4 % el colágeno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carne procesada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Sudamérica creció un 14,7 % comparable y Asia-Pacífico un 7,3 % en el 1S26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y escasez de mano de obra en cárnicas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envolturas artificiales permiten embutidoras de alta velocidad; Viscofan lo sitúa entre los motores del plan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Racionalización de capacidad de competidores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Viskase vendió un 10 % menos en 2025 (−37 M USD por volumen) y concentra sus plantas norteamericanas en una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pieles, gas y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consumos subieron un 16,8 % en el 2T26 y el margen bruto cayó 3,5 pp [5]; los derechos de CO2 costaron 15,9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venta y de producción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Restaron 3,0 pp a los ingresos y 4,6 pp al EBITDA de 2025, y 10,1 pp al EBITDA del 1S26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 tiene el 31 % de las envolturas de contacto y el número dos el 17 % [4]; Viskase, previsiblemente ese número dos, pierde volumen y necesitó 45 M USD de su accionista para atender su deuda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(ninguno &gt; 10 %) [5], pero los grandes cárnicos negocian anualmente y el mix de precios cayó ligeramente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bovinas, celulosa y gas son materias con pocas alternativas: los consumos subieron un 16,8 % en el 2T26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homologación alimentaria y escala: solo el capex de crecimiento previsto en contacto alimentario es de 75 M [4]; el mayor fabricante chino, Shenguan, pierde dinero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tripa natural (61 % de las proteicas) [4] y la coextrusión compiten con el colágeno; Viscofan ofrece ambas alternativas.</w:t>
            </w:r>
          </w:p>
        </w:tc>
      </w:tr>
    </w:tbl>
    <w:p>
      <w:pPr>
        <w:spacing w:after="160" w:before="0"/>
      </w:pPr>
    </w:p>
    <w:p>
      <w:pPr>
        <w:pStyle w:val="Heading2"/>
      </w:pPr>
      <w:r>
        <w:t xml:space="preserve">Ciclo</w:t>
      </w:r>
    </w:p>
    <w:p>
      <w:pPr>
        <w:spacing w:after="100"/>
      </w:pPr>
      <w:r>
        <w:t xml:space="preserve">La demanda en volumen es poco cíclica: crece en torno al 4 % anual (media histórica) [41] y Viscofan aumentó ingresos un 7,4 % y EBITDA un 16,7 % en 2020, en plena pandemia [16]. Lo cíclico son los costes: en 2022 la inflación de energía y pieles recortó el margen EBITDA de 25,5 % a 22,2 % [16]. Hoy los volúmenes crecen y los costes vuelven a subir (gas, pieles, transporte tras el conflicto de Oriente Medio) [5], una situación parecida a 2022.</w:t>
      </w:r>
    </w:p>
    <w:p>
      <w:pPr>
        <w:pStyle w:val="Heading2"/>
      </w:pPr>
      <w:r>
        <w:t xml:space="preserve">Regulación</w:t>
      </w:r>
    </w:p>
    <w:p>
      <w:pPr>
        <w:spacing w:after="100"/>
      </w:pPr>
      <w:r>
        <w:t xml:space="preserve">Tres normas mueven cifras. La UE excluyó en septiembre de 2026 las pieles bovinas del reglamento de deforestación (EUDR), lo que aligera la compra de pieles para colágeno; la madera, base de la pasta de celulosa, sigue dentro y los grandes operadores deben cumplir desde el 30-dic-2026 [51]. El régimen europeo de derechos de emisión costó 15,9 M en 2025 por 242.857 toneladas [1]. Y la retribución de la cogeneración en España ha reducido los ingresos de energía un 15,4 % en el 1S26 [5]. En comercio, el arancel del 50 % de EE. UU. a Brasil (ago-2025) hundió las ventas de Pet Mania [2].</w:t>
      </w:r>
    </w:p>
    <w:p>
      <w:pPr>
        <w:pStyle w:val="Heading2"/>
      </w:pPr>
      <w:r>
        <w:t xml:space="preserve">Tendencias y disrupción</w:t>
      </w:r>
    </w:p>
    <w:p>
      <w:pPr>
        <w:spacing w:after="100"/>
      </w:pPr>
      <w:r>
        <w:t xml:space="preserve">Tres tendencias favorecen a Viscofan: el paso de tripa natural a colágeno, la automatización de las cárnicas y la retirada de capacidad de competidores débiles (Viskase) [4][22]. La coextrusión (envoltura aplicada como gel) y las envolturas vegetales son amenazas de sustitución, pero Viscofan las fabrica. El riesgo competitivo nuevo viene de China en colágeno, aunque Shenguan, el mayor, cerró 2025 con pérdidas y margen bruto del 10 % [24]. En nuevos negocios (bolsas, péptidos, golosinas para mascotas) Viscofan es un actor pequeño frente a grandes envasadores e ingredientistas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envolturas: 31 % de las de contacto alimentario y 17 % de las proteicas (≈ 22 % del total, estimación propia ponderando por tamaño)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Viskase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VKSC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Celulósica, fibrosa y plástico; filial (93 %) de Icahn Enterprises. Ventas 2025 −10 %, margen bruto 10 %; cierra plantas en Norteamérica [22]. Probable número dos en contacto alimentario (17 % según el gráfico de Viscofan, que no lo nombra) [4]. Ingresos convertidos a 1,13 USD/EUR.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Devro (SARIA)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Colágeno; 290 M GBP de ingresos en 2022 [47]; margen operativo subyacente del 16,6 % en 2021, último publicado [23]. Excluida de bolsa en 2023.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Fibrosa, plástico y textil; privada; unos 300 M EUR de ingresos y 290 M EUR de deuda refinanciada con Hayfin en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Shenguan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0829.HK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Colágeno en China; 1.023 M CNY de ingresos y pérdida operativa de 56 M CNY en 2025 [24]. Convertido a 8,1 CNY/EUR.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la envoltura para un cliente no depende de cuántos la usen.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envoltura exige pruebas en la línea embutidora; la cartera es estable, pero el mix de precios bajó en 2025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(Cáseda logró más de 10 M de ahorros en celulósica) [15]; las patentes no son la barrera principal.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 22-26 % en 2020-2025 frente a márgenes operativos negativos de Viskase y Shenguan en 2025 [3][22][24]; ROIC del 13,9-16,4 % (motor).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5.100 M con 22 plantas propias en 21 países; el número dos en contacto alimentario tiene la mitad de cuota (17 % frente a 31 %) [4].</w:t>
            </w:r>
          </w:p>
        </w:tc>
      </w:tr>
    </w:tbl>
    <w:p>
      <w:pPr>
        <w:spacing w:after="160" w:before="0"/>
      </w:pPr>
    </w:p>
    <w:p>
      <w:pPr>
        <w:pStyle w:val="Heading2"/>
      </w:pPr>
      <w:r>
        <w:t xml:space="preserve">Amenazas</w:t>
      </w:r>
    </w:p>
    <w:p>
      <w:pPr>
        <w:spacing w:after="100"/>
      </w:pPr>
      <w:r>
        <w:t xml:space="preserve">La principal amenaza no es un entrante sino el coste: si pieles, gas y transporte siguen subiendo más deprisa que los precios, el margen puede volver al 22 % de 2022-2023 (probabilidad media) [5][16]. Segunda, un comprador con caja que recapitalice a Viskase o Kalle y reactive la competencia en precio en EE. UU. (baja) [22][25]. Tercera, la coextrusión y las envolturas vegetales como sustitutos del colágeno (baja a cinco años). Cuarta, la reputación en EE. UU. tras el informe de Hunterbrook sobre Danville, que no ha generado reclamaciones pero sí costes de asesoría [1][45].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4,3 %</w:t>
      </w:r>
      <w:r>
        <w:t xml:space="preserve">, BPA </w:t>
      </w:r>
      <w:r>
        <w:rPr>
          <w:b/>
          <w:bCs/>
        </w:rPr>
        <w:t xml:space="preserve">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a un TCAC del 6,5 % en 2020-2025, pero el EBITDA solo al 4,3 % y el BPA al 6,0 % (motor). Casi todo el crecimiento es orgánico: las compras de Brasil aportaron 0,9 pp en 2025 [2]. El salto de 2022 (+23,9 %) se explica por precios y por la energía, que pasó de 44 M a 93 M de ingresos [17][16]. El margen EBITDA cayó de 25,7 % en 2020 a 21,9 % en 2023 (−380 pb) por pieles y gas, recuperó el 23,7 % en 2024 y bajó al 23,2 % en 2025 por divisa; en términos comparables fue estable en 23,7 % [2]. En el LTM a junio de 2026 el margen es del 22,1 % (motor), con el 2T26 en 21,9 % por la subida del gas [5]. El margen neto (12,8 %) se sostiene mejor porque la tasa fiscal de 2025 fue del 10,1 % [2].</w:t>
      </w:r>
    </w:p>
    <w:p>
      <w:pPr>
        <w:pStyle w:val="Heading2"/>
      </w:pPr>
      <w:r>
        <w:t xml:space="preserve">Ajustes y partidas no recurrentes</w:t>
      </w:r>
    </w:p>
    <w:p>
      <w:pPr>
        <w:spacing w:after="100"/>
      </w:pPr>
      <w:r>
        <w:t xml:space="preserve">Usamos cifras reportadas; la empresa no presenta beneficio ajustado. Partidas no recurrentes relevantes: en 2025, 18,0 M de activación de bases imponibles negativas en EE. UU. que bajaron la tasa fiscal al 10,1 % (sin ella habría sido del 20,3 %, estimación propia) [2]; 5,0 M más en el 1S25 [7]. Las diferencias de cambio, dentro del resultado financiero, oscilan mucho: +13,0 M en 2024 y −20,1 M en 2025 [2]. En 2024 el presidente cobró 1,3 M de indemnización al dejar las funciones ejecutivas [1]. Las cifras de 2024 están reexpresadas por la asignación definitiva del precio de Brasfibra y Master Couros [1]. Ninguna de estas partidas toca el EBITDA, que no tiene ajustes.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(30-jul-2026) el mensaje cambió respecto a febrero: el crecimiento de volúmenes sigue en todas las regiones, pero «el entorno de costes cambió significativamente» en el 2T por el conflicto de Oriente Medio (gas, plásticos, auxiliares y transporte), y la dirección mantuvo la guía 2026 aunque avisó de que el EBITDA quedará más probablemente en el rango bajo (+5 %) [5][7]. En febrero el tono era de «máximos históricos» y crecimiento acelerado con Beat'30, con la divisa como único viento en contra (1,18 USD/EUR) [2][4]. En abril, con el 1T26, el foco fue la divisa: EBITDA −7,9 % reportado y +9,3 % comparable, 7 % por encima de lo que esperaba Renta 4 [8][38]. Las preguntas recurrentes de los analistas, según la prensa y los informes públicos, giran en torno al margen (si el 2T26 es el suelo), la capacidad de subir precios, la divisa y el impacto de Viskase en EE. UU. [39][41]. La dirección no cuantificó las subidas de precio ni su calendario, ni el coste de la revisión de Danville [5][1]. En el 4T25 el EBITDA quedó un 11 % por debajo del consenso de Visible Alpha y el beneficio lo superó un 13 % gracias a los créditos fiscales de EE. UU. [40]. Las cifras trimestrales proceden de las notas de resultados de cada periodo [8][9][10][11]. No hay transcripción pública de las conferencias.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pasó de 15,6 M en 2021 a 218,3 M en 2025 y a 294 M en junio de 2026 (motor), pero no por inversiones fallidas sino por la remuneración extraordinaria: 208 M de recompras y 473 M de dividendos en 2020-2025 frente a 557 M de flujo libre (motor). Con DN/EBITDA de 1,1x (puente de jun-26) el apalancamiento sigue bajo. El punto débil es el circulante: existencias + clientes − proveedores suman el 48,1 % de las ventas, frente al 40,0 % de 2021 (motor); en el 1S26 volvió a absorber 41,3 M [7]. Las existencias son altas por la naturaleza del producto (muchas referencias, 22 plantas) y su reducción es objetivo retributivo [19]. La liquidez descansa en líneas de crédito que se renuevan cada año: 271,5 M de la deuda bancaria vence o se renueva en 12 meses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557</w:t>
      </w:r>
      <w:r>
        <w:t xml:space="preserve">, conversión </w:t>
      </w:r>
      <w:r>
        <w:rPr>
          <w:b/>
          <w:bCs/>
        </w:rPr>
        <w:t xml:space="preserve">65 %</w:t>
      </w:r>
      <w:r>
        <w:t xml:space="preserve"> del beneficio neto; adquisiciones 16, dividendos 473, recompras 208.</w:t>
      </w:r>
    </w:p>
    <w:p>
      <w:pPr>
        <w:spacing w:after="100"/>
      </w:pPr>
      <w:r>
        <w:t xml:space="preserve">La conversión de beneficio en caja libre es irregular: 65 % acumulado en 2020-2025, con un año negativo (2022: −3,9 M) por el aumento de existencias y un capex de 115,6 M, y años del 96-100 % (2020, 2024) (motor). La causa es el circulante, que absorbió 106,1 M en 2022, 90,6 M en 2023 y 49,9 M en 2025 [16][3]. El capex osciló entre el 6,1 % y el 9,9 % de las ventas y entre 0,8x y 1,5x las amortizaciones (motor). La empresa no separa mantenimiento de crecimiento en el histórico; para 2026-2030 sí: 300 M de capex recurrente y 300 M de crecimiento, es decir unos 60 M anuales de mantenimiento, el 4,5-5 % de las ventas (estimación propia sobre [4]). Las recompras de 2024-2025 (90,7 M y 94,0 M) son en su mayor parte la contrapartida del dividendo flexible: la empresa compra en mercado las acciones que entrega a quien elige cobrar en acciones, para no diluir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Los tres indicadores del motor son tranquilizadores: Altman Z de 5,35 (zona segura), Beneish M de −2,45 (sin señal de manipulación) y flujo operativo 1,29 veces el beneficio acumulado. El Piotroski de 5 sobre 9 refleja un 2025 flojo (baja el margen bruto y la liquidez corriente, sube la deuda), no un problema contable. Lo que sí hay que vigilar: la tasa fiscal de 2025 (10,1 %) depende de activar 18,0 M de créditos fiscales en EE. UU., que solo se recuperan si Danville sigue ganando dinero [2]; las diferencias de cambio (−20,1 M en 2025) quedan bajo el EBITDA y hacen que el EBITDA «comparable» de la empresa sea más favorable que el beneficio [2]; y el BPA diluido de 2025 (3,52 €) es mayor que el básico (3,50 €), lo que contradice la definición de dilución y apunta a un error en la nota 20 [1]. Se capitalizan trabajos para el inmovilizado (2,3 M) y el plan de incentivos se paga en acciones (4,7 M de pasivo) [3][1]. El informe de auditoría de 2025 está escaneado y no se puede leer como texto; el IAGC confirma que el de 2024 no tenía salvedades [18].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fiscal del 10,1 % en 2025 por activación de bases imponibles en EE. UU. (18,0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ella ≈ 142 M (−11 %), estimación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en el 48 % de las ventas y existencias de 436,9 M a jun-26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absorbe caja con cada subida de costes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diluido mayor que el básico en 2025 (3,52 € frente a 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medio diluido (45,48 M) inferior al básico (45,66 M) en la nota 20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volátiles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 M en 2024 y −20,1 M en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2024 por la asignación del precio de las compras de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 de inmovilizado e intangibles de unos 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Anexo financiero del 1S26 con el «EBITDA recurrente» de 2026 copiado del 1S25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fila muestra 145.161 miles en ambos semestres frente a un EBITDA de 134.488 miles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8,0 %.</w:t>
      </w:r>
    </w:p>
    <w:p>
      <w:pPr>
        <w:spacing w:after="100"/>
      </w:pPr>
      <w:r>
        <w:t xml:space="preserve">Viscofan crea valor: su ROIC se movió entre el 13,9 % y el 16,4 % en 2020-2025 frente a un WACC del 7,99 % (motor), y el ROIC incremental de todo el periodo es del 17,6 %, lo que dice que el crecimiento reciente no ha diluido la rentabilidad. El ROIC lo mueve el margen y no la rotación: la rotación del activo es estable en torno a 0,86-0,95x, mientras el margen neto osciló entre el 11,5 % y el 13,7 % (motor). El mínimo de 2023-2024 coincide con la inflación de pieles y energía y con un capital invertido inflado por las existencias. Frente a los comparables cotizados el ROIC de Viscofan duplica la mediana (16,4 % frente a 7,5 %) [33], y sus competidores directos Viskase y Shenguan tuvieron pérdidas operativas en 2025 [22][24].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57,7 M (jun-26) + líneas de crédito no dispuestas 155,3 M (límite 340,5 M a dic-25); deuda bancaria 339,4 M a jun-26, de la que 271,5 M vence o se renueva en 12 meses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bonos ni rating; la deuda bancaria es a tipo variable y parte es sostenible, con diferencial ligado a emisiones, agua y residuos [1]. Algunos préstamos tienen ratios financieros; a junio de 2026 se cumplían todos [5]. Otros pasivos asimilables a deuda, que llevamos al puente: 22,8 M de otros pasivos financieros (préstamos subvencionados del CDTI, proveedores de inmovilizado y el 25 % pendiente de la compra de Brasfibra, 3,4 M) [1][5]. Pensiones de prestación definida, sobre todo en Alemania: obligación neta de 12,8 M en dic-25 [1]. Provisiones por litigios laborales en Brasil y reclamaciones en Brasil por 7,0 M, además de demandas menores en EE. UU. [1]. Confirming con límite de 11,3 M [1]. No hay factoring sin recurso declarado.</w:t>
      </w:r>
    </w:p>
    <w:p>
      <w:pPr>
        <w:pStyle w:val="Heading1"/>
      </w:pPr>
      <w:r>
        <w:t xml:space="preserve">12. Asignación de capital</w:t>
      </w:r>
    </w:p>
    <w:p>
      <w:pPr>
        <w:pStyle w:val="Confianza"/>
        <w:spacing w:after="100"/>
      </w:pPr>
      <w:r>
        <w:t xml:space="preserve">Confianza: Media</w:t>
      </w:r>
    </w:p>
    <w:p>
      <w:pPr>
        <w:spacing w:after="100"/>
      </w:pPr>
      <w:r>
        <w:t xml:space="preserve">La prioridad declarada en Beat'30 es crecer con 600 M de capex en 2026-2030 (300 M de crecimiento) y aumentar la remuneración total al accionista cada año, con compras pequeñas («bolt-on») [4]. En Beyond25 el dividendo ordinario creció con un pay-out medio del 65 % y se pagó 1,00 € extraordinario por acción en 2023, 2024 y 2025 [4]. El dividendo es flexible (efectivo o acciones) y la empresa amortiza las acciones necesarias para no diluir; además recompró 500.000 acciones (1,075 % del capital) entre nov-25 y feb-26 para amortizar [5]. Para 2026 promete una remuneración total superior a la de 2025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Mania (51 %, Brasil; golosinas para mascotas)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el arancel de EE. UU. a Brasil llevó su EBITDA a −0,9 M en 2025 y una pérdida neta de 1,3 M [1][2]; ventas recuperándose en 2026 (+87,8 % en Pet treats)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(60 %, Brasil; colágeno bovino y pieles)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pago aplazado (25 % pendiente a dic-25)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y aún sin datos de rentabilidad propios; integración vertical en pieles; asignación de precio reexpresada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Nitta Casings (EE. UU. y Canadá; colágeno y gel médico)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producción de Canadá se trasladó a México; base del negocio Health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 (EE. UU./Europa), Supralon (Alemania), Transform Pack (Canadá), Globus (Australia/NZ)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nicho; sin deterioros: el fondo de comercio total es de solo 13,6 M [1][15].</w:t>
            </w:r>
          </w:p>
        </w:tc>
      </w:tr>
    </w:tbl>
    <w:p>
      <w:pPr>
        <w:spacing w:after="160" w:before="0"/>
      </w:pPr>
    </w:p>
    <w:p>
      <w:pPr>
        <w:spacing w:after="100"/>
      </w:pPr>
      <w:r>
        <w:t xml:space="preserve">Viscofan es un buen asignador de capital en lo que controla: el ROIC incremental de 2020-2025 es del 17,6 % y no ha registrado deterioros de fondo de comercio (motor) [1]. Ha devuelto al accionista 681 M en seis años (473 M en dividendos y 208 M en recompras) frente a 557 M de flujo libre, sin dilución: las acciones diluidas bajaron de 46,50 M a 45,48 M (motor). Las compras de nuevos negocios han sido pequeñas y de resultado aún incierto (Pet Mania perdió dinero en su primer año) [1]. La duda es el futuro: Beat'30 dobla el capex de crecimiento a 300 M y lo dirige en parte a negocios donde Viscofan no tiene ventaja probada (bolsas, golosinas para mascotas, salud)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Viscofan desde 1996 (director general de Brasil y del grupo desde 2006). Como director general cerró los planes MORE TO BE y Beyond25: los ingresos pasaron de 969 M (2021) a 1.252 M (2025) y la remuneración por acción de 1,84 € a 3,25 € [4][18].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Carmen Peña Ruiz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MarketScreener fecha su nombramiento en 2018-2019 [52]. Bajo su gestión la deuda bancaria neta se mantuvo por debajo de 1x EBITDA con recompras extraordinarias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2009 a 2023; antes vicepresidente de BBVA e Iberdrola. Cobró 1,3 M de indemnización al pasar a no ejecutivo en 2024 [1][21].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Jesús Calavia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operaciones; en 2025 Danville tuvo los mejores datos de productividad de su historia reciente y casi todas las plantas mejoraron ratios [2]. Fecha de nombramiento no publicada.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 Larrea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Norteamérica, donde la región creció un 8,7 % comparable en 2025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Óscar Ponz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Pet treats y adjunto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dirigió Nuevos Negocios, que crecieron de 117 M (2021) a 160 M (2025) [1][17].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+3/+4 %, EBITDA +3/+5 %, resultado neto +4/+6 %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+6,3 %, EBITDA +5,2 %, resultado neto +8,6 %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EBITDA +4/+6 %, resultado neto +5/+8 %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+23,9 %, EBITDA +8,3 %, resultado neto +4,8 %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+9/+12 %, EBITDA +6/+9 %, resultado neto +10/+15 %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 EBITDA +0,5 %, resultado neto +1,1 %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+3/+5 %, EBITDA +8/+12 %, resultado neto +10/+15 %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−1,8 %, EBITDA +6,3 %, resultado neto +11,4 %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+5/+8 %, EBITDA +8/+12 %, resultado neto +6/+10 % [12]; rebajada por divisa en oct-25 a EBITDA 290-302 M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+4,0 %, EBITDA +1,6 % (290,0 M), resultado neto +1,8 %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2022-2025 (Beyond25)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1.300 M y margen EBITDA del 26 % en 2025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1.252 M y margen del 23,2 %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conoce el negocio: el consejero delegado lleva 30 años en la casa y el relevo de la presidencia ejecutiva en 2024 fue ordenado [1]. La credibilidad de la guía es mediocre: de cinco años, solo cumplió plenamente 2021; en 2023 y 2025 falló el EBITDA por costes y divisa, y el plan Beyond25 se quedó 2,8 pp por debajo del margen prometido [16][2][17]. El patrón es claro: aciertan en volumen y fallan en margen, porque no controlan pieles, gas ni divisas. En 2026 ya anticipan el rango bajo del EBITDA [5]. El IAGC no describe un plan formal de sucesión del consejero delegado; la reorganización de enero de 2026 (Larrea, Ponz, González) crea candidatos internos [1][18].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Agatha Echevarría Canales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Nombramientos, Retribuciones y Sostenibilidad;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Henríquez de Luna Basagoiti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González Molero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Verónica Pascual Boé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Ignacio Vidarte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Javier Fernández Alonso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José Domingo de Ampuero y Osma, Agatha Echevarría Canales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73,5 %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Corporación Financiera Alba (grupo March)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(1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desde 2023; ≈ 14,4 % sobre el capital tras la amortización de 2026 [18][52]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 (Angustias y Sol)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en 2025 (5,033 % en 2024) [1][18]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9,997 % (2024) a menos del 3 % en 2025 [1][12]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Setanta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3,955 % (2024) a menos del 3 % en 2025, tras el informe sobre Danville [1][45]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396.357 acciones a jun-26 (1,09 % a dic-25)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estimado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IAGC 2025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1,235 M en 2025: 0,80 M de sueldo, 0,08 M como consejero, 0,29 M de variable anual y 0,06 M en especie [1]. El variable anual pondera un 50 % objetivos corporativos (ventas, EBITDA y beneficio, 20 % cada uno; precio de la acción y existencias/ventas, 10 % cada uno; seguridad y formación, 20 %) y un 30 % objetivos propios [19]. El plan a largo plazo 2025-2027 pondera un 75 % la rentabilidad total del accionista (umbral 4,5 % anual, objetivo 7 % desde 60,61 €) y un 25 % CO2 y accidentes; para el consejero delegado, hasta 27.718 acciones y 0,72 M en efectivo al objetivo [1][19]. Hay cláusula de recuperación a 24 meses y una indemnización de dos años de fijo [19][1]. El ratio frente al coste medio por empleado (51.100 €) es de unas 24 veces (estimación propia con [1][3]). En la junta de 2025 el informe de remuneraciones solo obtuvo el 73,5 % a favor; en 2026, el 99,6 % [19][20].</w:t>
      </w:r>
    </w:p>
    <w:p>
      <w:pPr>
        <w:pStyle w:val="Heading2"/>
      </w:pPr>
      <w:r>
        <w:t xml:space="preserve">Operaciones vinculadas, estructura de control y defensas</w:t>
      </w:r>
    </w:p>
    <w:p>
      <w:pPr>
        <w:spacing w:after="100"/>
      </w:pPr>
      <w:r>
        <w:t xml:space="preserve">No hay accionista de control ni pactos parasociales comunicados; la mayor participación es la de Corporación Financiera Alba (14,25 %), con un consejero dominical [18]. Una acción, un voto: sin voto doble por lealtad, sin clases de acciones, sin límites de voto ni medidas de neutralización frente a opas [18]. La única operación con partes vinculadas es una póliza de crédito de 10 M con Banca March, del grupo de Alba, en condiciones de mercado y con abstención de los consejeros vinculados [1]. El consejo tiene un 50 % de independientes y un coordinador independiente, pero lo presiden y vicepresiden dos «otros externos»: el expresidente ejecutivo (en el consejo desde 2009) y una consejera desde 1998 [18][20]. Con un 79 % de flotante y un tamaño de 2.400 M, Viscofan es opable.</w:t>
      </w:r>
    </w:p>
    <w:p>
      <w:pPr>
        <w:pStyle w:val="Heading2"/>
      </w:pPr>
      <w:r>
        <w:t xml:space="preserve">Señales de alerta</w:t>
      </w:r>
    </w:p>
    <w:p>
      <w:pPr>
        <w:pStyle w:val="ListParagraph"/>
        <w:numPr>
          <w:ilvl w:val="0"/>
          <w:numId w:val="2"/>
        </w:numPr>
        <w:spacing w:after="60"/>
      </w:pPr>
      <w:r>
        <w:t xml:space="preserve">Informe bajista de Hunterbrook (14-oct-2025) sobre emisiones, vertidos y salud laboral en Danville (EE. UU.); la empresa lo niega, encargó una revisión a Baker &amp; McKenzie y reconoce avisos de la EPA y de la agencia de Illinois desde 2020 [1][45].</w:t>
      </w:r>
    </w:p>
    <w:p>
      <w:pPr>
        <w:pStyle w:val="ListParagraph"/>
        <w:numPr>
          <w:ilvl w:val="0"/>
          <w:numId w:val="2"/>
        </w:numPr>
        <w:spacing w:after="60"/>
      </w:pPr>
      <w:r>
        <w:t xml:space="preserve">Voto consultivo de remuneraciones del 73,5 % en la junta de 2025, el más bajo de los últimos años; recuperado al 99,6 % en 2026 [19][20].</w:t>
      </w:r>
    </w:p>
    <w:p>
      <w:pPr>
        <w:pStyle w:val="ListParagraph"/>
        <w:numPr>
          <w:ilvl w:val="0"/>
          <w:numId w:val="2"/>
        </w:numPr>
        <w:spacing w:after="60"/>
      </w:pPr>
      <w:r>
        <w:t xml:space="preserve">Salida de APG (≈ 10 % del capital) y Setanta (≈ 4 %) en 2025, y posición corta de AKO Capital del 1,14 % comunicada en junio de 2026 [1][46].</w:t>
      </w:r>
    </w:p>
    <w:p>
      <w:pPr>
        <w:pStyle w:val="ListParagraph"/>
        <w:numPr>
          <w:ilvl w:val="0"/>
          <w:numId w:val="2"/>
        </w:numPr>
        <w:spacing w:after="60"/>
      </w:pPr>
      <w:r>
        <w:t xml:space="preserve">Presidente y vicepresidenta «otros externos» con 17 y 28 años en el consejo; la reelección de la vicepresidenta obtuvo un 13,0 % de votos en contra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primer año de Beat'30, la empresa espera ingresos de 1.310-1.340 M (+5/+7 %), EBITDA de 305-314 M (+5/+8 %), resultado neto de 165-170 M (+3/+6 %), capex de 100 M y una remuneración total superior a la de 2025, con 1,18 USD/EUR [2][4]. El 29-jul-2026 la mantuvo, pero dijo que el EBITDA quedará «más probablemente» en el rango bajo por el coste del gas y las materias primas [5]. Para 2030: 1.800 M de ingresos (TCAC del 8 %), margen EBITDA del 25-26 % (≈ 450 M), 120 M de capex medio anual y un flujo operativo (EBITDA − capex) medio de 250 M, con 1,15 USD/EUR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 analistas, 6-oct-2026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58,70 – 75,00</w:t>
            </w:r>
          </w:p>
        </w:tc>
      </w:tr>
    </w:tbl>
    <w:p>
      <w:pPr>
        <w:spacing w:after="160" w:before="0"/>
      </w:pPr>
    </w:p>
    <w:p>
      <w:pPr>
        <w:pStyle w:val="Heading2"/>
      </w:pPr>
      <w:r>
        <w:t xml:space="preserve">Revisiones de estimaciones</w:t>
      </w:r>
    </w:p>
    <w:p>
      <w:pPr>
        <w:spacing w:after="100"/>
      </w:pPr>
      <w:r>
        <w:t xml:space="preserve">En 12 meses el consenso de BPA de 2026 ha bajado un 10 %: de 3,82 € en octubre de 2025 a 3,44 € hoy, mientras el de ingresos subió de 1.300 M a 1.324 M [44][28]. El recorte viene de la divisa y del coste del gas tras el conflicto de Oriente Medio, no del volumen. El EBITDA de consenso para 2026 (300,5 M) queda por debajo del rango de la empresa (305-314 M), lo que indica que el mercado no cree el rango ni en su parte baja [28][2]. El beneficio de consenso (158,8 M) está un 4 % por debajo del mínimo de la guía (165 M) [28]. El precio objetivo medio apenas se ha movido (69,69 € en oct-25, 69,82 € según Reuters en marzo y 69,29 € hoy) [44][42][30]. No encontramos el dato de revisión a 3 meses.</w:t>
      </w:r>
    </w:p>
    <w:p>
      <w:pPr>
        <w:pStyle w:val="Heading1"/>
      </w:pPr>
      <w:r>
        <w:t xml:space="preserve">16. Comportamiento en bolsa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La acción lleva tres años sin dirección: 53,60 € a cierre de 2023, 61,00 € en 2024, 53,40 € en 2025 y 52,90 € hoy [12][1][28]. En 2025 cayó un 12,5 % mientras el IBEX Medium Cap subía un 16,1 % y el IBEX 35 un 49,3 % [1]. Tres hechos lo explican: el informe de Hunterbrook sobre Danville (−13 % en la sesión del 14-oct-2025 y 270 M de capitalización perdidos en dos semanas) [45]; la salida de dos institucionales, APG (≈ 10 %) y Setanta (≈ 4 %), que pesaron sobre la cotización [1]; y la erosión del EBITDA por la divisa [2]. Viscofan pesa un 8,62 % en el IBEX Medium Cap, su índice de referencia [37]. La beta a cinco años es de solo 0,15 [32]: la acción se mueve por factores propios, no por el mercado. Hay una posición corta comunicada del 1,14 % (AKO Capital) [46]. Con dividendos (≈ 6 % de rentabilidad), la rentabilidad total de los últimos 12 meses es de −1,9 % (estimación propia).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próximos 12 meses: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Viscofan cotiza a 8,5x EV/EBITDA y 14,2x PER de los próximos 12 meses, un 14 % y un 19 % por debajo de su media de 2021-2025 (9,9x y 17,4x, motor), y en el mínimo de la serie. La OCU sitúa el PER medio histórico en 18,8x [43]. El descuento tiene causas reales: la rentabilidad del bono español a 10 años ha subido a 4,08 % [35] (más tipo de descuento para un valor de dividendo), el crecimiento del EBITDA de 2020-2025 se quedó en el 4,3 % anual (motor) y ahora se añaden el riesgo reputacional de EE. UU. y la venta de institucionales [45][1]. No vemos un cambio estructural en el negocio que justifique un descuento permanente: el ROIC sigue en el 16,4 %.</w:t>
      </w:r>
    </w:p>
    <w:p>
      <w:pPr>
        <w:pStyle w:val="Heading1"/>
      </w:pPr>
      <w:r>
        <w:t xml:space="preserve">18. Comparables cotizados</w:t>
      </w:r>
    </w:p>
    <w:p>
      <w:pPr>
        <w:pStyle w:val="Confianza"/>
        <w:spacing w:after="100"/>
      </w:pPr>
      <w:r>
        <w:t xml:space="preserve">Confianza: Media</w:t>
      </w:r>
    </w:p>
    <w:p>
      <w:pPr>
        <w:spacing w:after="100"/>
      </w:pPr>
      <w:r>
        <w:t xml:space="preserve">No hay comparables puros cotizados: Devro salió de bolsa en 2023, Viskase cotiza en el mercado no organizado con un 93 % de Icahn y Shenguan es pequeña y tiene pérdidas [22][24]. Usamos ocho empresas de ingredientes alimentarios (Kerry, Symrise, Tate &amp; Lyle, Ingredion, Corbion, AAK) y de envases para alimentación (Huhtamäki, Amcor), con clientes, ciclo de costes y exposición a divisa parecidos [33]. Descartamos Darling (biocombustibles distorsionan su EBITDA) y Sealed Air (comprada por CD&amp;R en 2026)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Viscofan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Tate &amp; Lyle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Ingredion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Corbion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Huhtamaki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8,3x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8,9x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13,3x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1,4x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6,8 + 0,48 × crecimiento; R² = 0,24. El crecimiento explica poco los múltiplos de estos comparables (R² &lt; 0,3): la regresión no se usa en la valoración.</w:t>
      </w:r>
    </w:p>
    <w:p>
      <w:pPr>
        <w:spacing w:after="100"/>
      </w:pPr>
      <w:r>
        <w:t xml:space="preserve">Viscofan cotiza a 8,5x EV/EBITDA NTM, en línea con la mediana del grupo (8,3x), y a 14,2x PER NTM frente a 13,3x (motor). Aplicar la mediana da 51,23 € (EV/EBITDA) y 49,41 € (PER), un 3-7 % por debajo del precio. Pero el grupo tiene peores fundamentales: margen EBITDA mediano del 16,7 % frente al 22,1 % de Viscofan, ROIC del 7,5 % frente al 16,4 % y deuda de 2,0x EBITDA frente a 1,1x (motor). Por calidad, Viscofan merecería una prima de 1-2 veces EBITDA, que es lo que pagan Kerry y Symrise (11,9-12,4x) con menos ROIC [33]. La regresión crecimiento-múltiplo del motor (11,4x, 73,09 €) no es fiable: el R² es 0,24 y el crecimiento de Viscofan que usa (9,6 %) compara 15 meses de previsión con el LTM, mientras el de los comparables compara con 2025. Usaríamos 9-10x EV/EBITDA NTM.</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Sealed Air (EE. UU., envases para carne y protección)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41 % sobre el precio sin afectar; múltiplo sobre EBITDA LTM de Stock Analysis (estimación propia) [48][33].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 Kelco (EE. UU., texturizantes e hidrocoloides)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Tate &amp; Lyle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incluyendo 50 M USD de sinergias; 13,7x sobre el EBITDA ajustado de 2023 (131 M USD), cálculo con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Devro (Reino Unido, envolturas de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colágeno; 11,3x EBITDA a jun-22; prima del 71,9 % sobre 192 peniques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Gelnex (Brasil, gelatina y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Darling Ingredients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Gelatina y colágeno con 46.000 t de capacidad; múltiplo no publicado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(Brasil, colágeno bovino;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 M por el 60 %; valor implícito del 100 % ≈ 24 M (estimación propia)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Mania (Brasil, golosinas para mascotas;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M por el 51 % incluida una ampliación de capital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(10,7x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57,92 – 69,25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10-14 veces EBITDA (mediana de 11,3x, motor), con primas del 41-72 % cuando el objetivo cotizaba [47][48]. La más comparable es la de Devro (11,3x), el número dos en colágeno, comprada por un industrial alemán [47]. Aplicada al EBITDA LTM de Viscofan da 61,90 € por acción (+17 %), un valor de control. Viscofan es objetivo posible: sin accionista de control (Alba tiene el 14 %), 79 % de flotante y una cotización en mínimos de múltiplo [18]; el capital privado (CD&amp;R con Sealed Air) ha mostrado apetito por envases alimentarios [48]. Pero no hay señales de proceso, y Alba suele ser inversor estable. Por eso ponderamos las transacciones solo un 10 %.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Proyectamos un 5,0 % en 2026 (guía 5-7 %, consenso 5,8 %; la divisa resta y en el 1S26 el reportado fue +1,8 %) [2][28][5], un 6 % en 2027-2028 (consenso 5,9 %) [28], y una convergencia al 3 % en 2032. El crecimiento medio (4,9 %) queda por debajo del TCAC de 2020-2025 (6,5 %, motor) y del 7,5 % que implica el objetivo de 1.800 M en 2030 [4]: no damos crédito a todo Beat'30. El mercado de envolturas crece un 3,4-4 % en valor y volumen [26][41]; el resto debe venir de cuota y nuevos negocios.</w:t>
      </w:r>
    </w:p>
    <w:p>
      <w:pPr>
        <w:keepNext/>
        <w:spacing w:after="100"/>
      </w:pPr>
      <w:r>
        <w:rPr>
          <w:b/>
          <w:bCs/>
        </w:rPr>
        <w:t xml:space="preserve">Márgenes.</w:t>
      </w:r>
    </w:p>
    <w:p>
      <w:pPr>
        <w:spacing w:after="100"/>
      </w:pPr>
      <w:r>
        <w:t xml:space="preserve">Margen EBITDA del 22,8 % en 2026 (consenso 22,7 %, rango bajo de la guía) [28][5], subiendo a 23,4 % en 2027 y al 24 % desde 2029. Es la media de 2020-2025 (23,4 %, entre el 21,9 % y el 25,7 %, motor) y está 1-2 pp por debajo del 25-26 % de Beat'30 [4]. Los ahorros identificados (15-22 M en Chequia, Nueva Jersey y Danville) apoyan la mejora [4].</w:t>
      </w:r>
    </w:p>
    <w:p>
      <w:pPr>
        <w:keepNext/>
        <w:spacing w:after="100"/>
      </w:pPr>
      <w:r>
        <w:rPr>
          <w:b/>
          <w:bCs/>
        </w:rPr>
        <w:t xml:space="preserve">Inversión y circulante.</w:t>
      </w:r>
    </w:p>
    <w:p>
      <w:pPr>
        <w:spacing w:after="100"/>
      </w:pPr>
      <w:r>
        <w:t xml:space="preserve">Capex del 7,8 % de las ventas en 2026 (100 M de guía) y del 8,5 % en 2027-2028, en línea con los 120 M anuales medios de Beat'30 [4]; baja al 7,0 % en 2032, igual que la amortización, en estado estacionario. El histórico fue del 6,1-9,9 % (motor). El circulante parte del 47 % (48,1 % real en 2025, motor) y converge al 45 %, porque la empresa tiene objetivos retributivos de existencias [19]. Tipo impositivo normalizado del 23 % (23,8 % en 2024; el 10,1 % de 2025 no es recurrente) [2].</w:t>
      </w:r>
    </w:p>
    <w:p>
      <w:pPr>
        <w:keepNext/>
        <w:spacing w:after="100"/>
      </w:pPr>
      <w:r>
        <w:rPr>
          <w:b/>
          <w:bCs/>
        </w:rPr>
        <w:t xml:space="preserve">Coste del capital.</w:t>
      </w:r>
    </w:p>
    <w:p>
      <w:pPr>
        <w:spacing w:after="100"/>
      </w:pPr>
      <w:r>
        <w:t xml:space="preserve">Tasa libre del 4,08 % (bono español a 10 años, 6-oct-2026; 83 pb más que hace un año) [35][53]. La beta de regresión (0,15) no sirve [32]: usamos la media de las betas desapalancadas de alimentación (0,47) y envases (0,75) de Damodaran [36], 0,61, reapalancada al 13 % de deuda sobre valor (0,66). Prima de mercado del 5,5 % y prima adicional del 1 % por la producción y venta en emergentes (Brasil, México, China; Sudamérica y Asia-Pacífico suman el 28 % de las ventas por origen) [2]. Coste de la deuda del 4,2 % (gastos financieros sobre deuda bancaria media) [1]. WACC: 7,99 % (motor).</w:t>
      </w:r>
    </w:p>
    <w:p>
      <w:pPr>
        <w:keepNext/>
        <w:spacing w:after="100"/>
      </w:pPr>
      <w:r>
        <w:rPr>
          <w:b/>
          <w:bCs/>
        </w:rPr>
        <w:t xml:space="preserve">Valor terminal.</w:t>
      </w:r>
    </w:p>
    <w:p>
      <w:pPr>
        <w:spacing w:after="100"/>
      </w:pPr>
      <w:r>
        <w:t xml:space="preserve">Crecimiento a perpetuidad del 2,0 %, por debajo del crecimiento nominal de la economía mundial y del 3,4 % del mercado [26]. El múltiplo de salida implícito en Gordon es de 8,4x EBITDA (motor), por debajo de la media histórica de Viscofan (9,9x) y de las transacciones (11,3x): es una hipótesis conservadora. El método del múltiplo a 9,5x daría un valor terminal un 14 % mayor (motor).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(ROIC 16,4 %)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(histórico: 17,6 %)</w:t>
            </w:r>
          </w:p>
        </w:tc>
      </w:tr>
    </w:tbl>
    <w:p>
      <w:pPr>
        <w:spacing w:after="160" w:before="0"/>
      </w:pPr>
    </w:p>
    <w:p>
      <w:pPr>
        <w:spacing w:after="100"/>
      </w:pPr>
      <w:r>
        <w:t xml:space="preserve">La proyección reinvierte el 20 % del NOPAT. Con el ROIC del último ejercicio (16,4 %), eso financia un crecimiento del 3,2 % anual, frente al 4,9 % de ingresos proyectado. Supone que el capital nuevo rinde un 16,4 %, frente a un ROIC incremental histórico del 17,6 %.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en su media histórica del 4 % y creciendo en todas las regiones [41][5]; subidas de precio en el 2S26 para repercutir gas y pieles, con un crecimiento comparable del 4,9 % en el 2T26 [5]; la divisa resta (+1,8 % reportado en el 1S26) [5].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como el mercado y algo de cuota en EE. UU. por la retirada de Viskase [22]; precio por el efecto pleno de las subidas de 2026; otros, nuevos negocios de Beat'30 [4]. Consenso: +5,9 %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el consenso da +5,9 % [28] y Beat'30 pide un 8 % anual, que no damos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hacia el 3,4-4 % del mercado [26][41] y precio en línea con la inflación.</w:t>
            </w:r>
          </w:p>
        </w:tc>
      </w:tr>
    </w:tbl>
    <w:p>
      <w:pPr>
        <w:spacing w:after="160" w:before="0"/>
      </w:pPr>
    </w:p>
    <w:p>
      <w:pPr>
        <w:spacing w:after="100"/>
      </w:pPr>
      <w:r>
        <w:t xml:space="preserve">Sí: el caso base pide poco. El 4,9 % anual queda por debajo del 6,5 % de 2020-2025 y sale de volumen al ritmo del mercado (3,4-4 %) [26][41] más un 1,5-2,5 % de precio, que Viscofan repercute aunque con dos o tres trimestres de retraso (lo hizo tras 2022) [3][16]. La reinversión, al ROIC del 16,4 %, financia un 3,2 % anual, el volumen; el precio no pide capital, y el capital nuevo rinde un 16,4 %, menos que el 17,6 % incremental histórico. Foso estrecho pero real: escala y costes de cambio [4]. La cuota de envolturas pasaría de ≈ 20 % a ≈ 22,5 % (prueba a mano). La duda es el margen,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8,0 %)</w:t>
            </w:r>
          </w:p>
        </w:tc>
      </w:tr>
    </w:tbl>
    <w:p>
      <w:pPr>
        <w:spacing w:after="160" w:before="0"/>
      </w:pPr>
    </w:p>
    <w:p>
      <w:pPr>
        <w:spacing w:after="100"/>
      </w:pPr>
      <w:r>
        <w:t xml:space="preserve">El DCF base da 57,91 € por acción, un 9,5 % sobre el precio, con un WACC del 7,99 % y un 73 % del valor en el valor terminal (motor). El rango con WACC y g ± 0,5 pp va de 49,46 € a 69,72 €. Con la prima implícita del mercado (4,20 %) [54], el WACC baja al 7,24 % y el DCF sube a 67,51 €. Lo importante es el DCF inverso: al precio de 52,90 € el mercado descuenta un margen EBITDA terminal del 22,9 % en lugar del 24 %, o una rentabilidad exigida del 8,5 %, por encima de los dos WACC (motor). En crecimiento, equivale a un 1,7 % anual en 2026-2032 frente al 4,9 % de nuestro caso base. Es una hipótesis conservadora frente a la historia: Viscofan creció un 6,5 % anual en 2020-2025 y ningún ejercicio cerró con un margen inferior al 21,9 % (aunque el 1T26 se quedó en el 20,8 %). Nuestra proyección coincide con el consenso (EBITDA 2026-2028 entre un 0,2 % y un 1,1 % por debajo, motor): la diferencia con el precio es de tasa de descuento.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2022-2023: pieles, gas y divisa comprimen el margen 2 pp durante años (el margen bajó 3,6 pp en 2021-2023) y la capacidad de Viskase o de un comprador suyo vuelve a competir en precio en EE. UU. Beat'30 se retrasa y el crecimiento queda en el 2,9 % anual.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en la media histórica más cuota en EE. UU., subidas de precio que recuperan el margen al 24 % en 2029, y capex de Beat'30 ejecutado a tiempo; crecimiento medio del 4,9 %.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Beat'30 se cumple casi entero: ingresos de unos 1.760 M en 2030, margen del 25 % por los ahorros de Chequia, Nueva Jersey y Danville, y la sustitución de tripa natural acelera.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55,20 EUR (+4,3 %).</w:t>
      </w:r>
    </w:p>
    <w:p>
      <w:pPr>
        <w:spacing w:after="100"/>
      </w:pPr>
      <w:r>
        <w:t xml:space="preserve">La asimetría es neutra: el alcista vale 64,95 € (+22,8 %) y el bajista 40,04 € (−24,3 %), y el valor ponderado (55,20 €) queda solo un 4,3 % sobre el precio (motor). El bajista no es cosmético: es lo que ocurrió en 2022-2023, cuando el margen cayó al 21,9 % y la acción perdió un 11 % en 2023 [16][12]. Con estos números no compensa tomar el riesgo a 52,90 €: haría falta un precio cercano a 48 € para que la ganancia esperada del alcista doblara la pérdida del bajista (estimación propia).</w:t>
      </w:r>
    </w:p>
    <w:p>
      <w:pPr>
        <w:pStyle w:val="Heading1"/>
      </w:pPr>
      <w:r>
        <w:t xml:space="preserve">22. Suma de partes</w:t>
      </w:r>
    </w:p>
    <w:p>
      <w:pPr>
        <w:pStyle w:val="Confianza"/>
        <w:spacing w:after="100"/>
      </w:pPr>
      <w:r>
        <w:t xml:space="preserve">Confianza: Alta</w:t>
      </w:r>
    </w:p>
    <w:p>
      <w:pPr>
        <w:spacing w:after="100"/>
      </w:pPr>
      <w:r>
        <w:t xml:space="preserve">No aplica: la empresa reporta un único segmento y no publica resultados por división [1]. Energía (4,7 % de las ventas) y los nuevos negocios (13 %) no tienen comparables puros ni márgenes publicados; una suma de partes exigiría inventar márgenes.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55,98 EUR (+5,8 % sobre 52,90).</w:t>
      </w:r>
    </w:p>
    <w:p>
      <w:pPr>
        <w:spacing w:after="100"/>
      </w:pPr>
      <w:r>
        <w:t xml:space="preserve">Damos un 40 % al DCF porque Viscofan es un negocio estable, con caja predecible y una guía a cinco años; un 30 % a los escenarios para recoger el riesgo de margen; un 20 % a los comparables, que son imperfectos (ingredientes y envases con peor ROIC); y un 10 % a las transacciones, porque no hay accionista de control ni proceso de venta. La síntesis da un valor objetivo de 55,98 € (+5,8 %, motor). La dispersión entre métodos es moderada: de 49,41 € (PER de comparables) a 61,90 € (transacciones). Los precios objetivo de los analistas (58,70-75,00 €, media 69,29 €) [30] quedan por encima de todos nuestros métodos salvo la parte alta del DCF; la diferencia es sobre todo la tasa libre de riesgo (4,08 %) [35]: con un WACC del 7,0 % el DCF daría 71,44 € (motor). Con la prima implícita del mercado (4,20 %) [54], el WACC es del 7,24 % y el valor objetivo, de 62,50 € (+18,1 %).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enero-septiembre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las subidas de precio del 2S; el consenso espera un EBITDA anual de 300,5 M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2026 (dividendo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fue de 1,483 €; la empresa promete más remuneración total [4][21].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Aplicación del reglamento europeo de deforestación a grandes operadores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fuera del alcance; la pasta de celulosa (madera) dentro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Beat'30: ¿se cumple el rango bajo (305 M de EBITDA)?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capacidad de colágeno (Nueva Jersey) y de celulósica (Zacapu, México)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 de ahorros por la nueva tecnología de Nueva Jersey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1S-2026 /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reestructuración de Viskase en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cuota o competencia en precio en EE. UU. según el resultado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planta de celulósica en České Budějovice (Chequia)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7-10 M de ahorros anuales esperados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periodo de medición del plan de incentivos 2025-2027 (TSR desde 60,61 €)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 la dirección con recuperar el precio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pieles, gas y transporte no repercutida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(margen −2 pp en toda la proyección: 49,06 €)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con 2-3 trimestres de retraso; coberturas de gas a un año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66 % (66,9 % en 2T26)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(dólar débil, peso y real fuertes)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las regiones de venta; sin coberturas estructurales de balance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USD/EUR por encima de 1,18 (supuesto de la guía)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 sanciones, demandas o costes ambientales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Baker &amp; McKenzie; sin reclamaciones judiciales a dic-25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avisos de la EPA o demandas colectivas en Illinois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Beat'30 (600 M de capex en negocios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(crecimiento −1 pp y margen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modular; 50 % recurrente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por debajo del 13 % o retrasos en Chequia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la competencia en precio (Viskase recapitalizado o vendido)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y escala; 31 % de cuota en contacto alimentario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precio medio en Norteamérica o compra de Viskase [22].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en EE. UU. sobre México y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en EE. UU. (Danville, Nueva Jersey)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a México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vendedora y bajista sobre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valor, sí en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para amortizar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por encima del 2 % (1,14 % en jun-26) [46].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 ingresos de energía por cambios regulatorios en la cogeneración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Caldera de biomasa y autoconsumo en Cáseda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energía por debajo de 50 M anuales [5].</w:t>
            </w:r>
          </w:p>
        </w:tc>
      </w:tr>
    </w:tbl>
    <w:p>
      <w:pPr>
        <w:spacing w:after="160" w:before="0"/>
      </w:pPr>
    </w:p>
    <w:p>
      <w:pPr>
        <w:pStyle w:val="Heading2"/>
      </w:pPr>
      <w:r>
        <w:t xml:space="preserve">Pre-mortem</w:t>
      </w:r>
    </w:p>
    <w:p>
      <w:pPr>
        <w:spacing w:after="100"/>
      </w:pPr>
      <w:r>
        <w:t xml:space="preserve">Octubre de 2029: la acción cotiza a 32 € y ha perdido un 40 %. Qué pasó: el conflicto de Oriente Medio se alargó y el gas europeo se mantuvo caro durante 2027-2028; las pieles bovinas siguieron subiendo por la reducción de cabaña en EE. UU. y Brasil. Viscofan subió precios, pero tarde y menos de lo necesario, y el margen EBITDA se quedó en el 21 % en lugar de volver al 24 %. A la vez, Icahn vendió Viskase a un fondo que, con la planta norteamericana ya consolidada, salió a recuperar volumen con precio en EE. UU., el mercado más rentable de Viscofan. La EPA sancionó la planta de Danville y obligó a invertir en tratamiento de gases. Beat'30 consumió 600 M de capex con retornos por debajo del 10 % y la deuda subió a 2x EBITDA, por lo que el dividendo extraordinario desapareció y la acción perdió su principal atractivo; el PER bajó a 11x. El indicador que lo habría anticipado: el margen bruto trimestral por debajo del 66 % durante dos trimestres seguidos, y la ausencia de recuperación del margen en el 2S26 pese a las subidas anunciadas.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BME (índice IBEX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del índice desde oct-2023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2023-10</w:t>
            </w:r>
          </w:p>
        </w:tc>
      </w:tr>
    </w:tbl>
    <w:p>
      <w:pPr>
        <w:spacing w:after="160" w:before="0"/>
      </w:pPr>
    </w:p>
    <w:p>
      <w:pPr>
        <w:pStyle w:val="Heading2"/>
      </w:pPr>
      <w:r>
        <w:t xml:space="preserve">Asuntos materiales</w:t>
      </w:r>
    </w:p>
    <w:p>
      <w:pPr>
        <w:spacing w:after="100"/>
      </w:pPr>
      <w:r>
        <w:t xml:space="preserve">Tres asuntos afectan a las cifras. Clima y energía: el proceso es intensivo en gas; los derechos de CO2 costaron 15,9 M en 2025 (242.857 t), un 5 % del EBITDA, y el plan Net Zero busca reducir entre un 45 % y un 50 % las emisiones de alcance 1 y 2 en 2030 frente a 2018, con biomasa en Cáseda y un PPA solar [1][4]. Contaminación: la química de la celulosa (sulfuro de carbono) exige tratamiento de gases y aguas; en 2025 se invirtieron 22,4 M en medio ambiente y seguridad [2], y es el origen de la controversia de Danville. Seguridad laboral: el índice de gravedad bajó de 0,25 en 2021 a 0,09 en 2025 y forma parte del variable [4][19]. La cogeneración no está alineada con la taxonomía europea [1].</w:t>
      </w:r>
    </w:p>
    <w:p>
      <w:pPr>
        <w:pStyle w:val="Heading2"/>
      </w:pPr>
      <w:r>
        <w:t xml:space="preserve">Controversias</w:t>
      </w:r>
    </w:p>
    <w:p>
      <w:pPr>
        <w:spacing w:after="100"/>
      </w:pPr>
      <w:r>
        <w:t xml:space="preserve">El 14-oct-2025 Hunterbrook Media, vinculada a un fondo que opera en corto, acusó a la planta de Danville (Illinois) de emisiones y vertidos fuera de permiso y de daños a la salud de trabajadores; la acción cayó un 13 % en la sesión [45]. Viscofan lo niega, no ha recibido reclamaciones judiciales por salud o medio ambiente y reconoce avisos de la EPA y de la agencia de Illinois desde 2020, resueltos o pendientes «sin impactos materiales» [1]. No hay sanciones ambientales relevantes en 2024-2025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media de precios se ha aplicado en el 2S26 y qué parte del aumento de costes del 2T26 cubre?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unos 4,4 € por acción en el DCF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concluyó la revisión de Baker &amp; McKenzie y qué inversiones o sanciones prevé en la planta?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reputacional y de capex en el mercado más rentable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ha ganado en celulósica tras la reestructuración de Viskase y qué pasaría si cambia de dueño?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crecimiento de Norteamérica (+8,7 % comparable en 2025) depende de ello [2][22].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exige a los 300 M de capex de crecimiento y qué parte va a negocios fuera de envolturas?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actual (16,4 %) es la principal razón para pagar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existencias sobre ventas para 2027 y por qué subieron a 436,9 M en junio?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es lo que separa EBITDA de caja: conversión del 65 % en 2020-2025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normalizado espera tras activar los créditos fiscales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el 10 % y el 23 % vale un 13 % del beneficio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al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euro extraordinario en 2026 con la deuda en 283 M y 100 M de capex?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 6 %) es el soporte de la cotización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sensibilidad tiene el EBITDA a 10 céntimos de USD/EUR y por qué no cubre el balance?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10,1 pp al EBITDA del 1S26 [7].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Fuentes: 54 (25 primarias); citas distintas en el texto: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16,4 % frente a un ROIC de 16,4 % y un incremental histórico de 17,6 %: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48,1 %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(EBIT o EBITDA) por división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18 de la memoria 2025 y nota 6 del informe semestral 1S26: la empresa se declara monosegmento (NIIF 8) y solo da beneficio antes de impuestos por localización de activos; 2) presentaciones de resultados 2025 y 1S26: solo ingresos por división; 3) prensa y análisis públicos (Renta 4, Merca2, OCU): no publican margen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geografía de destino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Memoria 2025, nota 18: ingresos por localización de los activos; 2) notas de resultados: ingresos por origen de la venta; 3) EINF 2025: sin desglose por destino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trimestral y consenso previo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no publican BPA del trimestre ni consenso; 2) anexos xlsx: solo resultado neto; 3) prensa (Merca2, Simply Wall St, Estrategias de Inversión): consenso solo para 3T25, 4T25, 1T26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Viscofan (presentaciones y agenda): sin transcripción ni grabación descargable; 2) Quartr: solo resumen sin preguntas; 3) prensa económica (Merca2, Renta 4): sin detalle de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CNMV: consulta por formulario dinámico no accesible en navegación simple; 2) web de Viscofan (otra información relevante): se carga por JavaScript; 3) prensa: solo operaciones de 2024 (compras del consejero delegado y ventas de S. Domecq), fuera de la ventana de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del índice y de un índice sectorial por periodo; volatilidad a 1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Factsheet de BME del IBEX Medium Cap: rentabilidades con dividendo solo para ventanas cerradas a dic-2025; 2) informe anual 2025: variaciones de precio sin dividendos; 3) Stock Analysis e Investing: sin volatilidad histórica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 o S&amp;P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EINF 2025: solo menciona la pertenencia al IBEX ESG; 2) web de Sustainalytics: la nota no se muestra sin registro; 3) búsqueda en prensa: un resultado de buscador sin fuente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resultados de enero-septiembre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Agenda de inversores de la web: aún no publicada; 2) calendario de la CNMV: sin comunicación;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las adquisiciones de 2016-2019 (Vector, Supralon, Transform Pack, Globus, Nitta Casings)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2021: cita las compras sin importes; 2) memoria 2025: fondo de comercio total de solo 13,6 M, sin desglose histórico; 3) búsqueda de prensa: sin importes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Gelnex, Brasfibra y Pet Mania; EV/ventas de CP Kelco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los compradores (Darling, Viscofan, Tate &amp; Lyle): no publican EBITDA del objetivo salvo CP Kelco; 2) prensa especializada (Food Business MEA): sin múltiplo; 3) memoria de Viscofan: solo precio y activos netos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Kalle y ViskoTeepak; cifras de Devro posteriores a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 corporativas: Kalle solo da ingresos aproximados; ViskoTeepak nada; 2) Devro dejó de cotizar en 2023 (SARIA) y no publica cuentas consolidadas accesibles; 3) prensa: solo la financiación de Kalle con Hayfin (290 M EUR, mayo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del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Viscofan: solo el tamaño de 2025 por familia; 2) GM Insights: 2022 y 2032e; 3) Meticulous Research: solo colágeno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sobre el ejercicio en curso; 2) informes anuales: cotización y capitalización, sin múltiplos; 3) OCU: solo PER medio histórico (18,8x)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(cuentas anuales, memoria e informe de gestión con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https://public.viscofan.com/investor-relations/financialinformation/es/Informe%20consolidado%20Grupo%20Viscofan%202025_Definitivo%20con%20informes.pdf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enero-diciembre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https://public.viscofan.com/investor-relations/financialinformation/es/Nota%20de%20resultados.%20Enero-Diciembre%202025_ES.pdf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2025 (cuenta, balance y flujos,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https://public.viscofan.com/investor-relations/financialinformation/es/Anexos%20financieros%202025_ES.xlsx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plan estratégico Beat'30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https://public.viscofan.com/investor-relations/financialinformation/es/Presentaci%C3%B3n%20Resultados%202025%20y%20BEAT30_ES.pdf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enero-junio 2026 (informe de gestión intermedio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https://public.viscofan.com/investor-relations/financialinformation/es/Informe%20financiero%20Enero-Junio%202026_ES.pdf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enero-junio 2026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https://public.viscofan.com/investor-relations/financialinformation/es/Anexos%20financieros%20Enero-Junio%202026_ES.xlsx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enero-junio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https://public.viscofan.com/investor-relations/financialinformation/es/Presentaci%C3%B3n%202T26_ES.pdf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2026 (periodo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https://public.viscofan.com/investor-relations/financialinformation/es/Nota%20de%20resultados%201T26_ES.pdf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2025 (periodo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https://public.viscofan.com/investor-relations/financialinformation/es/Nota%20de%20resultados.%20Enero-Septiembre%202025_ES.pdf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2025 (periodo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https://public.viscofan.com/investor-relations/financialinformation/es/Nota%20de%20Resultados%20Enero-Marzo%202025_DEF.pdf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2024 (periodo cerrado el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https://public.viscofan.com/investor-relations/financialinformation/es/Nota%20de%20resultados%203T24_ES_DEF.pdf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completa 2024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https://public.viscofan.com/investor-relations/financialinformation/es/MEMORIA%20ANUAL%20COMPLETA_Grupo%20Viscofan.pdf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https://public.viscofan.com/investor-relations/financialinformation/es/Informe%20anual%20integrado%20Grupo%20Viscofan%202023_con%20opiniones.pdf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consolidado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https://public.viscofan.com/investor-relations/financialinformation/es/Informe%20consolidado%20Grupo%20Viscofan-2022_con%20opiniones.pdf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https://public.viscofan.com/investor-relations/financialinformation/es/Informe%20Anual%20Viscofan%202021.pdf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2023 y 2021 y estados financieros 2020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https://public.viscofan.com/investor-relations/financialinformation/es/Anexos%20financieros%20Resultados%202023_ES.xlsx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y presentación del plan Beyond25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https://public.viscofan.com/investor-relations/financialinformation/es/Nota%20de%20resultados%202022_ES.pdf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https://public.viscofan.com/corporate-governance/Informes/IGC_A-31065501_2025%20v6.pdf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https://public.viscofan.com/corporate-governance/Informes/IRC_A-31065501_2025%20DEFINITIVA.pdf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de Accionistas 2026 (OIR)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https://public.viscofan.com/investor-relations/financialinformation/es/OIR%20Acuerdos%20adoptados%20JGA%202026%2024.04.26.pdf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 corporativa: consejo de administración, historia, capital social, dividendos y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https://www.viscofan.com/es/gobierno-corporativo/consejo-de-administracion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Icahn Enterprises L.P. Form 10-K 2025 (segmento Food Packaging: Viskase)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https://www.sec.gov/Archives/edgar/data/813762/000110465926019821/tmb-20251231x10k.htm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plc 2021 year end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https://www.devro.com/media/1526/2021-year-end-results-announcement-final-01032022.pdf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Shenguan Holdings: resultados 2025 (pérdida de 69,8 M CNY; ingresos 1.023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https://www.itiger.com/news/1156134072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Kalle Gruppe: entrevista corporativa (ingresos anuales de unos 300 M EUR) y financiación Hayfin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Wirtschaftsforum / Kalle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https://www.kallegroup.com/fileadmin/kalle/kalle-group/news%20and%20press/documents/Kalle_Gruppe_InterviewWirtschaftsforum.pdf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Sausage Casings Market Size report (2022: 6.200 M USD; TCAC 3,4 % 2023-2032)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https://www.gminsights.com/industry-analysis/sausage-casings-market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Collagen Casings Market to be worth 2,31 bn USD by 2031 (TCAC 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https://prnewswire.co.uk/news-releases/collagen-casings-market-to-be-worth-2-31-billion-by-2031---exclusive-report-by-meticulous-research-302187063.html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datos financieros y estimaciones de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tabla de valoración histórica (PER, EV/EBITDA, capitalización y valor empresa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recomendaciones y precios objetivo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https://mx.investing.com/equities/viscofan-sa-consensus-estimates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Viscofan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https://www.bolsamania.com/accion/viscofan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(BME:VIS) statistics: acciones, beta, volumen, variación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https://stockanalysis.com/quote/bme/VIS/statistics/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(Stock Analysis) y estimaciones 2026-2028 (MarketScreener) de Kerry, Symrise, AAK, Tate &amp; Lyle, Ingredion, Corbion, Huhtamäki y Amcor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https://stockanalysis.com/quote/ise/KRZ/statistics/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español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IBEX Medium Cap (componentes y rentabilidades)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https://www.bolsasymercados.es/dam/descargas/indices/factsheet-ibex-35-medium-cap-es.pdf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1T26: sólido crecimiento orgánico con esperado impacto de divisas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https://www.r4.com/articulos-y-analisis/valores/viscofan-1t26-solido-crecimiento-organico-con-esperado-impacto-de-divisas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busca tocar suelo en sus márgenes mientras mantiene el crecimiento de las ventas (previa 2T26 con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https://www.merca2.es/2026/07/28/viscofan-margenes-ventas-2425156/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resultados trimestrales están bien en ventas, pero mal en EBIT (4T25 frente a Berenberg y Visible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https://www.merca2.es/2026/03/09/viscofan-resultados-ventas-ebit-2358173/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volúmenes trimestrales crecerán en torno a su media histórica del 4 % (previa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https://www.merca2.es/2026/04/21/viscofan-volumenes-media-2370748/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valor del Mercado Continuo con potencial de más del 20 % (Renta 4 y consenso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https://www.estrategiasdeinversion.com/actualidad/noticias/bolsa-espana/un-valor-del-mercado-continuo-con-potencial-de-n-897991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coyuntura de aumento de costes (análisis tras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 Inversiones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https://www.ocu.org/inversiones/invertir/acciones/articulos/viscofan-resultados-riesgo-costes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third quarter results: consenso 2026 antes y después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https://simplywall.st/stocks/es/food-beverage-tobacco/bme-vis/viscofan-shares/news/viscofan-sa-bmevis-third-quarter-results-just-came-out-heres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negro en Viscofan: 270 millones evaporados por el golpe reputacional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https://www.vozpopuli.com/economia/empresas/octubre-negro-en-viscofan-270-millones-evaporados-por-el-golpe-reputacional-en-eeuu.html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AKO Capital y Citadel refuerzan sus posiciones bajistas en Técnicas Reunidas, Viscofan y Cellnex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https://www.democrata.es/economia/ako-capital-y-citadel-refuerzan-sus-posiciones-bajistas-en-tecnicas-reunidas-viscofan-y-cellnex/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agrees £692m increased takeover bid from Saria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Scottish Financial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https://scottishfinancialreview.com/2023/02/16/devro-agrees-692m-increased-takeover-bid-from-saria/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to be acquired by CD&amp;R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https://www.sec.gov/Archives/edgar/data/1012100/000119312525283978/d944036dex991.htm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Combination of Tate &amp; Lyle and CP Kelco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Tate &amp; Lyle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https://tateandlyle.com/sites/default/files/2024-06/rns-combination-tate-lyle-and-cp-kelco-20-june-2024.pdf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Darling Ingredients acquires collagen and peptide producer Gelnex for US$1.2bn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Business MEA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https://www.foodbusinessmea.com/darling-ingredients-acquires-global-collagen-and-peptide-producer-gelnex-for-us1-2bn/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EUDR product scope changes are official: what the July 2026 delegated regulation means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Coolset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https://www.coolset.com/academy/eudr-product-scope-changes-are-official-what-the-july-2026-delegated-regulation-means-for-compliance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directivos, consejo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86,6 %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(Bolsa de Madrid, VIS). Precio de cierre del 5-oct-2026 (52,90 €) [28][31]; el 6-oct cotizaba a 53,20 € intradía. Acciones: 46,0 M emitidas menos 396.357 en autocartera a 30-jun-2026 = 45,60 M [5]. Viscofan presenta la cuenta por naturaleza: «coste de ventas» es el gasto por consumo (aprovisionamientos ± variación de existencias) y no hay gastos comerciales y de administración por función, por lo que el margen bruto y los días de inventario y de pago del motor se calculan sobre consumos y no son comparables con empresas que reportan por función. Los pagos de arrendamientos de 2020-2023 se aproximan con la partida «otros cobros y pagos de financiación» del estado de flujos. La empresa reporta un único segmento (NIIF 8): las divisiones solo tienen ingresos y las geografías se dan por origen de la venta, no por destino. Comparables y transacciones en otras divisas convertidos al tipo del BCE del 6-oct-2026 (comparables) o al de la fecha de la operación (transacciones) [34]. Las cifras de 2024 son las reexpresadas en las cuentas de 2025 por la asignación definitiva del precio de Brasfibra y Master Couros [1]. Los múltiplos históricos «NTM» son una estimación propia: valor empresa y precio de cierre de cada año de MarketScreener [29] divididos por el EBITDA y el BPA reales del año siguiente (2025: consenso 2026). Las rentabilidades anuales de la acción y del índice son de precio, sin dividendos. Las transcripciones de las conferencias con analistas no son públicas: la sección de resultados recientes se apoya en las presentaciones y en la prensa.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Viscofan, S.A. (VIS)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Hoja1!$B$2:$B$10</c:f>
              <c:numCache>
                <c:formatCode>#,##0.0</c:formatCode>
                <c:ptCount val="9"/>
                <c:pt idx="0">
                  <c:v>48.35</c:v>
                </c:pt>
                <c:pt idx="1">
                  <c:v>58.7</c:v>
                </c:pt>
                <c:pt idx="2">
                  <c:v>45.41</c:v>
                </c:pt>
                <c:pt idx="3">
                  <c:v>44.49</c:v>
                </c:pt>
                <c:pt idx="4">
                  <c:v>57.92</c:v>
                </c:pt>
                <c:pt idx="5">
                  <c:v>49.46</c:v>
                </c:pt>
                <c:pt idx="6">
                  <c:v>40.04</c:v>
                </c:pt>
                <c:pt idx="7">
                  <c:v>60.8</c:v>
                </c:pt>
                <c:pt idx="8">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Hoja1!$C$2:$C$10</c:f>
              <c:numCache>
                <c:formatCode>#,##0.0</c:formatCode>
                <c:ptCount val="9"/>
                <c:pt idx="0">
                  <c:v>13.949999999999996</c:v>
                </c:pt>
                <c:pt idx="1">
                  <c:v>16.299999999999997</c:v>
                </c:pt>
                <c:pt idx="2">
                  <c:v>13.75</c:v>
                </c:pt>
                <c:pt idx="3">
                  <c:v>16.629999999999995</c:v>
                </c:pt>
                <c:pt idx="4">
                  <c:v>11.329999999999998</c:v>
                </c:pt>
                <c:pt idx="5">
                  <c:v>20.259999999999998</c:v>
                </c:pt>
                <c:pt idx="6">
                  <c:v>24.910000000000004</c:v>
                </c:pt>
                <c:pt idx="7">
                  <c:v>14.86</c:v>
                </c:pt>
                <c:pt idx="8">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Negocio tradicional (envolturas)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808.1</c:v>
                </c:pt>
                <c:pt idx="1">
                  <c:v>963.1</c:v>
                </c:pt>
                <c:pt idx="2">
                  <c:v>985.3</c:v>
                </c:pt>
                <c:pt idx="3">
                  <c:v>996.6</c:v>
                </c:pt>
                <c:pt idx="4">
                  <c:v>1033.7</c:v>
                </c:pt>
              </c:numCache>
            </c:numRef>
          </c:val>
        </c:ser>
        <c:ser>
          <c:idx val="1"/>
          <c:order val="1"/>
          <c:tx>
            <c:strRef>
              <c:f>Hoja1!$C$1</c:f>
              <c:strCache>
                <c:ptCount val="1"/>
                <c:pt idx="0">
                  <c:v>Nuevos negocios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117.1</c:v>
                </c:pt>
                <c:pt idx="1">
                  <c:v>144.5</c:v>
                </c:pt>
                <c:pt idx="2">
                  <c:v>151.5</c:v>
                </c:pt>
                <c:pt idx="3">
                  <c:v>147.3</c:v>
                </c:pt>
                <c:pt idx="4">
                  <c:v>159.7</c:v>
                </c:pt>
              </c:numCache>
            </c:numRef>
          </c:val>
        </c:ser>
        <c:ser>
          <c:idx val="2"/>
          <c:order val="2"/>
          <c:tx>
            <c:strRef>
              <c:f>Hoja1!$D$1</c:f>
              <c:strCache>
                <c:ptCount val="1"/>
                <c:pt idx="0">
                  <c:v>Energía (cogeneración Cáseda)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44.1</c:v>
                </c:pt>
                <c:pt idx="1">
                  <c:v>93.5</c:v>
                </c:pt>
                <c:pt idx="2">
                  <c:v>89</c:v>
                </c:pt>
                <c:pt idx="3">
                  <c:v>60.1</c:v>
                </c:pt>
                <c:pt idx="4">
                  <c:v>58.6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Negocio tradicional (envolturas)</c:v>
                </c:pt>
                <c:pt idx="1">
                  <c:v>Nuevos negocios</c:v>
                </c:pt>
                <c:pt idx="2">
                  <c:v>Energía (cogeneración Cáseda)</c:v>
                </c:pt>
              </c:strCache>
            </c:strRef>
          </c:cat>
          <c:val>
            <c:numRef>
              <c:f>Hoja1!$B$2:$B$4</c:f>
              <c:numCache>
                <c:formatCode>General</c:formatCode>
                <c:ptCount val="3"/>
                <c:pt idx="0">
                  <c:v>82.6</c:v>
                </c:pt>
                <c:pt idx="1">
                  <c:v>12.8</c:v>
                </c:pt>
                <c:pt idx="2">
                  <c:v>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 Oriente Medio y África (origen)</c:v>
                </c:pt>
                <c:pt idx="1">
                  <c:v>Norteamérica (origen)</c:v>
                </c:pt>
                <c:pt idx="2">
                  <c:v>Sudamérica (origen)</c:v>
                </c:pt>
                <c:pt idx="3">
                  <c:v>Asia-Pacífico (origen)</c:v>
                </c:pt>
              </c:strCache>
            </c:strRef>
          </c:cat>
          <c:val>
            <c:numRef>
              <c:f>Hoja1!$B$2:$B$5</c:f>
              <c:numCache>
                <c:formatCode>0"%"</c:formatCode>
                <c:ptCount val="4"/>
                <c:pt idx="0">
                  <c:v>41</c:v>
                </c:pt>
                <c:pt idx="1">
                  <c:v>30.9</c:v>
                </c:pt>
                <c:pt idx="2">
                  <c:v>14.5</c:v>
                </c:pt>
                <c:pt idx="3">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(GM Insights; 2024e-2030e interpolados por nosotros al TCAC del 3,4 %))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2022</c:v>
                </c:pt>
                <c:pt idx="1">
                  <c:v>2024e</c:v>
                </c:pt>
                <c:pt idx="2">
                  <c:v>2026e</c:v>
                </c:pt>
                <c:pt idx="3">
                  <c:v>2028e</c:v>
                </c:pt>
                <c:pt idx="4">
                  <c:v>2030e</c:v>
                </c:pt>
                <c:pt idx="5">
                  <c:v>2032e</c:v>
                </c:pt>
              </c:strCache>
            </c:strRef>
          </c:cat>
          <c:val>
            <c:numRef>
              <c:f>Hoja1!$B$2:$B$7</c:f>
              <c:numCache>
                <c:formatCode>#,##0</c:formatCode>
                <c:ptCount val="6"/>
                <c:pt idx="0">
                  <c:v>6200</c:v>
                </c:pt>
                <c:pt idx="1">
                  <c:v>6629</c:v>
                </c:pt>
                <c:pt idx="2">
                  <c:v>7087</c:v>
                </c:pt>
                <c:pt idx="3">
                  <c:v>7577</c:v>
                </c:pt>
                <c:pt idx="4">
                  <c:v>8101</c:v>
                </c:pt>
                <c:pt idx="5">
                  <c:v>8700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Viscofan</c:v>
                </c:pt>
                <c:pt idx="1">
                  <c:v>Viskase</c:v>
                </c:pt>
                <c:pt idx="2">
                  <c:v>Devro (SARIA)</c:v>
                </c:pt>
                <c:pt idx="3">
                  <c:v>Kalle</c:v>
                </c:pt>
                <c:pt idx="4">
                  <c:v>Shenguan Holdings</c:v>
                </c:pt>
              </c:strCache>
            </c:strRef>
          </c:cat>
          <c:val>
            <c:numRef>
              <c:f>Hoja1!$B$2:$B$6</c:f>
              <c:numCache>
                <c:formatCode>0.0"%"</c:formatCode>
                <c:ptCount val="5"/>
                <c:pt idx="0">
                  <c:v>16.4</c:v>
                </c:pt>
                <c:pt idx="1">
                  <c:v>-5</c:v>
                </c:pt>
                <c:pt idx="2">
                  <c:v>16.6</c:v>
                </c:pt>
                <c:pt idx="4">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912.2</c:v>
                </c:pt>
                <c:pt idx="1">
                  <c:v>969.2</c:v>
                </c:pt>
                <c:pt idx="2">
                  <c:v>1201</c:v>
                </c:pt>
                <c:pt idx="3">
                  <c:v>1225.8</c:v>
                </c:pt>
                <c:pt idx="4">
                  <c:v>1204</c:v>
                </c:pt>
                <c:pt idx="5">
                  <c:v>1252</c:v>
                </c:pt>
                <c:pt idx="6">
                  <c:v>1315</c:v>
                </c:pt>
                <c:pt idx="7">
                  <c:v>1393</c:v>
                </c:pt>
                <c:pt idx="8">
                  <c:v>1477</c:v>
                </c:pt>
                <c:pt idx="9">
                  <c:v>1558</c:v>
                </c:pt>
                <c:pt idx="10">
                  <c:v>1636</c:v>
                </c:pt>
                <c:pt idx="11">
                  <c:v>1702</c:v>
                </c:pt>
                <c:pt idx="12">
                  <c:v>1753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234.4</c:v>
                </c:pt>
                <c:pt idx="1">
                  <c:v>246.7</c:v>
                </c:pt>
                <c:pt idx="2">
                  <c:v>267.2</c:v>
                </c:pt>
                <c:pt idx="3">
                  <c:v>268.4</c:v>
                </c:pt>
                <c:pt idx="4">
                  <c:v>285.3</c:v>
                </c:pt>
                <c:pt idx="5">
                  <c:v>290</c:v>
                </c:pt>
                <c:pt idx="6">
                  <c:v>300</c:v>
                </c:pt>
                <c:pt idx="7">
                  <c:v>326</c:v>
                </c:pt>
                <c:pt idx="8">
                  <c:v>352</c:v>
                </c:pt>
                <c:pt idx="9">
                  <c:v>374</c:v>
                </c:pt>
                <c:pt idx="10">
                  <c:v>393</c:v>
                </c:pt>
                <c:pt idx="11">
                  <c:v>408</c:v>
                </c:pt>
                <c:pt idx="12">
                  <c:v>421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70.1</c:v>
                </c:pt>
                <c:pt idx="1">
                  <c:v>70.8</c:v>
                </c:pt>
                <c:pt idx="2">
                  <c:v>67.6</c:v>
                </c:pt>
                <c:pt idx="3">
                  <c:v>65.7</c:v>
                </c:pt>
                <c:pt idx="4">
                  <c:v>67.6</c:v>
                </c:pt>
                <c:pt idx="5">
                  <c:v>67.3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25.7</c:v>
                </c:pt>
                <c:pt idx="1">
                  <c:v>25.5</c:v>
                </c:pt>
                <c:pt idx="2">
                  <c:v>22.2</c:v>
                </c:pt>
                <c:pt idx="3">
                  <c:v>21.9</c:v>
                </c:pt>
                <c:pt idx="4">
                  <c:v>23.7</c:v>
                </c:pt>
                <c:pt idx="5">
                  <c:v>23.2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17.9</c:v>
                </c:pt>
                <c:pt idx="1">
                  <c:v>18</c:v>
                </c:pt>
                <c:pt idx="2">
                  <c:v>15.7</c:v>
                </c:pt>
                <c:pt idx="3">
                  <c:v>15.1</c:v>
                </c:pt>
                <c:pt idx="4">
                  <c:v>16.7</c:v>
                </c:pt>
                <c:pt idx="5">
                  <c:v>16.4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13.4</c:v>
                </c:pt>
                <c:pt idx="1">
                  <c:v>13.7</c:v>
                </c:pt>
                <c:pt idx="2">
                  <c:v>11.6</c:v>
                </c:pt>
                <c:pt idx="3">
                  <c:v>11.5</c:v>
                </c:pt>
                <c:pt idx="4">
                  <c:v>13</c:v>
                </c:pt>
                <c:pt idx="5">
                  <c:v>12.8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2.5</c:v>
                </c:pt>
                <c:pt idx="1">
                  <c:v>2</c:v>
                </c:pt>
                <c:pt idx="2">
                  <c:v>6.1</c:v>
                </c:pt>
                <c:pt idx="3">
                  <c:v>2.7</c:v>
                </c:pt>
                <c:pt idx="4">
                  <c:v>4.3</c:v>
                </c:pt>
                <c:pt idx="5">
                  <c:v>3.1</c:v>
                </c:pt>
                <c:pt idx="6">
                  <c:v>-0.8</c:v>
                </c:pt>
                <c:pt idx="7">
                  <c:v>4.3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c:v>
                </c:pt>
                <c:pt idx="2">
                  <c:v>4.1</c:v>
                </c:pt>
                <c:pt idx="4">
                  <c:v>6.5</c:v>
                </c:pt>
                <c:pt idx="5">
                  <c:v>7.9</c:v>
                </c:pt>
                <c:pt idx="6">
                  <c:v>4.6</c:v>
                </c:pt>
                <c:pt idx="7">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c:v>
                </c:pt>
                <c:pt idx="1">
                  <c:v>66</c:v>
                </c:pt>
                <c:pt idx="2">
                  <c:v>71</c:v>
                </c:pt>
                <c:pt idx="3">
                  <c:v>66</c:v>
                </c:pt>
                <c:pt idx="4">
                  <c:v>82</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366</c:v>
                </c:pt>
                <c:pt idx="1">
                  <c:v>391</c:v>
                </c:pt>
                <c:pt idx="2">
                  <c:v>358</c:v>
                </c:pt>
                <c:pt idx="3">
                  <c:v>384</c:v>
                </c:pt>
                <c:pt idx="4">
                  <c:v>373</c:v>
                </c:pt>
                <c:pt idx="5">
                  <c:v>345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72</c:v>
                </c:pt>
                <c:pt idx="1">
                  <c:v>117</c:v>
                </c:pt>
                <c:pt idx="2">
                  <c:v>93</c:v>
                </c:pt>
                <c:pt idx="3">
                  <c:v>72</c:v>
                </c:pt>
                <c:pt idx="4">
                  <c:v>78</c:v>
                </c:pt>
                <c:pt idx="5">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117.20000000000002</c:v>
                </c:pt>
                <c:pt idx="1">
                  <c:v>116.90000000000002</c:v>
                </c:pt>
                <c:pt idx="2">
                  <c:v>-3.8999999999999915</c:v>
                </c:pt>
                <c:pt idx="3">
                  <c:v>61.49999999999999</c:v>
                </c:pt>
                <c:pt idx="4">
                  <c:v>156.60000000000002</c:v>
                </c:pt>
                <c:pt idx="5">
                  <c:v>108.3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122.5</c:v>
                </c:pt>
                <c:pt idx="1">
                  <c:v>133</c:v>
                </c:pt>
                <c:pt idx="2">
                  <c:v>139.4</c:v>
                </c:pt>
                <c:pt idx="3">
                  <c:v>141</c:v>
                </c:pt>
                <c:pt idx="4">
                  <c:v>157</c:v>
                </c:pt>
                <c:pt idx="5">
                  <c:v>159.9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15.8</c:v>
                </c:pt>
                <c:pt idx="1">
                  <c:v>16.1</c:v>
                </c:pt>
                <c:pt idx="2">
                  <c:v>15.4</c:v>
                </c:pt>
                <c:pt idx="3">
                  <c:v>14.5</c:v>
                </c:pt>
                <c:pt idx="4">
                  <c:v>13.9</c:v>
                </c:pt>
                <c:pt idx="5">
                  <c:v>16.4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c:v>
                </c:pt>
                <c:pt idx="1">
                  <c:v>8</c:v>
                </c:pt>
                <c:pt idx="2">
                  <c:v>8</c:v>
                </c:pt>
                <c:pt idx="3">
                  <c:v>8</c:v>
                </c:pt>
                <c:pt idx="4">
                  <c:v>8</c:v>
                </c:pt>
                <c:pt idx="5">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16.6</c:v>
                </c:pt>
                <c:pt idx="1">
                  <c:v>17.1</c:v>
                </c:pt>
                <c:pt idx="2">
                  <c:v>16.1</c:v>
                </c:pt>
                <c:pt idx="3">
                  <c:v>15.1</c:v>
                </c:pt>
                <c:pt idx="4">
                  <c:v>16.6</c:v>
                </c:pt>
                <c:pt idx="5">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0.23</c:v>
                </c:pt>
                <c:pt idx="1">
                  <c:v>0.06</c:v>
                </c:pt>
                <c:pt idx="2">
                  <c:v>0.42</c:v>
                </c:pt>
                <c:pt idx="3">
                  <c:v>0.56</c:v>
                </c:pt>
                <c:pt idx="4">
                  <c:v>0.56</c:v>
                </c:pt>
                <c:pt idx="5">
                  <c:v>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227.4</c:v>
                </c:pt>
                <c:pt idx="1">
                  <c:v>18.6</c:v>
                </c:pt>
                <c:pt idx="2">
                  <c:v>21.3</c:v>
                </c:pt>
                <c:pt idx="3">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7.2</c:v>
                </c:pt>
                <c:pt idx="5">
                  <c:v>8.9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109.4</c:v>
                </c:pt>
                <c:pt idx="1">
                  <c:v>78.3</c:v>
                </c:pt>
                <c:pt idx="2">
                  <c:v>84.5</c:v>
                </c:pt>
                <c:pt idx="3">
                  <c:v>89.5</c:v>
                </c:pt>
                <c:pt idx="4">
                  <c:v>60.1</c:v>
                </c:pt>
                <c:pt idx="5">
                  <c:v>51.1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4.9</c:v>
                </c:pt>
                <c:pt idx="2">
                  <c:v>12.2</c:v>
                </c:pt>
                <c:pt idx="3">
                  <c:v>6.3</c:v>
                </c:pt>
                <c:pt idx="4">
                  <c:v>90.7</c:v>
                </c:pt>
                <c:pt idx="5">
                  <c:v>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2</c:v>
                </c:pt>
                <c:pt idx="1">
                  <c:v>1</c:v>
                </c:pt>
                <c:pt idx="2">
                  <c:v>5</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Corporación Financiera Alba (grupo March)</c:v>
                </c:pt>
                <c:pt idx="1">
                  <c:v>Santiago Domecq Bohórquez (Angustias y Sol)</c:v>
                </c:pt>
                <c:pt idx="2">
                  <c:v>APG Asset Management</c:v>
                </c:pt>
                <c:pt idx="3">
                  <c:v>Setanta Asset Management</c:v>
                </c:pt>
                <c:pt idx="4">
                  <c:v>Autocartera</c:v>
                </c:pt>
                <c:pt idx="5">
                  <c:v>Capital flotante estimado</c:v>
                </c:pt>
              </c:strCache>
            </c:strRef>
          </c:cat>
          <c:val>
            <c:numRef>
              <c:f>Hoja1!$B$2:$B$7</c:f>
              <c:numCache>
                <c:formatCode>0.0"%"</c:formatCode>
                <c:ptCount val="6"/>
                <c:pt idx="0">
                  <c:v>14.25</c:v>
                </c:pt>
                <c:pt idx="1">
                  <c:v>5.03</c:v>
                </c:pt>
                <c:pt idx="4">
                  <c:v>0.86</c:v>
                </c:pt>
                <c:pt idx="5">
                  <c:v>79.21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17.4</c:v>
                </c:pt>
                <c:pt idx="1">
                  <c:v>-12.5</c:v>
                </c:pt>
                <c:pt idx="2">
                  <c:v>-2.1</c:v>
                </c:pt>
                <c:pt idx="3">
                  <c:v>23.2</c:v>
                </c:pt>
                <c:pt idx="4">
                  <c:v>-2</c:v>
                </c:pt>
                <c:pt idx="5">
                  <c:v>5.8</c:v>
                </c:pt>
                <c:pt idx="6">
                  <c:v>-11</c:v>
                </c:pt>
                <c:pt idx="7">
                  <c:v>13.8</c:v>
                </c:pt>
                <c:pt idx="8">
                  <c:v>-12.5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c:v>
                </c:pt>
                <c:pt idx="1">
                  <c:v>-13.7</c:v>
                </c:pt>
                <c:pt idx="2">
                  <c:v>8.4</c:v>
                </c:pt>
                <c:pt idx="3">
                  <c:v>-9.7</c:v>
                </c:pt>
                <c:pt idx="4">
                  <c:v>8.7</c:v>
                </c:pt>
                <c:pt idx="5">
                  <c:v>-7.4</c:v>
                </c:pt>
                <c:pt idx="6">
                  <c:v>5.9</c:v>
                </c:pt>
                <c:pt idx="7">
                  <c:v>11.7</c:v>
                </c:pt>
                <c:pt idx="8">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próximos 12 meses: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c:v>
                </c:pt>
                <c:pt idx="1">
                  <c:v>10.9</c:v>
                </c:pt>
                <c:pt idx="2">
                  <c:v>9.3</c:v>
                </c:pt>
                <c:pt idx="3">
                  <c:v>10.5</c:v>
                </c:pt>
                <c:pt idx="4">
                  <c:v>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c:v>
                </c:pt>
                <c:pt idx="1">
                  <c:v>10</c:v>
                </c:pt>
                <c:pt idx="2">
                  <c:v>10</c:v>
                </c:pt>
                <c:pt idx="3">
                  <c:v>10</c:v>
                </c:pt>
                <c:pt idx="4">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Viscofan</c:v>
                </c:pt>
                <c:pt idx="1">
                  <c:v>Kerry Group</c:v>
                </c:pt>
                <c:pt idx="2">
                  <c:v>Symrise</c:v>
                </c:pt>
                <c:pt idx="3">
                  <c:v>AAK</c:v>
                </c:pt>
                <c:pt idx="4">
                  <c:v>Tate &amp; Lyle</c:v>
                </c:pt>
                <c:pt idx="5">
                  <c:v>Ingredion</c:v>
                </c:pt>
                <c:pt idx="6">
                  <c:v>Corbion</c:v>
                </c:pt>
                <c:pt idx="7">
                  <c:v>Huhtamaki</c:v>
                </c:pt>
                <c:pt idx="8">
                  <c:v>Amcor</c:v>
                </c:pt>
              </c:strCache>
            </c:strRef>
          </c:cat>
          <c:val>
            <c:numRef>
              <c:f>Hoja1!$B$2:$B$10</c:f>
              <c:numCache>
                <c:formatCode>0.0"x"</c:formatCode>
                <c:ptCount val="9"/>
                <c:pt idx="0">
                  <c:v>8.5</c:v>
                </c:pt>
                <c:pt idx="1">
                  <c:v>11.9</c:v>
                </c:pt>
                <c:pt idx="2">
                  <c:v>12.4</c:v>
                </c:pt>
                <c:pt idx="3">
                  <c:v>8.6</c:v>
                </c:pt>
                <c:pt idx="4">
                  <c:v>8.1</c:v>
                </c:pt>
                <c:pt idx="5">
                  <c:v>5.7</c:v>
                </c:pt>
                <c:pt idx="6">
                  <c:v>7.8</c:v>
                </c:pt>
                <c:pt idx="7">
                  <c:v>6.5</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Viscofan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8.5</c:v>
                </c:pt>
              </c:numCache>
            </c:numRef>
          </c:yVal>
          <c:smooth val="0"/>
        </c:ser>
        <c:ser>
          <c:idx val="1"/>
          <c:order val="1"/>
          <c:tx>
            <c:strRef>
              <c:f>Hoja1!$A$3</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11.9</c:v>
                </c:pt>
              </c:numCache>
            </c:numRef>
          </c:yVal>
          <c:smooth val="0"/>
        </c:ser>
        <c:ser>
          <c:idx val="2"/>
          <c:order val="2"/>
          <c:tx>
            <c:strRef>
              <c:f>Hoja1!$A$4</c:f>
              <c:strCache>
                <c:ptCount val="1"/>
                <c:pt idx="0">
                  <c:v>Symrise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12.4</c:v>
                </c:pt>
              </c:numCache>
            </c:numRef>
          </c:yVal>
          <c:smooth val="0"/>
        </c:ser>
        <c:ser>
          <c:idx val="3"/>
          <c:order val="3"/>
          <c:tx>
            <c:strRef>
              <c:f>Hoja1!$A$5</c:f>
              <c:strCache>
                <c:ptCount val="1"/>
                <c:pt idx="0">
                  <c:v>AAK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8.2</c:v>
                </c:pt>
              </c:numCache>
            </c:numRef>
          </c:xVal>
          <c:yVal>
            <c:numRef>
              <c:f>Hoja1!$C$5</c:f>
              <c:numCache>
                <c:formatCode>0.0"x"</c:formatCode>
                <c:ptCount val="1"/>
                <c:pt idx="0">
                  <c:v>8.6</c:v>
                </c:pt>
              </c:numCache>
            </c:numRef>
          </c:yVal>
          <c:smooth val="0"/>
        </c:ser>
        <c:ser>
          <c:idx val="4"/>
          <c:order val="4"/>
          <c:tx>
            <c:strRef>
              <c:f>Hoja1!$A$6</c:f>
              <c:strCache>
                <c:ptCount val="1"/>
                <c:pt idx="0">
                  <c:v>Tate &amp; Lyle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2.3</c:v>
                </c:pt>
              </c:numCache>
            </c:numRef>
          </c:xVal>
          <c:yVal>
            <c:numRef>
              <c:f>Hoja1!$C$6</c:f>
              <c:numCache>
                <c:formatCode>0.0"x"</c:formatCode>
                <c:ptCount val="1"/>
                <c:pt idx="0">
                  <c:v>8.1</c:v>
                </c:pt>
              </c:numCache>
            </c:numRef>
          </c:yVal>
          <c:smooth val="0"/>
        </c:ser>
        <c:ser>
          <c:idx val="5"/>
          <c:order val="5"/>
          <c:tx>
            <c:strRef>
              <c:f>Hoja1!$A$7</c:f>
              <c:strCache>
                <c:ptCount val="1"/>
                <c:pt idx="0">
                  <c:v>Ingredion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c:v>
                </c:pt>
              </c:numCache>
            </c:numRef>
          </c:xVal>
          <c:yVal>
            <c:numRef>
              <c:f>Hoja1!$C$7</c:f>
              <c:numCache>
                <c:formatCode>0.0"x"</c:formatCode>
                <c:ptCount val="1"/>
                <c:pt idx="0">
                  <c:v>5.7</c:v>
                </c:pt>
              </c:numCache>
            </c:numRef>
          </c:yVal>
          <c:smooth val="0"/>
        </c:ser>
        <c:ser>
          <c:idx val="6"/>
          <c:order val="6"/>
          <c:tx>
            <c:strRef>
              <c:f>Hoja1!$A$8</c:f>
              <c:strCache>
                <c:ptCount val="1"/>
                <c:pt idx="0">
                  <c:v>Corbion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7.8</c:v>
                </c:pt>
              </c:numCache>
            </c:numRef>
          </c:yVal>
          <c:smooth val="0"/>
        </c:ser>
        <c:ser>
          <c:idx val="7"/>
          <c:order val="7"/>
          <c:tx>
            <c:strRef>
              <c:f>Hoja1!$A$9</c:f>
              <c:strCache>
                <c:ptCount val="1"/>
                <c:pt idx="0">
                  <c:v>Huhtamaki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3.3</c:v>
                </c:pt>
              </c:numCache>
            </c:numRef>
          </c:xVal>
          <c:yVal>
            <c:numRef>
              <c:f>Hoja1!$C$9</c:f>
              <c:numCache>
                <c:formatCode>0.0"x"</c:formatCode>
                <c:ptCount val="1"/>
                <c:pt idx="0">
                  <c:v>6.5</c:v>
                </c:pt>
              </c:numCache>
            </c:numRef>
          </c:yVal>
          <c:smooth val="0"/>
        </c:ser>
        <c:ser>
          <c:idx val="8"/>
          <c:order val="8"/>
          <c:tx>
            <c:strRef>
              <c:f>Hoja1!$A$10</c:f>
              <c:strCache>
                <c:ptCount val="1"/>
                <c:pt idx="0">
                  <c:v>Amcor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1.5</c:v>
                </c:pt>
              </c:numCache>
            </c:numRef>
          </c:xVal>
          <c:yVal>
            <c:numRef>
              <c:f>Hoja1!$C$10</c:f>
              <c:numCache>
                <c:formatCode>0.0"x"</c:formatCode>
                <c:ptCount val="1"/>
                <c:pt idx="0">
                  <c:v>8.5</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Sealed Air (EE. UU., envases para carne y protección)</c:v>
                </c:pt>
                <c:pt idx="1">
                  <c:v>CP Kelco (EE. UU., texturizantes e hidrocoloides)</c:v>
                </c:pt>
                <c:pt idx="2">
                  <c:v>Devro (Reino Unido, envolturas de colágeno)</c:v>
                </c:pt>
                <c:pt idx="3">
                  <c:v>Gelnex (Brasil, gelatina y colágeno)</c:v>
                </c:pt>
                <c:pt idx="4">
                  <c:v>Brasfibra y Master Couros (Brasil, colágeno bovino; 60 %)</c:v>
                </c:pt>
                <c:pt idx="5">
                  <c:v>Pet Mania (Brasil, golosinas para mascotas; 51 %)</c:v>
                </c:pt>
              </c:strCache>
            </c:strRef>
          </c:cat>
          <c:val>
            <c:numRef>
              <c:f>Hoja1!$B$2:$B$7</c:f>
              <c:numCache>
                <c:formatCode>0.0"x"</c:formatCode>
                <c:ptCount val="6"/>
                <c:pt idx="0">
                  <c:v>10</c:v>
                </c:pt>
                <c:pt idx="1">
                  <c:v>13.7</c:v>
                </c:pt>
                <c:pt idx="2">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133</c:v>
                </c:pt>
                <c:pt idx="1">
                  <c:v>124</c:v>
                </c:pt>
                <c:pt idx="2">
                  <c:v>137</c:v>
                </c:pt>
                <c:pt idx="3">
                  <c:v>159</c:v>
                </c:pt>
                <c:pt idx="4">
                  <c:v>179</c:v>
                </c:pt>
                <c:pt idx="5">
                  <c:v>190</c:v>
                </c:pt>
                <c:pt idx="6">
                  <c:v>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796</c:v>
                </c:pt>
                <c:pt idx="1">
                  <c:v>2178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52,90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40.04</c:v>
                </c:pt>
                <c:pt idx="1">
                  <c:v>57.91</c:v>
                </c:pt>
                <c:pt idx="2">
                  <c:v>64.95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Hoja1!$B$2:$B$10</c:f>
              <c:numCache>
                <c:formatCode>#,##0.0</c:formatCode>
                <c:ptCount val="9"/>
                <c:pt idx="0">
                  <c:v>48.35</c:v>
                </c:pt>
                <c:pt idx="1">
                  <c:v>58.7</c:v>
                </c:pt>
                <c:pt idx="2">
                  <c:v>45.41</c:v>
                </c:pt>
                <c:pt idx="3">
                  <c:v>44.49</c:v>
                </c:pt>
                <c:pt idx="4">
                  <c:v>57.92</c:v>
                </c:pt>
                <c:pt idx="5">
                  <c:v>49.46</c:v>
                </c:pt>
                <c:pt idx="6">
                  <c:v>40.04</c:v>
                </c:pt>
                <c:pt idx="7">
                  <c:v>60.8</c:v>
                </c:pt>
                <c:pt idx="8">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Hoja1!$C$2:$C$10</c:f>
              <c:numCache>
                <c:formatCode>#,##0.0</c:formatCode>
                <c:ptCount val="9"/>
                <c:pt idx="0">
                  <c:v>13.949999999999996</c:v>
                </c:pt>
                <c:pt idx="1">
                  <c:v>16.299999999999997</c:v>
                </c:pt>
                <c:pt idx="2">
                  <c:v>13.75</c:v>
                </c:pt>
                <c:pt idx="3">
                  <c:v>16.629999999999995</c:v>
                </c:pt>
                <c:pt idx="4">
                  <c:v>11.329999999999998</c:v>
                </c:pt>
                <c:pt idx="5">
                  <c:v>20.259999999999998</c:v>
                </c:pt>
                <c:pt idx="6">
                  <c:v>24.910000000000004</c:v>
                </c:pt>
                <c:pt idx="7">
                  <c:v>14.86</c:v>
                </c:pt>
                <c:pt idx="8">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