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Nemetschek SE</w:t>
      </w:r>
    </w:p>
    <w:p>
      <w:pPr>
        <w:spacing w:after="60"/>
        <w:rPr>
          <w:color w:val="52514E"/>
          <w:sz w:val="22"/>
          <w:szCs w:val="22"/>
        </w:rPr>
      </w:pPr>
      <w:r>
        <w:rPr>
          <w:color w:val="52514E"/>
          <w:sz w:val="22"/>
          <w:szCs w:val="22"/>
        </w:rPr>
        <w:t xml:space="preserve">NEM · XETRA (Fráncfort, Prime Standard) · ISIN DE0006452907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67,40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73,35 EUR · mercado 91,82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+9,8 % · mercado +37,2 %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7.784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Nemetschek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NEM / DE0006452907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 (también en el TecDAX)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Múnich (Alemania)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https://ir.nemetschek.com/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67,40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50,45 – 108,30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7.784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10.306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15,9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73,35 EUR</w:t>
      </w:r>
      <w:r>
        <w:t xml:space="preserve"> frente a 67,40 · con la prima implícita del mercado: 91,82 (+36,2 %) · Rentabilidad total esperada a 12 meses </w:t>
      </w:r>
      <w:r>
        <w:rPr>
          <w:b/>
          <w:bCs/>
        </w:rPr>
        <w:t xml:space="preserve">+9,8 %</w:t>
      </w:r>
      <w:r>
        <w:t xml:space="preserve"> · Alcista / bajista +44,2 % / -40,1 %</w:t>
      </w:r>
    </w:p>
    <w:p>
      <w:pPr>
        <w:spacing w:after="100"/>
      </w:pPr>
      <w:r>
        <w:rPr>
          <w:b/>
        </w:rPr>
        <w:t xml:space="preserve">La recomendación y por qué.</w:t>
      </w:r>
      <w:r>
        <w:t xml:space="preserve"> Comprar, con convicción baja. El valor objetivo es de 73,35 EUR, un 8,8 % por encima del precio de 67,40 EUR, y con el dividendo la rentabilidad total esperada a 12 meses es del 9,8 %. El alcista gana un 44,2 % y el bajista pierde un 40,1 %: asimetría de 1,10 veces. Las reglas discrepan: con nuestro WACC (8,25 %) sale Mantener; con la prima que hoy pide el mercado (4,20 %) el objetivo sube a 91,82 EUR (+36,2 %) y sale Comprar, que manda. La convicción es baja, la sugerida, porque las reglas no coinciden: gana al mercado, pero no está barata frente a su coste de capital. Subiría si la guía orgánica de 2027 se mantiene por encima del 10 % y el precio no se mueve; bajaría si el ARR crece menos del 10 %.</w:t>
      </w:r>
    </w:p>
    <w:p>
      <w:pPr>
        <w:spacing w:after="100"/>
      </w:pPr>
      <w:r>
        <w:rPr>
          <w:b/>
        </w:rPr>
        <w:t xml:space="preserve">El negocio.</w:t>
      </w:r>
      <w:r>
        <w:t xml:space="preserve"> Nemetschek es uno de los tres grandes del software de diseño y construcción, con Autodesk y Bentley [17]. El 92 % de los ingresos es recurrente, el ROIC es del 19,2 % frente a un WACC del 8,25 % y los clientes pagan por adelantado (466,6 M de ingresos diferidos) [1]. La calidad de la empresa sí sostiene el crecimiento que proyectamos (9,5 % anual de 2027e a 2035e, en línea con el 9,9 % del mercado y sin capital): el riesgo es que la IA reduzca las licencias, no la capacidad de crecer.</w:t>
      </w:r>
    </w:p>
    <w:p>
      <w:pPr>
        <w:spacing w:after="100"/>
      </w:pPr>
      <w:r>
        <w:rPr>
          <w:b/>
        </w:rPr>
        <w:t xml:space="preserve">Finanzas.</w:t>
      </w:r>
      <w:r>
        <w:t xml:space="preserve"> Los ingresos crecieron al 15,1 % anual en la década, con compras, y el margen EBITDA pasó del 26,1 % al 31,2 % [1]. El flujo libre fue del 133 % del beneficio. HCSS, cerrada el 1-jul-2026, añade 450 M de deuda neta y deja a Thoma Bravo con ≈ 28 % de Build: la deuda neta ajustada es de 611 M (1,5 veces el EBITDA) y el minoritario resta 1.900 M (estimación propia) [15, 18].</w:t>
      </w:r>
    </w:p>
    <w:p>
      <w:pPr>
        <w:spacing w:after="100"/>
      </w:pPr>
      <w:r>
        <w:rPr>
          <w:b/>
        </w:rPr>
        <w:t xml:space="preserve">Equipo y gobierno.</w:t>
      </w:r>
      <w:r>
        <w:t xml:space="preserve"> Resta. La familia Nemetschek controla el 45,07 % de los votos con un pacto y la remuneración del consejero delegado (17,42 M EUR en 2025) la rechazó el 86 % del capital libre presente en la junta; el consejo sube aun así su tope [35, 36, 43]. A favor: la guía se ha cumplido cinco años seguidos y dos consejeros compraron acciones en agosto [47, 48].</w:t>
      </w:r>
    </w:p>
    <w:p>
      <w:pPr>
        <w:spacing w:after="100"/>
      </w:pPr>
      <w:r>
        <w:rPr>
          <w:b/>
        </w:rPr>
        <w:t xml:space="preserve">Valoración.</w:t>
      </w:r>
      <w:r>
        <w:t xml:space="preserve"> El DCF da 76,10 EUR (+12,9 %). El DCF inverso dice que el precio supone un crecimiento del 8,3 % anual, frente al 9,5 % de nuestro caso base, o un margen EBITDA del 32,4 % en vez del 35,5 %: el margen de hoy sin mejora. Comprar rinde un 8,8 % anual con nuestro caso base, medio punto sobre el WACC. Cotiza a 19,2 veces el EBITDA de los próximos 12 meses, en la mediana de sus comparables (18,2 veces), y a 31,6 veces el beneficio, el mínimo de su década (media de 51,5). Los comparables dan 65,95 EUR y las transacciones 85,28. Coincidimos con el consenso en cifras (−1,2 % en ingresos de 2027e) [55].</w:t>
      </w:r>
    </w:p>
    <w:p>
      <w:pPr>
        <w:spacing w:after="100"/>
      </w:pPr>
      <w:r>
        <w:rPr>
          <w:b/>
        </w:rPr>
        <w:t xml:space="preserve">Riesgos y catalizadores.</w:t>
      </w:r>
      <w:r>
        <w:t xml:space="preserve"> El mayor riesgo es que la IA generativa abarate el diseño y reduzca los puestos de proyectistas (bajista: 40,35 EUR); el segundo, el ciclo de la construcción (dos puntos menos de crecimiento: 62,09 EUR); el tercero, los derechos de Thoma Bravo en Build, que no se han publicado. Catalizadores: resultados del 3T26 el 5-nov-2026, con el primer trimestre de HCSS [54], y la guía de 2027 en marzo.</w:t>
      </w:r>
    </w:p>
    <w:p>
      <w:pPr>
        <w:spacing w:after="100"/>
      </w:pPr>
      <w:r>
        <w:rPr>
          <w:b/>
        </w:rPr>
        <w:t xml:space="preserve">Qué cambiaría la decisión.</w:t>
      </w:r>
      <w:r>
        <w:t xml:space="preserve"> Sería una compra clara por debajo de 70,49 EUR y pasaría a Vender por encima de 102,84 EUR. Bajaríamos a Mantener si el crecimiento orgánico de 2027 se guía por debajo del 10 % o si el ARR crece menos del 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73,35 EUR</w:t>
      </w:r>
      <w:r>
        <w:t xml:space="preserve"> (+8,8 % sobre 67,40; rentabilidad total esperada +9,8 %) · con la prima implícita del mercado: 91,82 (+36,2 %)</w:t>
      </w:r>
    </w:p>
    <w:p>
      <w:pPr>
        <w:spacing w:after="100"/>
      </w:pPr>
      <w:r>
        <w:t xml:space="preserve">Nemetschek es uno de los tres grandes del software de diseño y construcción: 1.191,2 M de ingresos en 2025, un 92 % recurrentes, un margen EBITDA del 31,2 % y un ROIC del 19,2 % [1]. Con HCSS, cerrada el 1-jul-2026, gana la obra civil de EE. UU. y facturará unos 1.700 M en 2027 según el consenso [18, 55].</w:t>
      </w:r>
    </w:p>
    <w:p>
      <w:pPr>
        <w:spacing w:after="100"/>
      </w:pPr>
      <w:r>
        <w:t xml:space="preserve">El precio de 67,40 EUR, un 38 % por debajo del máximo de 52 semanas, descuenta un crecimiento del 8,3 % anual hasta 2035 con el margen de hoy. Cotiza a 19,2 veces el EBITDA de los próximos 12 meses, como Autodesk, y a 31,6 veces el beneficio, el mínimo de su década [58, 59].</w:t>
      </w:r>
    </w:p>
    <w:p>
      <w:pPr>
        <w:spacing w:after="100"/>
      </w:pPr>
      <w:r>
        <w:t xml:space="preserve">El mercado acierta al quitarle la prima: la IA puede cambiar cómo se cobra el software de diseño y Nemetschek ha cedido el 28 % de su mejor división. Se equivoca si cree que el negocio ya lo nota: el ARR crece un 17,4 % a tipo constante y la guía orgánica de 2026 se confirmó en julio [8]. Para invertir hay que creer que la empresa crecerá con su mercado y subirá el margen cuatro puntos.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 / -40,1 %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70,49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70,49 y 102,84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102,84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102,84 EUR, pasaríamos a Vender.</w:t>
      </w:r>
    </w:p>
    <w:p>
      <w:pPr>
        <w:pStyle w:val="ListParagraph"/>
        <w:numPr>
          <w:ilvl w:val="0"/>
          <w:numId w:val="2"/>
        </w:numPr>
        <w:spacing w:after="60"/>
      </w:pPr>
      <w:r>
        <w:t xml:space="preserve">Si la guía orgánica de 2027 queda por debajo del 10 %, pasaríamos a Mantener.</w:t>
      </w:r>
    </w:p>
    <w:p>
      <w:pPr>
        <w:pStyle w:val="ListParagraph"/>
        <w:numPr>
          <w:ilvl w:val="0"/>
          <w:numId w:val="2"/>
        </w:numPr>
        <w:spacing w:after="60"/>
      </w:pPr>
      <w:r>
        <w:t xml:space="preserve">Si el ARR crece menos del 10 % a tipo constante, revisaríamos el caso base hacia el bajista.</w:t>
      </w:r>
    </w:p>
    <w:p>
      <w:pPr>
        <w:pStyle w:val="ListParagraph"/>
        <w:numPr>
          <w:ilvl w:val="0"/>
          <w:numId w:val="2"/>
        </w:numPr>
        <w:spacing w:after="60"/>
      </w:pPr>
      <w:r>
        <w:t xml:space="preserve">Si se publica una opción de venta de Thoma Bravo por encima de 2.000 M, revisaríamos el puente.</w:t>
      </w:r>
    </w:p>
    <w:p>
      <w:pPr>
        <w:pStyle w:val="ListParagraph"/>
        <w:numPr>
          <w:ilvl w:val="0"/>
          <w:numId w:val="2"/>
        </w:numPr>
        <w:spacing w:after="60"/>
      </w:pPr>
      <w:r>
        <w:t xml:space="preserve">Si el precio baja de 70,49 EUR sin cambios en el negocio,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8,3 % anual con el margen de hoy (32,4 %): que Nemetschek sigue creciendo, pero sin mejorar márgenes y sin la prima de calidad que tuvo durante la década.</w:t>
      </w:r>
    </w:p>
    <w:p>
      <w:pPr>
        <w:keepNext/>
        <w:spacing w:after="100"/>
      </w:pPr>
      <w:r>
        <w:rPr>
          <w:b/>
          <w:bCs/>
        </w:rPr>
        <w:t xml:space="preserve">Lo que creemos nosotros.</w:t>
      </w:r>
    </w:p>
    <w:p>
      <w:pPr>
        <w:spacing w:after="100"/>
      </w:pPr>
      <w:r>
        <w:t xml:space="preserve">Un crecimiento del 9,5 % anual, el del mercado, y un margen EBITDA que sube al 35,5 % con la escala de la suscripción y HCSS al ≈ 40 %. La diferencia con el precio es pequeña (12,9 % en el DCF).</w:t>
      </w:r>
    </w:p>
    <w:p>
      <w:pPr>
        <w:keepNext/>
        <w:spacing w:after="100"/>
      </w:pPr>
      <w:r>
        <w:rPr>
          <w:b/>
          <w:bCs/>
        </w:rPr>
        <w:t xml:space="preserve">Por qué podemos tener razón.</w:t>
      </w:r>
    </w:p>
    <w:p>
      <w:pPr>
        <w:spacing w:after="100"/>
      </w:pPr>
      <w:r>
        <w:t xml:space="preserve">Porque Build ya gana un 39,8 % de margen y HCSS un ≈ 40 %, y la suscripción sube el margen al madurar [8, 15]. No tenemos una visión distinta de la del consenso en cifras: la diferencia está en el múltiplo, no en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w:t>
      </w:r>
      <w:r>
        <w:t xml:space="preserve">: el 92 % de las ventas, con 466,6 M cobrados por adelantado [1].</w:t>
      </w:r>
    </w:p>
    <w:p>
      <w:pPr>
        <w:pStyle w:val="ListParagraph"/>
        <w:numPr>
          <w:ilvl w:val="0"/>
          <w:numId w:val="2"/>
        </w:numPr>
        <w:spacing w:after="60"/>
      </w:pPr>
      <w:r>
        <w:rPr>
          <w:b/>
        </w:rPr>
        <w:t xml:space="preserve">Crecimiento orgánico del 14-15 %</w:t>
      </w:r>
      <w:r>
        <w:t xml:space="preserve"> confirmado para 2026 y ARR +17,4 % a tipo constante [8].</w:t>
      </w:r>
    </w:p>
    <w:p>
      <w:pPr>
        <w:pStyle w:val="ListParagraph"/>
        <w:numPr>
          <w:ilvl w:val="0"/>
          <w:numId w:val="2"/>
        </w:numPr>
        <w:spacing w:after="60"/>
      </w:pPr>
      <w:r>
        <w:rPr>
          <w:b/>
        </w:rPr>
        <w:t xml:space="preserve">ROIC del 19,2 %</w:t>
      </w:r>
      <w:r>
        <w:t xml:space="preserve">, más del doble del WACC (8,25 %).</w:t>
      </w:r>
    </w:p>
    <w:p>
      <w:pPr>
        <w:pStyle w:val="ListParagraph"/>
        <w:numPr>
          <w:ilvl w:val="0"/>
          <w:numId w:val="2"/>
        </w:numPr>
        <w:spacing w:after="60"/>
      </w:pPr>
      <w:r>
        <w:rPr>
          <w:b/>
        </w:rPr>
        <w:t xml:space="preserve">PER de 31,6 veces</w:t>
      </w:r>
      <w:r>
        <w:t xml:space="preserve">, el mínimo de la década (media de 51,5 veces).</w:t>
      </w:r>
    </w:p>
    <w:p>
      <w:pPr>
        <w:pStyle w:val="ListParagraph"/>
        <w:numPr>
          <w:ilvl w:val="0"/>
          <w:numId w:val="2"/>
        </w:numPr>
        <w:spacing w:after="60"/>
      </w:pPr>
      <w:r>
        <w:rPr>
          <w:b/>
        </w:rPr>
        <w:t xml:space="preserve">HCSS</w:t>
      </w:r>
      <w:r>
        <w:t xml:space="preserve"> añade obra civil de EE. UU. con un margen EBITDA del ≈ 40 % [15].</w:t>
      </w:r>
    </w:p>
    <w:p>
      <w:pPr>
        <w:pStyle w:val="Heading2"/>
      </w:pPr>
      <w:r>
        <w:t xml:space="preserve">En contra</w:t>
      </w:r>
    </w:p>
    <w:p>
      <w:pPr>
        <w:pStyle w:val="ListParagraph"/>
        <w:numPr>
          <w:ilvl w:val="0"/>
          <w:numId w:val="2"/>
        </w:numPr>
        <w:spacing w:after="60"/>
      </w:pPr>
      <w:r>
        <w:rPr>
          <w:b/>
        </w:rPr>
        <w:t xml:space="preserve">Riesgo de la IA</w:t>
      </w:r>
      <w:r>
        <w:t xml:space="preserve"> sobre las licencias de diseño: el bajista vale 40,35 EUR.</w:t>
      </w:r>
    </w:p>
    <w:p>
      <w:pPr>
        <w:pStyle w:val="ListParagraph"/>
        <w:numPr>
          <w:ilvl w:val="0"/>
          <w:numId w:val="2"/>
        </w:numPr>
        <w:spacing w:after="60"/>
      </w:pPr>
      <w:r>
        <w:rPr>
          <w:b/>
        </w:rPr>
        <w:t xml:space="preserve">Thoma Bravo con ≈ 28 % de Build</w:t>
      </w:r>
      <w:r>
        <w:t xml:space="preserve">: 1.900 M de minoritario y derechos no publicados [18].</w:t>
      </w:r>
    </w:p>
    <w:p>
      <w:pPr>
        <w:pStyle w:val="ListParagraph"/>
        <w:numPr>
          <w:ilvl w:val="0"/>
          <w:numId w:val="2"/>
        </w:numPr>
        <w:spacing w:after="60"/>
      </w:pPr>
      <w:r>
        <w:rPr>
          <w:b/>
        </w:rPr>
        <w:t xml:space="preserve">Gobierno</w:t>
      </w:r>
      <w:r>
        <w:t xml:space="preserve">: el 86 % del capital libre votó contra la remuneración y el consejo sube el tope [36, 42].</w:t>
      </w:r>
    </w:p>
    <w:p>
      <w:pPr>
        <w:pStyle w:val="ListParagraph"/>
        <w:numPr>
          <w:ilvl w:val="0"/>
          <w:numId w:val="2"/>
        </w:numPr>
        <w:spacing w:after="60"/>
      </w:pPr>
      <w:r>
        <w:rPr>
          <w:b/>
        </w:rPr>
        <w:t xml:space="preserve">No es barata frente a sus comparables</w:t>
      </w:r>
      <w:r>
        <w:t xml:space="preserve">: 19,2 veces el EBITDA de los próximos 12 meses, la mediana es de 18,2.</w:t>
      </w:r>
    </w:p>
    <w:p>
      <w:pPr>
        <w:pStyle w:val="ListParagraph"/>
        <w:numPr>
          <w:ilvl w:val="0"/>
          <w:numId w:val="2"/>
        </w:numPr>
        <w:spacing w:after="60"/>
      </w:pPr>
      <w:r>
        <w:rPr>
          <w:b/>
        </w:rPr>
        <w:t xml:space="preserve">Media (Maxon) estancado</w:t>
      </w:r>
      <w:r>
        <w:t xml:space="preserve"> en ≈ 121 M de ingresos desde 2023 [1].</w:t>
      </w:r>
    </w:p>
    <w:p>
      <w:pPr>
        <w:pStyle w:val="Heading2"/>
      </w:pPr>
      <w:r>
        <w:t xml:space="preserve">Qué tiene que pasar para que la tesis funcione</w:t>
      </w:r>
    </w:p>
    <w:p>
      <w:pPr>
        <w:spacing w:after="100"/>
      </w:pPr>
      <w:r>
        <w:t xml:space="preserve">La tesis depende de que el crecimiento orgánico se mantenga por encima del 10 % mientras la IA llega al diseño. La señal de que no se cumple sería un ARR por debajo del 10 % a tipo constante o una guía orgánica de 2027 de un dígito, sobre todo si el frenazo viene de Design.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1.249,5 M (+17,4 %,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vería primero aquí.</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Design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reportado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división expuesta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Build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integración de HCSS.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 31 % con HCSS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subida al 35,5 %.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 en la cuenta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 del beneficio de Build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lo que se lleva Thoma Bravo.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 / 19,2x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31,6x / 26,7x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Georg Nemetschek fundó en 1963 en Múnich una ingeniería para la construcción; en 1977 desarrolló su primer programa y en 1984 lanzó Allplan, su primer CAD [19]. En 1997 presentó la plataforma O.P.E.N., antecedente de su apuesta por el BIM abierto [19]. Salió a bolsa en Fráncfort el 10 de marzo de 1999 y desde entonces ha crecido comprando marcas que conservan su identidad: Vectorworks (2000), Graphisoft (2006), Bluebeam (2014), Solibri (2016), Spacewell (2018), GoCanvas (2024) y HCSS (2026), además de Maxon, comprada en 1999 [17, 18, 19]. Hoy es un holding de 12 marcas en cuatro segmentos [17]. La familia fundadora sigue siendo el accionista de referencia [17, 18]. Yves Padrines es consejero delegado desde marzo de 2022 y ha acelerado el paso a suscripción y SaaS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Georg Nemetschek funda en Múnich una ingeniería para la construcción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Allplan 1.0, su primer programa de CAD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en Fráncfort (10 de marzo) y compra Maxon y Auer (hoy Nevaris) [17,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Vectorworks (EE. UU.)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Graphisoft (ArchiCAD) y SCIA pasan a ser filiales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Bluebeam, hoy el núcleo del segmento Build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Solibri y SDS/2; se transforma en sociedad europea (SE)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Spacewell (antes MCS Solutions), base del segmento Manage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Maxon compra Red Giant y Redshift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Yves Padrines, consejero delegado (marzo)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GoCanvas (consolidada desde el 1 de julio), la mayor adquisición hasta entonces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compra de HCSS (1 de julio), la mayor de su historia; Thoma Bravo entra con ~28 % del segmento Build y la deuda neta sube unos 450 M EUR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Nemetschek desarrolla y vende software para todo el ciclo de vida de edificios e infraestructuras (arquitectura, ingeniería, construcción y explotación, AEC/O) y para la creación de contenido 2D y 3D (Media) [17]. Opera con 12 marcas en cuatro segmentos: Design (CAD y CAE en BIM abierto: Allplan, Graphisoft, Vectorworks, Solibri, SCIA, dRofus), Build (Bluebeam, GoCanvas, Nevaris y, desde julio de 2026, HCSS), Manage (Spacewell y Crem Solutions, gestión de inmuebles e instalaciones) y Media (Maxon, con Cinema 4D, Red Giant y Redshift) [17, 18, 19]. Sus clientes son arquitectos, ingenieros, calculistas, constructoras, promotores, gestores de inmuebles, estudios de cine y televisión, agencias y la industria del videojuego [17]. Vende directamente a través de las organizaciones de cada marca y de forma indirecta mediante socios, revendedores y distribuidores, con peso creciente del comercio electrónico [17]. Tiene sede en Múnich y 83 centros en el mundo [17].</w:t>
      </w:r>
    </w:p>
    <w:p>
      <w:pPr>
        <w:pStyle w:val="Heading2"/>
      </w:pPr>
      <w:r>
        <w:t xml:space="preserve">Cómo gana dinero</w:t>
      </w:r>
    </w:p>
    <w:p>
      <w:pPr>
        <w:spacing w:after="100"/>
      </w:pPr>
      <w:r>
        <w:t xml:space="preserve">Cobra sobre todo por uso continuado: en 2025 el 92,2 % de los ingresos fue recurrente (86,5 % en 2024) y las suscripciones y el SaaS supusieron el 72,1 % (57,0 %); las licencias perpetuas cayeron al 4,7 % (10,1 %) y la consultoría y el hardware al 3,1 % [17]. El paso de licencia más mantenimiento a suscripción frena los ingresos del año en que se migra a un cliente y los sube después; Allplan, Graphisoft y Vectorworks eran las marcas que aún estaban migrando a principios de 2025, en parte con contratos plurianuales [17]. El coste es casi todo personal y desarrollo, de modo que cada euro adicional de ingresos tiene un margen alto: el EBITDA fue de 371,1 M EUR en 2025, el 31,2 % de unas ventas de 1.191,2 M EUR [17]. La guía de 2026 para el negocio orgánico es un crecimiento a tipo de cambio constante del 14-15 % y un margen EBITDA del 32-33 %, del que HCSS restará unos 150 puntos básicos [18].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Design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Design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aporta una parte significativa de los ingresos y la base está diversificada por regiones y por tipo de cliente [17]. La compañía no publica tasas de renovación ni de bajas por marca; el indicador más cercano es que los ingresos recurrentes subieron del 86,5 % al 92,2 % del total en 2025 y el ARR creció un 17,4 % a tipo constante hasta 1.249,5 M EUR en el 2T26 [17, 18]. Sobre el poder de precios, la evidencia publicada es indirecta: en la migración a suscripción, Graphisoft y Allplan ofrecieron contratos plurianuales con subidas de precio anuales fijadas de antemano, y la compañía explica que la venta de varias marcas a un mismo cliente eleva el ingreso recurrente por cliente [17]. El propio informe anual describe a los clientes de AEC como conservadores y reacios al riesgo por las exigencias de responsabilidad y calidad, lo que alarga los ciclos de cambio de software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(ingresos recurrentes anualizados,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1.199,2 (2025); 1.249,5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 en 2025; +15,9 % interanual a jun-26 (+17,4 %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GoCanvas desde jul-24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 (2025); 95,1 %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más suscripción y SaaS; 1S26: 609,2 de 640,7 M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y SaaS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 (2025); 514,7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 en 2025 (+55,6 % a tipo constante); +27,5 %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132,0 M en 2021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software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(2025); 13,2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 en 2025; -49,3 %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en ventas: 4,7 % en 2025 frente a 10,1 % en 2024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 (2025); 30,7 %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punto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orgánica: 32-33 %; HCSS resta unos 150 pb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4.061 (2025); 4.268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HCSS añade más de 550 empleados desde jul-26 [1, 8, 16].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diseño y de construcción para la edificación y la infraestructura (AEC) en todo el mundo, que corresponde a los segmentos Design y Build (85 % de los ingresos de 2025) [17]. Se usa como fuente principal Cambashi, que es la que cita la compañía: 9,4 mil M EUR en software de diseño y planificación y 6,6 mil M EUR en software de construcción en 2025 [17]. Como contraste, MarketsandMarkets estima el mercado mundial de BIM en 9,03 mil M USD en 2025, con un perímetro más estrecho (solo herramientas BIM) [28]. Quedan fuera la gestión de inmuebles (8,6 mil M EUR según Verdantix) y el software de medios y entretenimiento (5,3 mil M EUR según Cambashi), que son mercados distintos para Manage y Media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16.000 M EUR en 2025 (diseño 9.400 M y construcción 6.600 M EUR, Cambashi) [17]; MarketsandMarkets da 9.030 M USD solo para BIM en 2025 y 15.420 M USD en 2030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iseño + construcción, Cambashi; 2026e-2028e interpolados por estimación propia con la TCAC 2025-2029 de Cambash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BIM obligatorio en la obra pública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exige BIM en contratos estatales de 5,382 M EUR o más desde el 1 de abril de 2024, con niveles crecientes hasta 2030 [32]; Alemania prevé BIM como proceso estándar en las carreteras federales desde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obra, la fase menos digitalizada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Cambashi prevé que el software de construcción crezca un 11,4 % anual en 2025-2029, frente al 8,6 % del de diseño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mano de obra en la construcción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compañía la cita como motor a largo plazo que obliga a ganar eficiencia con software y IA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suscripción y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Nemetschek, la suscripción y el SaaS pasaron del 57,0 % al 72,1 % de los ingresos en un año [17]; en Dassault, los ingresos por suscripción crecieron un 11 %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 de construcción y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siguió creciendo en 2023 (+6,2 %, a 851,6 M EUR) con la edificación a la baja; vigila Euroconstruct y el índice de confianza de la construcción [17,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generativa en diseño y documentación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índice STOXX Europe de software y servicios informáticos cayó un 25,6 % en el 1S26 y la acción de Nemetschek un 41,2 % por la duda sobre el efecto de la IA en el software establecido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con márgenes EBIT altos y estables (Autodesk 21,9 %, Bentley 24,1 %, Dassault 21,7 %, Nemetschek 25,0 % en 2025) [17, 20, 21, 25], pero se disputan la nube y la obra, donde Procore aún pierde dinero (−9,4 %)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(estudios y constructoras) y sin un cliente relevante en Nemetschek [17]; el cambio de software implica migrar modelos y formar equipos.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personal técnico; el resto son infraestructura en la nube e IT, con varias alternativas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altas por la complejidad y la integración en los flujos de trabajo [17], pero la IA abarata el desarrollo y atrae a nuevas empresas: Nemetschek compró Firmus AI en 2025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compañía identifica a la IA generativa como factor que intensifica la competencia [17]; el mercado ya lo descuenta con caídas del 25,6 % en el software europeo en el 1S26 [18].</w:t>
            </w:r>
          </w:p>
        </w:tc>
      </w:tr>
    </w:tbl>
    <w:p>
      <w:pPr>
        <w:spacing w:after="160" w:before="0"/>
      </w:pPr>
    </w:p>
    <w:p>
      <w:pPr>
        <w:pStyle w:val="Heading2"/>
      </w:pPr>
      <w:r>
        <w:t xml:space="preserve">Ciclo</w:t>
      </w:r>
    </w:p>
    <w:p>
      <w:pPr>
        <w:spacing w:after="100"/>
      </w:pPr>
      <w:r>
        <w:t xml:space="preserve">El software AEC depende del gasto en construcción con retraso y amortiguado por la recurrencia. En 2022 y 2023, con subidas de tipos y caída de la edificación, Nemetschek creció un 17,6 % y un 6,2 % [17, 29]. En 2025 el crecimiento fue del 19,6 % (con GoCanvas todo el año) y la guía orgánica para 2026 es del 14-15 % a tipo constante [17, 18]. Hexagon señala un 2025 plano en ventas (5.425 M EUR frente a 5.401 M) y Dassault un +0,4 % en euros [25, 26]: el ciclo industrial está frío mientras el software de construcción sigue creciendo.</w:t>
      </w:r>
    </w:p>
    <w:p>
      <w:pPr>
        <w:pStyle w:val="Heading2"/>
      </w:pPr>
      <w:r>
        <w:t xml:space="preserve">Regulación</w:t>
      </w:r>
    </w:p>
    <w:p>
      <w:pPr>
        <w:spacing w:after="100"/>
      </w:pPr>
      <w:r>
        <w:t xml:space="preserve">La Directiva 2014/24/UE de contratación pública (art. 22.4) permite a los Estados exigir herramientas de modelado de información de edificios en obras y concursos de proyectos; debía estar transpuesta el 18 de abril de 2016 [31]. España aprobó el 27 de junio de 2023 el Plan BIM de la Administración General del Estado: desde el 1 de abril de 2024 los contratos de 5,382 M EUR o más exigen BIM de nivel inicial, que sube a medio en octubre de 2025, avanzado en octubre de 2027 e integrado en abril de 2030 [32]. En Alemania, el plan maestro de BIM para carreteras federales prevé BIM como proceso estándar desde 2026 [33]. Nemetschek cita a Reino Unido, los países nórdicos, EE. UU. y parte de Asia como pioneros [17]. Ninguna de sus actividades fue conforme con la taxonomía europea en 2025 [17].</w:t>
      </w:r>
    </w:p>
    <w:p>
      <w:pPr>
        <w:pStyle w:val="Heading2"/>
      </w:pPr>
      <w:r>
        <w:t xml:space="preserve">Tendencias y disrupción</w:t>
      </w:r>
    </w:p>
    <w:p>
      <w:pPr>
        <w:spacing w:after="100"/>
      </w:pPr>
      <w:r>
        <w:t xml:space="preserve">La IA es el gran debate. Nemetschek se define como proveedor vertical de IA: integra un asistente de chat y un visualizador por texto en sus programas de diseño, compró Firmus AI (análisis de riesgos en planos) en 2025 y lanzó Bluebeam Max en 2026 [17, 18]. Su argumento es que la IA amplía el mercado hacia el gasto en mano de obra y favorece a quien tiene los datos y el flujo de trabajo [17]. El mercado duda: la acción cayó un 41,2 % en el 1S26 [18]. Además, el sector se reordena: Hexagon separa su software de ingeniería y obra (Octave) para cotizarlo en EE. UU. en 2026 [26] y Nemetschek compró HCSS con Thoma Bravo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software de diseño y construcción AEC junto a Autodesk y Bentley; cuota estimada del 6,3 % del mercado de diseño y construcción de Cambashi (estimación propia: 85 % de 1.191,2 M EUR sobre 16.000 M EUR) [17]. En Media (Maxon), estimación propia de ~2 % de un mercado de 5,3 mil M EUR (10 % de los ingresos del grupo)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CAD y BIM (Revit, AutoCAD) y en construcción (Autodesk Construction Cloud). Ejercicio a enero de 2026: 7.206 M USD (+17,5 %) y EBIT de 1.578 M USD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infraestructura (carreteras, energía, agua). 2025: 1.501,8 M USD (+11,0 %) y EBIT de 362,6 M USD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Trimble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y hardware de posicionamiento para obra (Tekla, Viewpoint). 2025: 3.587,3 M USD (−2,6 %, con desinversiones) y EBIT de 592,0 M USD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diseño industrial (CATIA, SolidWorks); en AEC compite poco. 2025: 6.235,8 M EUR (+0,4 %) y EBIT NIIF de 1.354,3 M 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Medición y software industrial; su software de ingeniería y obra (Octave, 1.408 M EUR de ventas) se separa en 2026. 2025: 5.424,6 M EUR y EBIT de 924,4 M EUR (27,2 % ajustado)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 y gestión del ciclo de vida para manufactura (Creo, Windchill); referencia de márgenes más que rival directo. Ejercicio a septiembre de 2025: 2.739,2 M USD (+19,2 %) y EBIT de 982,4 M USD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Procore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PCOR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 de obra en la nube, rival directo de Bluebeam y GoCanvas en Build. 2025: 1.322,5 M USD (+14,8 %) y pérdida de explotación de 124,3 M USD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Bluebeam conecta a los equipos de obra en tiempo real y la estrategia de BIM abierto favorece la interoperabilidad, pero no hay datos de uso que prueben un efecto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92,2 % de ingresos recurrentes en 2025; flujos de trabajo integrados y clientes conservadores por responsabilidad y calidad, según la propia compañía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con décadas de base instalada (Allplan desde 1984, Graphisoft, Vectorworks, Bluebeam) [1, 3]; sin patentes relevantes publicadas.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25,0 % en 2025, por encima de Autodesk (21,9 %) y Dassault (21,7 %) y similar a Bentley (24,1 %), pero con una escala cinco veces menor que Autodesk [1, 4, 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verticales (cálculo estructural, prefabricados, gestión de obra civil) con pocos rivales; cuota estimada del 6,3 % del mercado de diseño y construcción [1].</w:t>
            </w:r>
          </w:p>
        </w:tc>
      </w:tr>
    </w:tbl>
    <w:p>
      <w:pPr>
        <w:spacing w:after="160" w:before="0"/>
      </w:pPr>
    </w:p>
    <w:p>
      <w:pPr>
        <w:pStyle w:val="Heading2"/>
      </w:pPr>
      <w:r>
        <w:t xml:space="preserve">Amenazas</w:t>
      </w:r>
    </w:p>
    <w:p>
      <w:pPr>
        <w:spacing w:after="100"/>
      </w:pPr>
      <w:r>
        <w:t xml:space="preserve">La principal es que la IA generativa abarate el software de diseño y documentación y permita entrar a nuevos rivales: la compañía lo reconoce como factor que intensifica la competencia [17] y el mercado lo castigó con una caída de la acción del 41,2 % en el 1S26 [18]. La segunda es Autodesk, cinco veces más grande y que crece al 17,5 % [20], con una plataforma de construcción que compite con Bluebeam, igual que Procore [24]. La tercera es la reorganización del sector: Octave, separada de Hexagon, será un rival cotizado y centrado en ingeniería y obra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2016-2025: ingresos </w:t>
      </w:r>
      <w:r>
        <w:rPr>
          <w:b/>
          <w:bCs/>
        </w:rPr>
        <w:t xml:space="preserve">15,1 %</w:t>
      </w:r>
      <w:r>
        <w:t xml:space="preserve">, EBITDA </w:t>
      </w:r>
      <w:r>
        <w:rPr>
          <w:b/>
          <w:bCs/>
        </w:rPr>
        <w:t xml:space="preserve">17,3 %</w:t>
      </w:r>
      <w:r>
        <w:t xml:space="preserve">, BPA </w:t>
      </w:r>
      <w:r>
        <w:rPr>
          <w:b/>
          <w:bCs/>
        </w:rPr>
        <w:t xml:space="preserve">18,4 %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337,3 M en 2016 a 1.191,2 M en 2025, con compras casi cada año (entre 40 y 138 M anuales en 2016-2021, Pixologic en 2021 y GoCanvas en julio de 2024) [1, 2, 3, 4, 5, 6, 7]. En 2025 el crecimiento fue del 19,7 % (22,6 % a tipo constante), con GoCanvas sin base comparable el primer semestre [1]. El margen EBITDA osciló entre el 26 % y el 33 %: 32,6 % en 2021, 30,2-30,3 % en 2023-2024 por la transición a suscripción y GoCanvas, y 31,2 % en 2025 [1]. El margen EBIT sufre la amortización de PPA, que subió de 11,1 M (2016) a 42,9 M (2025) [1, 7]. 2019 no es comparable por la plusvalía de 29,9 M de DocuWare fuera del EBITDA [5], y 2024 por la entrada de GoCanvas a mitad de año [2]. En el 1S26 las ventas crecieron un 11,9 % (15,7 % a tipo constante) y el margen EBITDA fue del 30,7 % [8].</w:t>
      </w:r>
    </w:p>
    <w:p>
      <w:pPr>
        <w:pStyle w:val="Heading2"/>
      </w:pPr>
      <w:r>
        <w:t xml:space="preserve">Ajustes y partidas no recurrentes</w:t>
      </w:r>
    </w:p>
    <w:p>
      <w:pPr>
        <w:spacing w:after="100"/>
      </w:pPr>
      <w:r>
        <w:t xml:space="preserve">Las cifras son las reportadas. La empresa publica además un beneficio neto antes de la amortización de PPA (248,2 M y 2,15 EUR por acción en 2025, frente a 217,2 M y 1,88 EUR reportados) [1]. No hay partidas no recurrentes dentro del EBITDA en las cuentas anuales; en el 1S26 la empresa cita costes de compra de HCSS de «un dígito bajo» de millones y un efecto cambiario extraordinario de «un dígito alto» de millones, sin importe exacto, y da un margen ajustado del 31,5 % [8]. En 2019 el resultado financiero incluye la plusvalía de DocuWare (29,9 M) [5]. Los gastos de compra (3,8 M por GoCanvas en 2024) van a otros gastos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1S26 (30-jul-2026) la dirección repitió los tres mensajes de marzo: el crecimiento orgánico sigue entre el 14 % y el 15 % a tipo constante, el negocio de suscripción y SaaS sigue tirando (ARR de 1.249,5 M, +17,4 % a tipo constante) y la IA es una oportunidad, con Bluebeam Max ya disponible en todos los canales [8, 18]. Lo nuevo fue HCSS: la mayor compra de su historia, cerrada el 1-jul, que añade ≈ 600 puntos básicos al crecimiento de 2026 y resta ≈ 150 al margen por la asignación del precio de compra, los costes de integración y un plan de pagos en acciones propio de Build [18, 52]. El margen EBITDA del 2T26 (30,1 %) quedó por debajo del 32-33 % de la guía por un efecto cambiario extraordinario «de un dígito alto» de millones en Design y por costes de la compra; la acción cayó un 13,7 % ese día [8, 58]. La empresa no publica el precio de HCSS ni el reparto de derechos con Thoma Bravo dentro de Build (gobierno, salida, opciones de venta), lo que más importa para valorar al minoritario [15, 18]. El flujo operativo del 1S26 bajó un 12,2 % por más impuestos pagados [8]. No hay transcripciones gratuitas de la conferencia.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GoCanvas consolidada desde el 1-jul-24 (Build): entra en balance completo y en la cuenta solo medio año; precio 665,3 M en caja más 67,4 M de deuda cancelada [2].; 2019: el activo total crece un 48 % y los ingresos un 21 %).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compra de GoCanvas llevó la deuda financiera de 6,9 M (2023) a 500,4 M (2024) y la deuda neta a 294,6 M; en 2025 bajó a 359,5 M de deuda y 107,5 M de deuda neta gracias a 402,9 M de flujo operativo [1, 2]. A jun-26 la deuda era de 504,8 M y la caja de 392,1 M, antes de pagar HCSS el 1-jul-26 (+~450 M de deuda neta) [8]. El circulante es estructuralmente negativo: ingresos diferidos de 466,6 M frente a clientes de 153,4 M a dic-25 [1]. Los activos son sobre todo fondo de comercio (1.065,0 M) e intangibles (361,9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1.698</w:t>
      </w:r>
      <w:r>
        <w:t xml:space="preserve">, conversión </w:t>
      </w:r>
      <w:r>
        <w:rPr>
          <w:b/>
          <w:bCs/>
        </w:rPr>
        <w:t xml:space="preserve">133 %</w:t>
      </w:r>
      <w:r>
        <w:t xml:space="preserve"> del beneficio neto; adquisiciones 1.339, dividendos 387, recompras 11.</w:t>
      </w:r>
    </w:p>
    <w:p>
      <w:pPr>
        <w:spacing w:after="100"/>
      </w:pPr>
      <w:r>
        <w:t xml:space="preserve">El flujo operativo supera al EBITDA menos impuestos casi todos los años porque el circulante libera caja con el cobro anticipado de suscripciones: 402,9 M en 2025 frente a un EBITDA de 371,1 M [1]. El capex es mínimo (13,7 M, 1,2 % de ventas) y no se separa entre mantenimiento y crecimiento; casi todo el capex es de oficinas y equipos [1]. Los arrendamientos (18,9 M) e intereses (19,4 M) pesan más que el capex desde 2024 [1]. El uso principal de la caja son las compras (693,8 M en 2024) y el dividendo (63,5 M en 2025) [1, 2]. En el 1S26 el flujo operativo bajó un 12,2 % por mayores impuestos pagados (54,2 M frente a 34,2 M) [8].</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desde 2022 (antes EY) y la opinión de 2025 es favorable [1, 14]. No se activa desarrollo de forma relevante (capex de 13,7 M); la remuneración en acciones (SAR y LTIP) es pequeña en relación con el beneficio [1]. Las partidas a vigilar son el peso del fondo de comercio (50 % del activo), la amortización de PPA creciente y los nuevos contratos plurianuales, que generan activos de contrato (29,6 M) y costes de obtener contratos activados (44,7 M) [1]. El deterioro de cuentas a cobrar subió a 15,1 M en 2025 [1]. Desde 2024 los segmentos se presentan por grupo de producto y 2023 no se reexpresó por ese cambio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fondo de comercio e intangibles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1.065,0 M e intangibles de 361,9 M: 67 % del activo a dic-25; sin deterioros de fondo de comercio en el periodo revisado; HCSS lo elevará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PPA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11,1 M (2016) a 42,9 M (2025); la empresa destaca un beneficio antes de PPA (2,15 frente a 1,88 EUR por acción en 2025)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costes de contrato y activos de contrato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obtener contratos de 44,7 M (17,9 M en 2024) y activos de contrato de 29,6 M (0,4 M) por contratos plurianuales de migración a suscripción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cuentas a cobrar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de 15,1 M en 2025 frente a 4,6 M en 2024 y 0,8 M en 2023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auditó hasta 2021; PwC desde 2022 [1, 14].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17,9 % · </w:t>
      </w:r>
      <w:r>
        <w:rPr>
          <w:b/>
          <w:bCs/>
        </w:rPr>
        <w:t xml:space="preserve">WACC</w:t>
      </w:r>
      <w:r>
        <w:t xml:space="preserve">: 8,3 %.</w:t>
      </w:r>
    </w:p>
    <w:p>
      <w:pPr>
        <w:spacing w:after="100"/>
      </w:pPr>
      <w:r>
        <w:rPr>
          <w:b/>
        </w:rPr>
        <w:t xml:space="preserve">Nemetschek crea valor con holgura, aunque menos que antes de comprar crecimiento.</w:t>
      </w:r>
      <w:r>
        <w:t xml:space="preserve"> El ROIC después de impuestos fue del 26-36 % en 2016-2023 y bajó al 19,3 % y al 19,2 % en 2024-2025, todavía más del doble del WACC del 8,25 %. La caída la explica el capital, no el margen: GoCanvas (732,7 M en 2024) duplicó el fondo de comercio hasta 1.135 M, mientras el margen EBIT subía del 23,4 % al 25,0 % [1, 2]. El ROIC incremental de la década es del 17,9 %: lo comprado rinde el doble de su coste, pero la mitad que el negocio orgánico. HCSS (más de 2.000 M) volverá a bajarlo en 2026-2027 [68]. El negocio apenas necesita capital: los clientes pagan por adelantado (466,6 M de ingresos diferidos) y el circulante es del −28,5 % de las ventas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252,0 M a dic-25 y 392,1 M a jun-26; líneas comprometidas sin disponer de 447,4 M a dic-25 (préstamo sindicado de hasta 500 M, dispuesto en 59,9 M) [1,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sindicado de hasta 500 M exige cumplir covenants financieros, cumplidos a dic-25; no se publican los umbrales [1]. Pensiones casi nulas (2,8 M) [1]. Provisiones corrientes de 48,1 M y a largo plazo de 14,0 M; gastos devengados de 60,7 M [1]. Pagos aplazados y contingentes de compras: parte del precio de Firmus AI en otros pasivos financieros (4,3 M no corrientes) y hasta 2,7 M por Morpholio (1,7 M de valor razonable) [1, 8]. Minoritarios de 36,4 M en patrimonio; desde el 1-jul-26 Thoma Bravo tiene ~28 % del segmento Build, que la empresa controla y consolida al 100 % [1, 16]. HCSS añade unos 450 M de deuda neta tras refinanciar su deuda [8]. Sin rating [5]. Vida media de la deuda estimada en 2,4 años (estimación propia a partir de los tramos del Schuldschein y del RCF) [1].</w:t>
      </w:r>
    </w:p>
    <w:p>
      <w:pPr>
        <w:pStyle w:val="Heading1"/>
      </w:pPr>
      <w:r>
        <w:t xml:space="preserve">12. Asignación de capital</w:t>
      </w:r>
    </w:p>
    <w:p>
      <w:pPr>
        <w:pStyle w:val="Confianza"/>
        <w:spacing w:after="100"/>
      </w:pPr>
      <w:r>
        <w:t xml:space="preserve">Confianza: Media</w:t>
      </w:r>
    </w:p>
    <w:p>
      <w:pPr>
        <w:spacing w:after="100"/>
      </w:pPr>
      <w:r>
        <w:t xml:space="preserve">La política de dividendo apunta a repartir en torno al 25 % del flujo operativo [5]. El dividendo ha subido trece años seguidos, hasta 0,68 EUR por acción por 2025 (78,5 M, +24 %) [1, 8]. No hay programa de recompra general: la de 2025 (11,1 M) fue para servir un plan de remuneración [1]. La dirección prioriza crecimiento orgánico, IA y compras; HCSS se estructuró con un minoritario del 28 % en Build para no ampliar capital y preservar flexibilidad financiera para más compras [1,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HCSS (Heavy Construction Systems Specialists, EE. UU.; software de obra civil e infraestructura, ventas 2025 ~215 M USD, margen EBITDA ~40 %)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 recibe ~28 % del segmento Build; Nemetschek refinancia toda la deuda de HCSS (+~450 M de deuda neta). Firmada el 13-abr-26, cerrada y consolidada desde el 1-jul-26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PPA pendiente. La empresa no publica el precio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ComputerWorks (Suiza y Alemania), Graphisoft Australia/Nueva Zelanda y Morpholio (Design)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(55,9 + 15,4 + 14,0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distribuidores de Vectorworks y Graphisoft</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Firmus AI (EE. UU., IA para revisión de planos, Build)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parte aplazada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Reciente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 Holdings (EE. UU., SaaS de obra, ARR 67 M USD)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Schuldschein de 300 M y préstamo sindicado de hasta 500 M; 665,3 M en caja más 67,4 M de deuda cancelada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Build +41 % en 2025 y margen del 35,8 %; deuda bajada de 500,4 a 359,5 M en 2025;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Pixologic (ZBrush, para Maxon, Media)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creció de 70,5 M (2021) a 104,7 M (2022) y luego se estancó en ~121 M en 2024-2025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Giant (Maxon)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los minoritarios del balance suben de 0,1 a 13,4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Media y Manage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Redshift (Maxon)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de adquisición (130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 sigue con margen EBITDA del 12 % en 2025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Varias filiales y 27,0 M por minoritarios de Maxon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Préstamos de adquisición (86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Maxon pasó a filial casi íntegra</w:t>
            </w:r>
          </w:p>
        </w:tc>
      </w:tr>
    </w:tbl>
    <w:p>
      <w:pPr>
        <w:spacing w:after="160" w:before="0"/>
      </w:pPr>
    </w:p>
    <w:p>
      <w:pPr>
        <w:spacing w:after="100"/>
      </w:pPr>
      <w:r>
        <w:t xml:space="preserve">La dirección asigna bien el capital orgánico y paga caro el inorgánico. En la década generó 1.698 M de flujo libre y gastó 1.339 M en compras, 387 M en dividendos y solo 11 M en recompras [1, 2, 3, 4, 5, 6, 7]. GoCanvas (732,7 M) salió bien: Build creció un 41,3 % en 2025 con un margen del 35,8 % y la deuda de la compra bajó de 500,4 a 359,5 M en un año [1]. Pixologic y Red Giant, en Media, no: Maxon está estancado en ≈ 121 M de ingresos desde 2023 [1]. HCSS es la apuesta grande: más de 2.000 M, ≈ 20 veces el EBITDA, pagada sobre todo con el 28 % de Build para no ampliar capital [15, 68]. Es caro para la empresa, porque cede parte de su mejor división a un fondo de capital riesgo cuyo horizonte de salida no se conoce.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Padrines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(Vorstandsvorsitzender,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el consejo de dirección desde el 1 de marzo de 2022 [35]. Con él las ventas han pasado de 801,8 M EUR en 2022 a 1.191,2 M EUR en 2025 y el margen EBITDA del 32,0 % al 31,2 %, tras la compra de GoCanvas (2024) y el paso a suscripción y SaaS [1, 4]. En julio de 2026 cerró la mayor compra de la historia del grupo, HCSS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Öfverström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miembro del consejo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 de enero de 2023; responde de finanzas, impuestos, control y riesgos, tesorería, TI, seguridad de la información, compras, auditoría interna y jurídico y cumplimiento [1]. Su remuneración devengada en 2025 fue de 3,50 M EUR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Usman Shuja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Division Officer Build &amp; Construct y CEO de Bluebeam; miembro del consejo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grupo en 2023 como responsable de la división Build y CEO de Bluebeam, la mayor marca del grupo; consejero de dirección desde el 1 de enero de 2025 [1, 37]. Build fue el principal motor de crecimiento en 2025 y en el 1S26 [1,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Kurt Dobitsch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 (Aufsichtsrat)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desde 1998 y presidente; mandato hasta 2027 [34]. El consejo lo sigue considerando independiente pese a llevar más de doce años [34]. Recibe el mayor voto en contra de la aprobación de gestión entre los consejeros: 12,14 % en 2024, 11,94 % en 2025 y 10,51 % en 2026 [36, 39, 40]. Compró 1.500 acciones el 30-jul-2026 [47].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a tipo de cambio constante de un dígito alto y margen EBITDA del 27 % al 29 % (marzo de 2021)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681,5 M EUR (+14,2 % nominal sobre 596,9 M EUR) y margen EBITDA del 32,6 % [4,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12 % al 14 %, recurrentes creciendo más que las ventas y margen EBITDA del 32 % al 33 %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801,8 M EUR (+12,1 % a tipo constante), recurrentes +21,7 % y margen EBITDA del 32,0 %: dentro de la horquilla, en su parte baja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4 % al 6 % (elevado al 6-8 % en octubre), ARR &gt; 25 %, recurrentes &gt; 75 % y margen EBITDA del 28 % al 30 %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851,6 M EUR (+8,0 % a tipo constante), ARR +26,7 %, recurrentes 76,6 % y margen EBITDA del 30,3 %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10 % al 11 %, ARR ~25 % y margen EBITDA del 30 % al 31 %; con GoCanvas (julio): 13-14 %, ARR &gt; 30 % y margen del 29 % al 30 %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995,6 M EUR (+17,2 % a tipo constante; +14,0 % sin GoCanvas), ARR +41,6 % y EBITDA de 301,0 M EUR (margen del 30,2 %; 31,1 % sin GoCanvas)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17 % al 19 % con GoCanvas (elevado al 20-22 % en julio) y margen EBITDA en torno al 31 %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1.191,2 M EUR (+22,6 % a tipo constante), EBITDA de 371,1 M EUR y margen del 31,2 %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a tipo constante del 14 % al 15 % y margen EBITDA del 32 % al 33 % (marzo); en julio, HCSS añade ~600 pb de crecimiento y resta ~150 pb de margen [1,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ventas de 640,7 M EUR (+15,7 % a tipo constante) y margen EBITDA del 30,7 % (31,5 % sin costes de la compra); la guía orgánica se confirmó en julio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cumple lo que promete: la guía anual se cumplió o superó de 2021 a 2025 y la de 2026 se confirmó en julio [1, 8]. Padrines (consejero delegado desde 2022) y Öfverström (directora financiera desde 2023) han llevado el paso a la suscripción y las dos mayores compras de la historia, GoCanvas y HCSS. El problema es el precio: 17,42 M EUR para el consejero delegado en 2025, 151 veces el coste medio por empleado, con un sistema nuevo que sube su tope de 9,5 a 14,5 M EUR [35, 42]. No constan sus participaciones en el capital. Dobitsch preside el consejo de supervisión desde 1998.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Kurt Dobitsch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(Aufsichtsrat);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Gernot Strube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Iris M. Helke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supervisión; mandato hasta 2029</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Krouch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Schöneweis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Andreas Söffing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Padrines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consejo de dirección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Öfverström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Usman Shuja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Division Officer Build &amp; Construct y CEO de Bluebeam;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dirección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Georg Nemetschek (vía N-Integral GmbH, GVN Familienstiftung y Nemetschek-Stiftung, en pacto de voto)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45,07 % de los votos el 02-jul-2026, frente al 46,13 % del aviso anterior [43]. A 31-dic-2025: 2,4 % directo, 38,9 % fundaciones y 4,0 % Nemetschek Stiftung [1]. A 31-dic-2024 la familia tenía ~50,9 %, con un 5,4 % de los hijos que ya no figura en 2025 [1, 2]. En julio de 2026 traspasó acciones a la GVN Familienstiftung (25,66 %), unida por pacto con N-Integral [43,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4,56 % de los votos más 0,42 % en instrumentos (4,98 % en total) el 07-sep-2026, frente al 5,22 % anterior; muchos avisos de subida y bajada del 5 % en 2025-2026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Amundi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3 % el 17-mar-2026 (desde el 3,07 %)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9.206 acciones sin voto a 31-dic-2025 y en la convocatoria de la junta de 2026 [1,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 (Streubesitz)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54,7 % a 31-dic-2025, frente al 49,1 % a 31-dic-2024 [1,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Kurt Dobitsch (presidente del consejo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Christine Schöneweis (consejera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sistema 2022 tiene tres variables: un STIP anual en efectivo (ventas, EBITDA ajustado, EBITA, EBT o BPA, más objetivos ESG; tope del 150 %), un LTIP a tres años ligado al aumento del EBITA ajustado o del BPA (tope de 3 M EUR para el CEO) y SAR virtuales ligados a la cotización (tope de 6,5 M EUR al año para el CEO) [35]. Ninguna métrica mide la rentabilidad del capital, el flujo de caja ni el retorno al accionista relativo [35]. En 2025 el CEO devengó 17,42 M EUR, de los que 15,89 M EUR fueron SAR de 2022-2023 [35]. El informe de remuneración se aprobó con solo el 63,40 % (2024), el 61,68 % (2025) y el 65,22 % (2026) [36, 39, 40, 41]. El sistema 2026+, aprobado con el 65,12 %, eleva el tope total del CEO de 9,5 a 14,5 M EUR y el del LTIP de 3 a 4 M EUR [36, 42]. Hay recuperación (</w:t>
      </w:r>
      <w:r>
        <w:rPr>
          <w:i/>
        </w:rPr>
        <w:t xml:space="preserve">clawback</w:t>
      </w:r>
      <w:r>
        <w:t xml:space="preserve">) por resultados y por cumplimiento; la indemnización se limita a un año de remuneración [35].</w:t>
      </w:r>
    </w:p>
    <w:p>
      <w:pPr>
        <w:pStyle w:val="Heading2"/>
      </w:pPr>
      <w:r>
        <w:t xml:space="preserve">Operaciones vinculadas, estructura de control y defensas</w:t>
      </w:r>
    </w:p>
    <w:p>
      <w:pPr>
        <w:spacing w:after="100"/>
      </w:pPr>
      <w:r>
        <w:t xml:space="preserve">Nemetschek tiene un accionista de control: el fundador, Prof. Georg Nemetschek (nacido en 1934), controla el 45,07 % de los votos a través de N-Integral GmbH y de la GVN Familienstiftung, unidas por un pacto de voto [43]. Es la «parte controladora última» del grupo [1], y la sociedad elabora cada año un informe de dependencia (Abhängigkeitsbericht) revisado por el auditor [37]. El 27-jul-2026 la fundación declaró su intención de influir en el nombramiento de los órganos de administración y dirección, junto con el resto de los votos del fundador [44]. Con una asistencia del 77-89 % del capital, ese 45 % basta para ganar cualquier votación ordinaria [36, 39, 40]. Cada acción da un voto y no hay acciones con derechos especiales [1, 34]. Las operaciones vinculadas son pequeñas: 1,66 M EUR de alquileres a Concentra (gestionada por un familiar) y un contrato de asesoría con el despacho del consejero Söffing (0,09 M EUR en 2025) [1, 37].</w:t>
      </w:r>
    </w:p>
    <w:p>
      <w:pPr>
        <w:pStyle w:val="Heading2"/>
      </w:pPr>
      <w:r>
        <w:t xml:space="preserve">Señales de alerta</w:t>
      </w:r>
    </w:p>
    <w:p>
      <w:pPr>
        <w:pStyle w:val="ListParagraph"/>
        <w:numPr>
          <w:ilvl w:val="0"/>
          <w:numId w:val="2"/>
        </w:numPr>
        <w:spacing w:after="60"/>
      </w:pPr>
      <w:r>
        <w:t xml:space="preserve">Rechazo sostenido de la remuneración: el informe de remuneración obtuvo solo el 63,40 % (2024), el 61,68 % (2025) y el 65,22 % (2026), y el nuevo sistema el 65,12 % [36, 39, 40, 42]. Descontado el voto familiar, entre el 80 % y el 86 % del capital libre presente votó en contra (estimación propia).</w:t>
      </w:r>
    </w:p>
    <w:p>
      <w:pPr>
        <w:pStyle w:val="ListParagraph"/>
        <w:numPr>
          <w:ilvl w:val="0"/>
          <w:numId w:val="2"/>
        </w:numPr>
        <w:spacing w:after="60"/>
      </w:pPr>
      <w:r>
        <w:t xml:space="preserve">Remuneración del CEO de 17,42 M EUR en 2025, unas 151 veces el coste medio por empleado (estimación propia), por SAR ejercidos [1, 35]. El sistema 2026+ sube el tope a 14,5 M EUR [42].</w:t>
      </w:r>
    </w:p>
    <w:p>
      <w:pPr>
        <w:pStyle w:val="ListParagraph"/>
        <w:numPr>
          <w:ilvl w:val="0"/>
          <w:numId w:val="2"/>
        </w:numPr>
        <w:spacing w:after="60"/>
      </w:pPr>
      <w:r>
        <w:t xml:space="preserve">El presidente del consejo de supervisión, Kurt Dobitsch, lleva desde 1998 (28 años) y recibe un 10-12 % de votos en contra en su aprobación de gestión, frente al ~3 % del resto [34, 36, 39, 40].</w:t>
      </w:r>
    </w:p>
    <w:p>
      <w:pPr>
        <w:pStyle w:val="ListParagraph"/>
        <w:numPr>
          <w:ilvl w:val="0"/>
          <w:numId w:val="2"/>
        </w:numPr>
        <w:spacing w:after="60"/>
      </w:pPr>
      <w:r>
        <w:t xml:space="preserve">No hay comisión de nombramientos ni de remuneraciones, el reglamento del consejo de supervisión no se publica y la compañía se aparta de ocho recomendaciones del código alemán (DCGK), entre ellas el límite de edad y el pago del variable en acciones [34, 51].</w:t>
      </w:r>
    </w:p>
    <w:p>
      <w:pPr>
        <w:pStyle w:val="ListParagraph"/>
        <w:numPr>
          <w:ilvl w:val="0"/>
          <w:numId w:val="2"/>
        </w:numPr>
        <w:spacing w:after="60"/>
      </w:pPr>
      <w:r>
        <w:t xml:space="preserve">Cambio en la estructura de control: el fundador traspasó acciones a la GVN Familienstiftung en julio de 2026 y la fundación anuncia que quiere influir en los nombramientos [43,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30-jul-2026, con el informe del primer semestre, el consejo confirmó la guía orgánica de 2026 (sin HCSS): crecimiento de ingresos a tipo de cambio constante del 14-15 % y margen EBITDA del 32-33 %; sin los gastos únicos de adquisiciones, el margen estaría en la parte alta del rango [18, 52]. Por la consolidación de HCSS desde el 1-jul-2026, añade unos 600 puntos básicos de crecimiento a tipo constante (con los efectos de la asignación del precio de compra) y prevé una dilución del margen EBITDA de unos 150 puntos básicos sobre el punto medio del 32-33 %, por esa asignación, los costes de integración y un nuevo plan de pagos en acciones en el segmento Build [18, 52]. La asignación del precio de compra reducirá los ingresos de HCSS del 2S26 en una cifra entre 25 y 30 M EUR, con el mismo efecto en el EBITDA [52]. La ampliación de la guía se publicó como información privilegiada el 28-jul-2026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(18 analistas)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(18 analistas)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9-oct-2026 (18 analistas) [55]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52,00 – 115,00</w:t>
            </w:r>
          </w:p>
        </w:tc>
      </w:tr>
    </w:tbl>
    <w:p>
      <w:pPr>
        <w:spacing w:after="160" w:before="0"/>
      </w:pPr>
    </w:p>
    <w:p>
      <w:pPr>
        <w:pStyle w:val="Heading2"/>
      </w:pPr>
      <w:r>
        <w:t xml:space="preserve">Revisiones de estimaciones</w:t>
      </w:r>
    </w:p>
    <w:p>
      <w:pPr>
        <w:spacing w:after="100"/>
      </w:pPr>
      <w:r>
        <w:t xml:space="preserve">No hay acceso gratuito al historial de revisiones del BPA y del EBITDA a 3 y 12 meses. Hechos disponibles: el consenso de 2026 (1.421 M EUR de ingresos, +19,3 %) ya incluye la consolidación de HCSS desde julio, y el de 2027 (+21,3 %) recoge el primer año completo [55]. MarketScreener califica el consenso de «Outperform», con un precio objetivo medio de 86,19 EUR (+27,9 % sobre el cierre) [56], igual que Investing.com (14 comprar, 3 mantener y 1 vender) [57]. Tras el 1S26, JPMorgan mantuvo «Overweight» con objetivo de 110 EUR, Goldman Sachs subió el suyo a 100 EUR el 4-sep, Deutsche Bank lo subió el 7-sep, AlphaValue/Baader rebajó a «Add» el 28-ago y UBS mantiene «Sell» [56].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pierde un 26,6 % en el año y un 36,4 % en doce meses (con dividendos), frente al −2,9 % y −1,5 % del MDAX y al +26,8 % y +28,0 % de la tecnología europea [78]. Marcó máximos de 52 semanas en 108,30 EUR el 13-oct-2025 y mínimos en 50,45 EUR el 26-jun-2026, con una caída máxima del 61,8 % [58]. No cayó el negocio (ingresos del 1S26 +11,9 %, +15,7 % a tipo constante): cayó el múltiplo, por el miedo a que la IA generativa abarate el software de diseño, que la propia empresa invoca para explicar el −41,2 % del semestre [18, 52]. La mayor caída diaria (−13,7 %) fue el 30-jul-2026, con los resultados del 1S26 y el efecto cambiario en el margen del 2T26 [52, 58]. Desde el mínimo ha recuperado un 33,6 %. Beta mensual a 5 años de 0,51 frente al MDAX y de 0,83 frente al DAX; la semanal a 5 años, de 1,02 y 1,12 [58, 78].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Nemetschek cotiza a 25,8 veces el EBITDA de los últimos 12 meses y 31,6 veces el beneficio, frente a una media de la década de 32,6 y 51,5 veces: un descuento del 21 % y del 39 %, en el percentil 20 y 0 de su historia [1, 58]. El EV/EBITDA LTM exagera, porque el valor empresa ya lleva la deuda y el minoritario de HCSS y el EBITDA todavía no; con el de los próximos 12 meses baja a 19,2 veces. El PER, que no tiene ese sesgo, está en el mínimo de diez años, por debajo incluso del de finales de 2022 (34,1 veces). Lo que ha cambiado es el miedo a la IA en el software de diseño, no el crecimiento ni los tipos (el Bund estaba en el 2,5 % a finales de 2022 y hoy en el 3,47 %) [75].</w:t>
      </w:r>
    </w:p>
    <w:p>
      <w:pPr>
        <w:pStyle w:val="Heading1"/>
      </w:pPr>
      <w:r>
        <w:t xml:space="preserve">18. Comparables cotizados</w:t>
      </w:r>
    </w:p>
    <w:p>
      <w:pPr>
        <w:pStyle w:val="Confianza"/>
        <w:spacing w:after="100"/>
      </w:pPr>
      <w:r>
        <w:t xml:space="preserve">Confianza: Media</w:t>
      </w:r>
    </w:p>
    <w:p>
      <w:pPr>
        <w:spacing w:after="100"/>
      </w:pPr>
      <w:r>
        <w:t xml:space="preserve">Software de diseño, ingeniería, simulación y construcción con modelo de suscripción: Autodesk (competidor directo en BIM), Bentley (infraestructura), Dassault Systèmes y PTC (diseño industrial), Trimble y Hexagon (construcción y geoespacial) y Procore (gestión de obra, rival de Bluebeam y HCSS). Topcon queda fuera porque KKR la excluyó de bolsa en 2025 (MarketScreener ya no da estimaciones). Todas las cifras de MarketScreener a 9-oct-2026 [59, 60, 61, 62, 63, 64, 65], convertidas a EUR con el cambio del BCE (1,1206 USD/EUR) [66]. En las cinco de EE. UU. su EBITDA excluye los pagos en acciones; se restan con el porcentaje de ventas del último 10-K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Procore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 / 18,2x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18,8x / 23,9x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 / 27,3x / 29,1x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 / 5,9x / 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13,8 + 0,68 × crecimiento; R² = 0,24. El crecimiento explica poco los múltiplos de estos comparables (R² &lt; 0,3): la regresión no se usa en la valoración.</w:t>
      </w:r>
    </w:p>
    <w:p>
      <w:pPr>
        <w:spacing w:after="100"/>
      </w:pPr>
      <w:r>
        <w:t xml:space="preserve">Nemetschek cotiza a 19,2 veces el EBITDA de los próximos 12 meses y 26,7 veces el beneficio, en línea con la mediana del software de diseño y construcción (18,2 y 27,3 veces) [55, 59, 60, 61, 62, 63, 64, 65]. Su crecimiento de los próximos 12 meses (23,9 %) está inflado por HCSS; el orgánico (14-15 %) sigue por encima de la mediana (11,4 %), con un margen parecido (31,7 % frente al 30,2 %) [18]. Autodesk (18,2 veces, +12,7 %) y Bentley (20,3 veces, +14,2 %) son los comparables más cercanos y no justifican ni prima ni descuento. Las medianas dan 62,88 EUR por EV/EBITDA y 69,01 EUR por PER (65,95 EUR de media). La regresión no explica los múltiplos (R² de 0,24) y no se usa.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HCSS (Heavy Construction Systems Specialists)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Thoma Bravo, que recibe ≈ 28 % del segmento Build; Nemetschek refinancia la deuda de HCSS (+450 M EUR de deuda neta) [15, 53]. Cerrada el 1-jul-2026 [18]. La empresa no publica precio; su consejero delegado lo cifró en más de 2.000 M EUR y algo más de 20 veces el EBITDA de 2025 [68]. Ventas de 2025: ≈ 215 M USD, margen EBITDA ≈ 40 % (US GAAP) [15]; EV/ventas con 1,1684 USD/EUR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sin caja ni deuda de ≈ 11,5 veces el ARR de 2023 (67 M USD), ≈ 770 M USD; margen operativo inferior al del grupo [69]. EV convertido con 1,0865 USD/EUR del 6-jun-2024 [66]; el múltiplo de ventas es sobre ARR.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y 0,345 acciones de Synopsys por acción (390,19 USD); valor empresa de ≈ 35.000 M USD; prima del 29 % sobre el cierre del 21-dic-2023 [70]. Ventas de 2023: 2.269,9 M USD [71]. Cerrada en julio de 2025. EV con 1,0882 USD/EUR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Altium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Renesas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68,50 AUD por acción en efectivo; valor empresa de 8.800 M AUD; ≈ 18x ventas y ≈ 50x EBITDA del ejercicio 2024e (junio); prima del 34 % sobre el cierre previo [72, 73]. EV con 1,6525 AUD/EUR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113 USD por acción, valor empresa de ≈ 10.000 M USD; 14x ventas y 31x EBITDA ajustado de 2025e, este último con sinergias de costes; prima del 19 % sobre el cierre no afectado del 21-oct-2024 [74]. EV con 1,0815 USD/EUR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31,0x (25,5x – 40,5x)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66,27 – 118,10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Cinco compras de software de diseño, simulación y construcción en 2024-2026 se pagaron a 10,9-18 veces las ventas y 20-50 veces el EBITDA, con primas del 19-34 % sobre cotizadas [15, 68, 69, 70, 71, 72, 73, 74]. La mediana de EV/EBITDA (31 veces) daría 85,28 EUR por acción, un 26,5 % sobre el precio; pero lleva prima de control y la familia Nemetschek (45,07 % de los votos, con pacto) hace improbable una opa [43]. La propia Nemetschek pagó por HCSS ≈ 20 veces el EBITDA, por encima de las 19,2 veces del EBITDA de los próximos 12 meses a las que cotiza ella.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+19,2 % (1.420 M): guía orgánica del 14-15 % a tipo constante, ≈ 6 puntos de HCSS desde julio con la asignación del precio de compra y algo de efecto cambiario en contra; el consenso da 1.421 M [18, 55]. 2027e +20,0 %: primer año completo de HCSS (≈ +10 puntos) y orgánico del ≈ 10 %; el consenso da +21,3 % [55]. Después baja del 12,5 % de 2028e al 3,5 % de 2035e. La media de 2027e-2035e (9,5 %) queda por debajo del 15,1 % anual de la década (con compras) y en línea con el 9,9 % previsto para el mercado [1, 17].</w:t>
      </w:r>
    </w:p>
    <w:p>
      <w:pPr>
        <w:keepNext/>
        <w:spacing w:after="100"/>
      </w:pPr>
      <w:r>
        <w:rPr>
          <w:b/>
          <w:bCs/>
        </w:rPr>
        <w:t xml:space="preserve">Márgenes.</w:t>
      </w:r>
    </w:p>
    <w:p>
      <w:pPr>
        <w:spacing w:after="100"/>
      </w:pPr>
      <w:r>
        <w:t xml:space="preserve">Margen EBITDA del 31,0 % en 2026e (punto medio de la guía, 32,5 %, menos ≈ 150 puntos de HCSS) [18]; 33,0 % en 2027e, sin la asignación del precio de compra y con HCSS al ≈ 40 % [15]; y 35,5 % desde 2031e. Es el margen de Dassault (35,1 %) y está por debajo del de PTC (40,5 %) y del de Build en el 1S26 (39,8 %) [8, 61, 62]. La década se movió entre el 26,1 % y el 32,6 % [1]. El consenso da un 34,4 % en 2028e; nosotros, un 34,0 % [55].</w:t>
      </w:r>
    </w:p>
    <w:p>
      <w:pPr>
        <w:keepNext/>
        <w:spacing w:after="100"/>
      </w:pPr>
      <w:r>
        <w:rPr>
          <w:b/>
          <w:bCs/>
        </w:rPr>
        <w:t xml:space="preserve">Inversión y circulante.</w:t>
      </w:r>
    </w:p>
    <w:p>
      <w:pPr>
        <w:spacing w:after="100"/>
      </w:pPr>
      <w:r>
        <w:t xml:space="preserve">Capex del 3,0 % de las ventas: el de caja de 2025 (1,2 %) más los pagos de arrendamientos (1,6 %), porque con la NIIF 16 el EBITDA no lleva los alquileres [1]. La amortización (6,1 % en 2025, de ella 3,6 puntos de compras) sube al 6,5 % en 2027e con la de HCSS y converge al capex en 2034e. Circulante del −27 % de las ventas, entre el −25,9 % de 2024 y el −28,5 % de 2025: los clientes pagan las suscripciones por adelantado [1]. Tipo impositivo del 23 %, frente al 21,8 % de 2025.</w:t>
      </w:r>
    </w:p>
    <w:p>
      <w:pPr>
        <w:keepNext/>
        <w:spacing w:after="100"/>
      </w:pPr>
      <w:r>
        <w:rPr>
          <w:b/>
          <w:bCs/>
        </w:rPr>
        <w:t xml:space="preserve">Coste del capital.</w:t>
      </w:r>
    </w:p>
    <w:p>
      <w:pPr>
        <w:spacing w:after="100"/>
      </w:pPr>
      <w:r>
        <w:t xml:space="preserve">Tasa libre del 3,47 %, el Bund a 10 años del 9-oct-2026 [75]. Beta de 1,00: entre la mensual a 5 años frente al DAX ajustada (0,89) y las semanales a 5 años frente al MDAX y al DAX (1,01 ajustada y 1,12); la mensual frente al MDAX (0,51) no es creíble para un software con una volatilidad del 47 % [58, 78]. Prima de mercado del 5,5 %, coste de la deuda del 3,5 % antes de impuestos (Schuldschein y la refinanciación de HCSS) y un 11,4 % de deuda a valor de mercado. WACC del 8,25 %; con la prima implícita del mercado (4,20 %), el 7,1 % [76].</w:t>
      </w:r>
    </w:p>
    <w:p>
      <w:pPr>
        <w:keepNext/>
        <w:spacing w:after="100"/>
      </w:pPr>
      <w:r>
        <w:rPr>
          <w:b/>
          <w:bCs/>
        </w:rPr>
        <w:t xml:space="preserve">Valor terminal.</w:t>
      </w:r>
    </w:p>
    <w:p>
      <w:pPr>
        <w:spacing w:after="100"/>
      </w:pPr>
      <w:r>
        <w:t xml:space="preserve">Crecimiento a perpetuidad del 2,5 %: inflación del euro del 2 % y algo de crecimiento real, por debajo de la tasa libre menos medio punto (2,97 %). El múltiplo de salida implícito es de 13,0 veces el EBITDA, por debajo de las 19,2 veces de hoy y de la mediana de los comparables (18,2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 M (-15 % del NOPAT)</w:t>
            </w:r>
          </w:p>
        </w:tc>
      </w:tr>
    </w:tbl>
    <w:p>
      <w:pPr>
        <w:spacing w:after="160" w:before="0"/>
      </w:pPr>
    </w:p>
    <w:p>
      <w:pPr>
        <w:spacing w:after="100"/>
      </w:pPr>
      <w:r>
        <w:t xml:space="preserve">La proyección apenas necesita inversión neta de la amortización (reinversión acumulada de -861 M, con un capex bruto medio del 3,0 % de las ventas). En un negocio de activos ligeros, el crecimiento medio del 10,5 %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14-15 % a tipo constante: más clientes (Bluebeam, GoCanvas) y más ingreso por cliente por el paso a la suscripción (suscripción y SaaS +51 % en 2025); otros = HCSS (+6 puntos) menos el efecto cambiario (≈ −1,3) [1,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 el primer semestre de HCSS que faltaba y la vuelta de la asignación del precio de compra (25-30 M) [18]; orgánico del ≈ 10 %.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cruzada de HCSS con Bluebeam en EE. UU. y precios de la suscripción; consenso de +13,9 % [55].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línea con el 9,9 % anual previsto para el mercado de diseño y construcción de Cambashi hasta 2029 [17].</w:t>
            </w:r>
          </w:p>
        </w:tc>
      </w:tr>
    </w:tbl>
    <w:p>
      <w:pPr>
        <w:spacing w:after="160" w:before="0"/>
      </w:pPr>
    </w:p>
    <w:p>
      <w:pPr>
        <w:spacing w:after="100"/>
      </w:pPr>
      <w:r>
        <w:t xml:space="preserve">Sí. El crecimiento orgánico del caso base no necesita capital (la reinversión es negativa porque los clientes pagan por adelantado) y tiene precedente: el ARR crece un 17,4 % a tipo constante y la guía orgánica de 2026 es del 14-15 % [8, 18]. El poder de precios está demostrado con el paso a la suscripción. La cuota que supone es razonable: sin Media y sin HCSS, los ingresos de 2029e serían ≈ 7 % de los 23.300 M de mercado previstos, frente al 6,3 % de hoy [17]. Desde 2030e crecemos por debajo del mercado. El riesgo no es la capacidad de la empresa sino que la IA reduzca las licencias: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(base: 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32,4 % (base: 35,5 %)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8,3 %)</w:t>
            </w:r>
          </w:p>
        </w:tc>
      </w:tr>
    </w:tbl>
    <w:p>
      <w:pPr>
        <w:spacing w:after="160" w:before="0"/>
      </w:pPr>
    </w:p>
    <w:p>
      <w:pPr>
        <w:spacing w:after="100"/>
      </w:pPr>
      <w:r>
        <w:t xml:space="preserve">El DCF da 76,10 EUR por acción, un 12,9 % por encima del precio, con un 63 % del valor en el terminal. </w:t>
      </w:r>
      <w:r>
        <w:rPr>
          <w:b/>
        </w:rPr>
        <w:t xml:space="preserve">El precio descuenta casi lo mismo que nosotros.</w:t>
      </w:r>
      <w:r>
        <w:t xml:space="preserve"> El DCF inverso dice que los 67,40 EUR de hoy suponen un crecimiento de los ingresos del 8,3 % anual de 2027e a 2035e, frente al 9,5 % de nuestro caso base y al 9,9 % previsto para su mercado; o, con nuestro crecimiento, un margen EBITDA del 32,4 % en vez del 35,5 %, es decir, el margen de hoy sin mejora [17]. Comprar a este precio rinde un 8,8 % anual si se cumple el caso base, medio punto por encima del WACC. No es un precio de crisis: es un precio que ya no paga la prima de calidad que el mercado daba a Nemetschek (32,6 veces el EBITDA de media en la década). Lo que separa el precio de nuestro valor son 1,2 puntos de crecimiento y 3 de margen, que dependen de que la IA no erosione el número de licencias de diseño. Con la prima de riesgo que hoy pide el mercado (4,20 %), el DCF sube a 101,27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abarata el diseño y la documentación y reduce los puestos de proyectistas, que es como cobra Design; a la vez la construcción no residencial frena, como en 2023, cuando el crecimiento cayó del 17,7 % al 6,2 %. Crecimiento medio del 5,5 %, margen EBITDA estancado en el 32,5 %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HCSS aporta un año completo en 2027 y el crecimiento orgánico baja del 12 % al 3,5 % en diez años, en línea con el mercado. El margen EBITDA sube al 35,5 % con la escala de la suscripción.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Bluebeam, GoCanvas y HCSS cruzan ventas en la obra de EE. UU. y la IA se cobra como módulo adicional: crecimiento medio del 11,5 % y margen del 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6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71,39 EUR (+5,9 %).</w:t>
      </w:r>
    </w:p>
    <w:p>
      <w:pPr>
        <w:spacing w:after="100"/>
      </w:pPr>
      <w:r>
        <w:t xml:space="preserve">La asimetría es justa: el alcista vale 97,22 EUR (+44,2 %) y el bajista 40,35 EUR (−40,1 %), 1,10 veces. El bajista no es cosmético: deja el margen en el nivel de hoy y el crecimiento en el 5,5 % anual, lo que pasó en 2023 cuando frenó la construcción. Con la prima de riesgo que pide el mercado, el bajista sube a 53,98 EUR y el alcista a 128,61, y la asimetría a 4,56 veces. El valor ponderado por probabilidad es de 71,39 EUR, un 5,9 % sobre el precio: la ganancia esperada depende más de la tasa de descuento que de los escenarios.</w:t>
      </w:r>
    </w:p>
    <w:p>
      <w:pPr>
        <w:pStyle w:val="Heading1"/>
      </w:pPr>
      <w:r>
        <w:t xml:space="preserve">22. Suma de partes</w:t>
      </w:r>
    </w:p>
    <w:p>
      <w:pPr>
        <w:pStyle w:val="Confianza"/>
        <w:spacing w:after="100"/>
      </w:pPr>
      <w:r>
        <w:t xml:space="preserve">Confianza: Media</w:t>
      </w:r>
    </w:p>
    <w:p>
      <w:pPr>
        <w:spacing w:after="100"/>
      </w:pPr>
      <w:r>
        <w:t xml:space="preserve">No aplica en el valor objetivo: las cuatro divisiones son software con suscripción y comparables parecidos, y el valor que más pesa (Build) ya se separa en el puente al restar el 28 % de Thoma Bravo.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6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73,35 EUR (+8,8 % sobre 67,40).</w:t>
      </w:r>
    </w:p>
    <w:p>
      <w:pPr>
        <w:spacing w:after="100"/>
      </w:pPr>
      <w:r>
        <w:t xml:space="preserve">Pesos: DCF 50 %, escenarios 25 %, comparables 20 % y transacciones 5 %. El DCF manda porque el 92 % de los ingresos es recurrente y los clientes pagan por adelantado; los escenarios pesan un 25 % porque el riesgo de la IA es asimétrico. Los comparables (65,95 EUR) pesan un 20 %: la muestra es buena (Autodesk, Bentley, Dassault, PTC), pero los múltiplos de los últimos 12 meses no sirven por HCSS. Las transacciones (85,28 EUR) llevan prima de control y la familia controla el 45 % de los votos: un 5 %. El puente resta 1.937,6 M de minoritarios, 1.900 M de ellos por el 28 % de Build de Thoma Bravo (estimación propia, a valor del DCF); al precio de la operación (más de 2.000 M menos 450 M de deuda, ≈ 1.550 M) el valor subiría ≈ 3 EUR por acción [15, 68]. El valor objetivo es de 73,35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HCSS y primera cifra de minoritarios de Build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definitiva del precio de compra de HCSS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cuánto se pagó y cuánta amortización añade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orgánica de 2027 es la prueba del miedo a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voto sobre una remuneración que rechaza el 86 % del capital libre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o ampliación de Thoma Bravo en Build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Fijaría el valor de mercado del minoritario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reduce las licencias de diseño o permite rivales baratos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40,35 EUR, −47 %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 de ingresos recurrentes, costes de cambio altos y IA propia (Bluebeam Max)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Design por debajo del 5 % o ARR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construcción no residencial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Dos puntos menos de crecimiento: 62,09 EUR (−18 %)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suscripción y peso de infraestructura (HCSS)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Build por debajo del 10 %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 Bravo en Build: salida, derechos y coste del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10 % de más en el valor del minoritario quita ≈ 1,65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mantiene ≈ 72 % y el control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de socios, opciones de venta o salida a bolsa de Build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HCSS y asignación del precio de 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Dos puntos menos de margen: 70,43 EUR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 se integró bien (Build +41 %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Build por debajo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 42 % de las ventas en EE. UU. y más con HCSS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Restó ≈ 4 puntos de crecimiento en el 1S26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encima de 1,25 por euro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mayor: 68,09 EUR (−11 %)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ajustada de 1,5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rechazada por el capital libre y control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cambia el valor; limita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de nueve consejeros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voto en contra en 2027 sin cambios</w:t>
            </w:r>
          </w:p>
        </w:tc>
      </w:tr>
    </w:tbl>
    <w:p>
      <w:pPr>
        <w:spacing w:after="160" w:before="0"/>
      </w:pPr>
    </w:p>
    <w:p>
      <w:pPr>
        <w:pStyle w:val="Heading2"/>
      </w:pPr>
      <w:r>
        <w:t xml:space="preserve">Pre-mortem</w:t>
      </w:r>
    </w:p>
    <w:p>
      <w:pPr>
        <w:spacing w:after="100"/>
      </w:pPr>
      <w:r>
        <w:t xml:space="preserve">Octubre de 2029: la acción ha caído un 40 %, a unos 40 EUR. La historia más probable empieza con la guía de 2027: los estudios de arquitectura usan herramientas de IA que generan planos y documentación, contratan menos proyectistas y renuevan menos licencias de Allplan, Vectorworks y Graphisoft; Design crece al 5 %. A la vez la construcción no residencial de EE. UU. frena y Bluebeam pierde clientes nuevos frente a Autodesk y Procore. HCSS crece, pero la asignación del precio de compra y el minoritario de Thoma Bravo dejan el beneficio por acción plano tres años. El mercado deja de pagar el 25 % de crecimiento por suscripción y valora a Nemetschek como a Dassault, a 11 veces el EBITDA. El indicador que lo habría anticipado: el crecimiento orgánico de Design (+7,3 % en el 1S26 frente a +11,9 % del grupo) y el ARR por debajo del 10 %.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ambiental pesa poco en las cifras: las emisiones totales de 2025 fueron de unas 86.800 t de CO2e (39.800 en la cadena de suministro, 3.300 de la operación propia y 43.718 aguas abajo), unas 73 t por millón de euros de ingresos [17]. La compañía aún no tiene un objetivo de reducción validado; dice que su futuro plan de transición incluirá uno con base científica y neutralidad en 2050 [17]. Ninguna actividad fue conforme con la taxonomía europea en 2025 [17]. Lo material es social y de gobierno: la ciberseguridad y la protección de datos de los clientes en la nube, que la compañía gestiona con un centro de operaciones de seguridad para todo el grupo [17], y la retención de personal técnico, el principal coste.</w:t>
      </w:r>
    </w:p>
    <w:p>
      <w:pPr>
        <w:pStyle w:val="Heading2"/>
      </w:pPr>
      <w:r>
        <w:t xml:space="preserve">Controversias</w:t>
      </w:r>
    </w:p>
    <w:p>
      <w:pPr>
        <w:spacing w:after="100"/>
      </w:pPr>
      <w:r>
        <w:t xml:space="preserve">El informe anual de 2025 no recoge procedimientos, condenas ni multas por corrupción o soborno, ni denuncias por esos motivos en los canales internos, y tampoco litigios por impagos a proveedores [17]. No se han encontrado sanciones ni incidentes relevantes en los documentos revisados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 Bravo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derechos tiene Thoma Bravo en Build (opciones de venta, salida a bolsa, arrastre, dividendos) y a qué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minoritario es 1.900 M en el puente; un 10 % de diferencia mueve 1,65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HCSS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precio exacto de HCSS, su EBITDA de 2025 en NIIF y la amortización anual de la asignación del precio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lo ha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el número de licencias y el ingreso medio por licencia en Design?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primero que dañaría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consejo sube el tope del consejero delegado a 14,5 M EUR si el 86 % del capital libre votó en contra de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respeto al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Maxon, estancado en ≈ 121 M de ingresos desde 2023?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10 % de las ventas y no crece.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 de acciones de Build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costará el nuevo plan de pagos en acciones de Build y se liquidará en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 margen y diluye al grupo en su mejor división.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wallstreet-online (foro de la 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largo con muy poca actividad: cinco mensajes en tres meses, el último sobre el rebote a la baja en la media de 200 sesiones; la encuesta de la página es alcista sin número de votos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Express (análisis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Resume el miedo a que la IA agéntica desplace a los productos BIM, que hundió la acción en el 1T, frente a los bancos que mantienen la compra con objetivos rebajados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trading-treff (análisis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1S26, dos casas reiteran la compra porque los resultados habrían desactivado el miedo a la IA; reconoce que las opiniones siguen divididas [80].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para el software de diseño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no muestran daño todavía: ARR +17,4 % a tipo constante y crecimiento orgánico del 14-15 % confirmado en julio [8]. Es el riesgo del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los últimos 12 meses (31,6 veces) es el mínimo de la década, pero el EV/EBITDA de los próximos 12 meses (19,2 veces) está en la mediana de sus comparables: barata frente a su historia, no frente al sector.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(media de 200 sesiones)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relación con el valor.</w:t>
            </w:r>
          </w:p>
        </w:tc>
      </w:tr>
    </w:tbl>
    <w:p>
      <w:pPr>
        <w:spacing w:after="160" w:before="0"/>
      </w:pPr>
    </w:p>
    <w:p>
      <w:pPr>
        <w:spacing w:after="100"/>
      </w:pPr>
      <w:r>
        <w:t xml:space="preserve">Hay muy poco debate de particulares: el foro alemán más activo tuvo cinco mensajes en tres meses y los foros en inglés no se pudieron leer [77]. La conversación la marcan los análisis de mercado, que han pasado del miedo de abril (la IA agéntica desplazaría el BIM) a la tesis de que los resultados lo han desmentido [79, 80]. No hay euforia ni capitulación: el sentimiento va con la tesis y con el consenso (14 compras de 18) [56]. Ninguna cifra del informe sale de aquí. El riesgo que más pesa en la conversación, la IA, es el del escenario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18 controles correctos y 3 explicados. Fuentes: 80 (59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48 % y los ingresos un 21 %: si hubo una compra cerca del cierre, decláralo en financieros.cambios_perimetro y explícalo. Explicación: El activo de 2019 crece por la primera aplicación de la NIIF 16 (70,3 M de arrendamientos), la caja (+88 M) y compras de 97,9 M repartidas en varias filiales (Redshift para Maxon y otras) [5]; no hubo una compra grande al cierre.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-27,0 % frente a -28,5 % real: genera una variación de circulante de -44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 Explicación: Con siete comparables y crecimientos distorsionados (PTC −3,4 % por el calendario de licencias, Nemetschek +23,9 % por HCSS), la regresión no explica los múltiplos y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(108,4x → 40,0x): el salto implica un crecimiento del EBITDA que no cuadra con el de las ventas. ¿EBITDA de proveedores distintos, o un cambio de perímetro? Explicación: Procore: con los pagos en acciones restados su EBITDA es casi nulo (margen del 1,1 %) y sus múltiplos de EBITDA no son significativos; pesa poco en la mediana [65].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adquisiciones[HCSS].importe y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Información privilegiada del 13-abr-26 (sin precio); 2) nota de cierre del 1-jul-26 y nota corporativa de abril (sin precio); 3) informe semestral 1S26, hechos posteriores (desglose NIIF 3 aún no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(solo crecimiento reportado y a tipo constante); 2) notas de prensa de resultados; 3) cálculo sin cifras de ingresos de las compras por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Nemetschek (no da cuotas del mercado); 2) nota de prensa de MarketsandMarkets sobre BIM (lista de empresas sin cuotas); 3) cálculo con las cuentas de los competidores, descartado porque no separan sus ingresos de AEC</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página de responsabilidad de Nemetschek (no publican calificaciones); 2) página ESG de la web de inversores (404 en alemán e inglés); 3) página de Sustainalytics de la empresa (redirige a la portada; el dato solo aparece en el resumen del buscador, que no vale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y declaración de gobierno 2025: no publican cuántas acciones tiene cada consejero; 2) Avisos MAR de 2025-2026 en la web de inversores: dan operaciones, no saldos; 3) Informe anual 2025 (nota 28 y estructura accionarial): solo la familia Nemetschek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equipo[].trayectoria (carrera anterior a Nemetschek)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páginas del consejo de dirección: solo el cargo actual; 2) ir.nemetschek.com/vorstand: los currículos se abren con JavaScript y la página daba error 404 en inglés; 3) Declaración de gobierno 2025: remite a la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del Bundesanzeiger (descarga CSV: redirige a la portada); 2) página de búsqueda del Bundesanzeiger con el navegador (exige rellenar un formulario); 3) sin otra fuente oficial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pestaña de revisiones (de pago); 2) MarketScreener, página de consenso (redirige a suscripción tras varias consultas); 3) Investing.com, solo recomendaciones y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ROIC en las páginas gratuitas); 2) Stock Analysis (no consultado por el límite de búsquedas compartido); 3) cálculo desde los 10-K, descartado por mezclar definiciones entre siete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 de Ansys y GoCanvas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Synopsys y nota de GoCanvas (no publican múltiplo de EBITDA); 2) resultados 2023 de Ansys (beneficio operativo y amortización de intangibles, sin amortización del inmovilizado material); 3) cálculo propio descartado por faltar la amortización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bloqueado para la lectura automática; 2) hilos de wallstreet-online: casi sin actividad (5 mensajes en tres meses); 3) búsqueda de comentarios en finanzen.net y prensa alemana: artículos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(transcripciones de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Nemetschek (solo presentación y grabación); 2) agregadores gratuitos de transcripciones (sin las de Nemetschek); 3) prensa sobre la conferencia del 30-jul-2026 (solo titulares)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2025, cuentas consolidadas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https://ir.nemetschek.com/media/document/b26659fa-1299-4d6b-a2e8-d293ab7b3a66/assets/DE0006452907-JA-2025-EQ-E-00.pdf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https://ir.nemetschek.com/media/document/8abba513-553d-46fd-9475-33b455e0ba08/assets/NEM_AR2024_EN.pdf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https://ir.nemetschek.com/media/document/3c403ac4-073f-470b-a785-9e49143ff067/assets/NEM_AnnualReport2023_en.pdf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https://ir.nemetschek.com/media/document/5032ec7b-c1fd-4660-8c28-e27a81c19d73/assets/Nemetschek_GB22_Gesamt_mLinks_en_locked.pdf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https://ir.nemetschek.com/media/document/1264ac9d-1150-4c57-9257-20600eed3a9f/assets/DE0006452907-JA-2020-EQ-E-00.pdf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https://ir.nemetschek.com/media/document/e0f58cab-cfcf-420e-b8c9-50dfa335ec2a/assets/DE0006452907-JA-2018-EQ-E-00.pdf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https://ir.nemetschek.com/media/document/71e4647c-6da5-4170-8540-2e3fff197cb4/assets/DE0006452907-JA-2017-EQ-E-00.pdf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2026 (informe semestral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https://ir.nemetschek.com/media/document/8ef227e8-a6cf-4491-9362-6422d085c0c6/assets/DE0006452907-Q2-2026-EQ-E-00.pdf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https://ir.nemetschek.com/media/document/f18252d2-145d-418a-a82b-67fe66eec334/assets/DE0006452907-Q1-2026-EQ-E-01.pdf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https://ir.nemetschek.com/media/document/d68ad6ea-6ff4-4665-8878-5d6b21beda65/assets/Nemetschek-Q3-2025-Quartaly-Statement_locked.pdf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https://ir.nemetschek.com/media/document/9c08c7c5-37f5-4348-bb86-0fa1e0acc108/assets/DE0006452907-Q2-2025-EQ-E-00.pdf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https://ir.nemetschek.com/media/document/278eb28e-d392-4ac9-bbc7-27e85dfd3784/assets/DE0006452907-Q1-2025-EQ-E-00.pdf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https://ir.nemetschek.com/media/document/85cab727-e1ab-42f9-88ea-bc4995f575f5/assets/DE0006452907-Q3-2024-EQ-E-01.pdf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https://ir.nemetschek.com/media/document/e9900d50-9592-43e4-a0a3-30fe41e89404/assets/GB2021_links_en.pdf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unterzeichnet verbindliche Vereinbarung zur Übernahme von HCSS (información privilegiada, art. 17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https://ir.nemetschek.com/nachrichten/nemetschek-se-unterzeichnet-verbindliche-vereinbarung-zur-uebernahme-von-heavy-construction-systems-specialists-hcss/8cfc7cb3-a473-48a7-af81-deb1ddd9dc22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schließt Übernahme von HCSS erfolgreich ab (nota de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https://ir.nemetschek.com/nachrichten/nemetschek-group-schliesst-uebernahme-von-hcss-erfolgreich-ab/50c3b8fc-5c2f-4351-a523-77279547bcfd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2025 (informe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https://ir.nemetschek.com/media/document/31f34112-03e9-4e86-9892-457de2987552/assets/Nemetschek-Geschaeftsbericht-2025_de_locked.pdf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Halbjahresfinanzbericht 2026 (informe semestral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https://ir.nemetschek.com/media/document/2df0b1f6-ecc1-41e9-8fb9-ef2b8d8df007/assets/Nemetschek-Halbjahresbericht-2026_locked.pdf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(cronología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https://www.nemetschek.com/en/company/history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Form 10-K del ejercicio terminado el 31-1-2026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https://www.sec.gov/Archives/edgar/data/1031308/000103130826000007/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https://www.sec.gov/Archives/edgar/data/864749/000086474926000015/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Form 10-K del ejercicio terminado el 30-9-2025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https://www.sec.gov/Archives/edgar/data/857005/000119312525291326/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Technologies,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https://www.sec.gov/Archives/edgar/data/1611052/000162828026011055/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resultados del 4T25 y del ejercicio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USD/EUR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Building Information Modeling Market worth $15.42 billion by 2030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https://www.marketsandmarkets.com/PressReleases/building-information-modeling.asp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2024 (informe anual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https://ir.nemetschek.com/media/document/6005b10f-9cb7-4cf6-a785-3e195006b69e/assets/NEM_GB2024_DE.pdf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2023 (informe anual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https://ir.nemetschek.com/media/document/957fcc46-cfc4-4a93-8a38-5f2880ed0ec5/assets/NEM_Geschaeftsbericht2023_de.pdf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Directiva 2014/24/UE sobre contratación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Parlamento Europeo y Consejo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https://eur-lex.europa.eu/legal-content/EN/TXT/HTML/?uri=CELEX:32014L0024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PCM/818/2023: Plan de Incorporación de la Metodología BIM en la contratación pública de la AGE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Boletín Oficial del Estado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https://boe.es/boe/dias/2023/07/20/pdfs/BOE-A-2023-16784.pdf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Masterplan BIM Bundesfernstraßen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Bundesministerium für Verkehr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https://www.bmv.de/SharedDocs/DE/Artikel/StB/masterplan-bim-bundesfernstrassen.html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Erklärung zur Unternehmensführung 2025 (declaración de gobierno corporativo)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https://ir.nemetschek.com/media/document/92576378-618a-403f-adc4-a6e8f2266826/assets/EZU_2025_mLogo_de.pdf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2025 (informe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https://ir.nemetschek.com/media/document/3a31f6cb-367a-499b-99df-a75da490df72/assets/NemetschekSE-Verguetungsbericht-2025-1.pdf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21.05.2026 (resultados de votación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https://ir.nemetschek.com/media/document/06940b87-2fb1-47d7-83dd-34903fd53009/assets/Ergebnisubersicht_Nemetschek_SE_21052026.pdf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Bericht des Aufsichtsrats 2025 (informe del consejo de supervisión)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https://ir.nemetschek.com/media/document/65094070-3257-4631-9c59-93f4abf13846/assets/AR_Bericht_2025_mLogo_de.pdf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Hauptversammlung 2026 (convocatoria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https://ir.nemetschek.com/media/document/5dc25ff7-94c8-4f7e-8132-9424f8b22e0a/assets/NEM26_Einladung-HV_de.pdf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Abstimmungsübersicht Hauptversammlung 23.05.2024 (resultados de votación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https://ir.nemetschek.com/media/document/6aff5e1c-33b4-4560-95e6-a8a497117e81/assets/Abstimmungsuebersicht_NSE_230524.pdf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20.05.2025 (resultados de votación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https://ir.nemetschek.com/media/document/f96c5397-a339-46aa-bf79-4bfcd2d1ce87/assets/Ergebnisuebersicht_Nemetschek_SE_20052025.pdf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2024 (informe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https://ir.nemetschek.com/media/document/c0bc9b23-1c82-4ecb-8be6-900f38d996df/assets/NEM_SE_Vergutungsbericht_2024_DE.pdf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Vergütungssystem 2026+ für die Mitglieder des Vorstands (sistema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https://ir.nemetschek.com/media/document/f4f8f13d-ac6f-4525-9933-2b06d8317283/assets/Vergutungssystem_2026_DE.pdf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Prof. Georg Heinz Nemetschek (aviso de derechos de voto, WpHG)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https://ir.nemetschek.com/nachrichten/georg-heinz-nemetschek-prof/fa0cdb77-d35b-475e-8094-99b7e9883f82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Mitteilung gemäß § 43 WpHG, GVN Familienstiftung (intenciones del accionista)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https://ir.nemetschek.com/nachrichten/nemetschek-se-veroeffentlichung-gemaess-40-abs-1-wphg-mit-dem-ziel-der-europaweiten-verbreitung/ee84f474-67aa-4272-be65-1a1c26756268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(aviso de derechos de voto, WpHG)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https://ir.nemetschek.com/nachrichten/blackrock-inc-wilmington-delaware-vereinigte-staaten-von-amerika/ea99637d-c1e1-4627-b9e5-473abe5acfe1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Amundi S.A. (aviso de derechos de voto, WpHG)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https://ir.nemetschek.com/nachrichten/amundi-sa-paris-frankreich/c203cdf7-9450-4eeb-8a36-b25d94db6135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Kurt Dobitsch, Kauf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https://ir.nemetschek.com/nachrichten/kurt-dobitsch/3a86aff9-1e32-4e45-a770-dc5252f8b957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Christine Schöneweis, Kauf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https://ir.nemetschek.com/nachrichten/christine-schoeneweis/e9a82483-cb72-4cc0-9947-5f0a8364d472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Yves Padrines, Sonstiges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https://ir.nemetschek.com/nachrichten/yves-padrines/dcb62546-b24c-48e2-a9d6-7cb3bca62278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ACSÖ GmbH (vinculada a Prof. Dr. Söffing), Kauf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https://ir.nemetschek.com/nachrichten/acsoe-gmbh/16b9a5a2-bb49-4a42-b398-3bfdbe2b4017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Entsprechenserklärung gemäß § 161 AktG vom 5. März 2026 (declaración de cumplimiento del DCGK)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https://ir.nemetschek.com/media/document/809fd14b-fd4e-4048-b833-c9bb94001bed/assets/Entsprechenserklarung_05032026_de.pdf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Erfolgreiches 1. Halbjahr 2026 mit weiterhin starkem profitablem Wachstum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https://ir.nemetschek.com/nachrichten/nemetschek-group-erfolgreiches-1-halbjahr-2026-mit-weiterhin-starkem-profitablem-wachstum/2beb0dfe-0064-4831-9563-c44e7fa899e8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übernimmt HCSS und steigt zum nächsten globalen Marktführer im Markt für Bausoftware 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https://ir.nemetschek.com/nachrichten/nemetschek-se-uebernimmt-hcss-und-steigt-zum-naechsten-globalen-marktfuehrer-im-markt-fuer-bausoftware-auf/d0299905-a853-4952-bf37-68df4f0a53ef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Finanzkalender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https://ir.nemetschek.com/finanzkalender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Financials y Valuation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Consensus (precio objetivo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https://www.investing.com/equities/nemetschek-ag-consensus-estimates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NEM.DE, ^GDAXI y EXV3.DE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https://finance.yahoo.com/quote/NEM.DE/history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Incorporated: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https://www.marketscreener.com/quote/stock/BENTLEY-SYSTEMS-INCORPORA-112756448/finances/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https://www.marketscreener.com/quote/stock/PTC-INC-12445262/finances/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https://www.marketscreener.com/quote/stock/TRIMBLE-INC-11147/finances/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https://www.marketscreener.com/quote/stock/HEXAGON-AB-6491358/finances/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Technologies,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https://www.marketscreener.com/quote/stock/PROCORE-TECHNOLOGIES-INC-122799536/finances/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(diario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(ShareBasedCompensation e ingresos) de Autodesk, Bentley, PTC, Trimble y Procore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to Buy Thoma Bravo's HCSS in €2 Billion-Plus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https://news.bloomberglaw.com/private-equity/nemetschek-strikes-deal-for-thomas-software-firm-hcss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erwirbt GoCanvas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https://ir.nemetschek.com/nachrichten/nemetschek-se-erwirbt-gocanvas-um-die-digitalisierung-in-der-bauindustrie-weiter-zu-beschleunigen/a779c764-bbec-4d8a-beea-dbec6fab68d2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https://www.sec.gov/Archives/edgar/data/883241/000119312524008120/d720113dex991.htm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fourth quarter and FY 2023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https://www.sec.gov/Archives/edgar/data/1013462/000101346224000006/anssex991-pressrelease2023.htm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Renesas to Acquire PCB Design Software Leader Altium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Limited / Renesas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https://announcements.asx.com.au/asxpdf/20240215/pdf/060f97wn7z3zgb.pdf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enters into binding Scheme Implementation Agreement with Renesas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https://announcements.asx.com.au/asxpdf/20240215/pdf/060f95vmxdlnby.pdf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Altair Engineering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https://assets.new.siemens.com/siemens/assets/api/uuid:dd37857b-7a3c-4eab-abec-3f7c784e6de0/siemens-investor-presentation-241030.pdf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bonos federales a 10 años (serie BBSSY.D.REN.EUR.A630.000000WT1010.A)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https://api.statistiken.bundesbank.de/rest/download/BBSSY/D.REN.EUR.A630.000000WT1010.A?format=csv&amp;lang=en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Aktie: foro y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https://www.wallstreet-online.de/aktien/nemetschek-aktie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NEM.DE, EXS3.DE (iShares MDAX) y EXV3.DE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https://finance.yahoo.com/quote/EXS3.DE/history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Aktie: Übertriebener KI-Pessimismus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https://www.boerse-express.com/news/articles/nemetschek-aktie-uebertriebener-ki-pessimismus-887518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Aktie: Analysten entschärfen KI-Befürchtungen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trading-treff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https://trading-treff.de/trading/nemetschek-aktie-analysten-entschaerfen-ki-befuerchtungen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11 oct 2026.</w:t>
      </w:r>
    </w:p>
    <w:p>
      <w:pPr>
        <w:pStyle w:val="Nota"/>
        <w:spacing w:after="100"/>
      </w:pPr>
      <w:r>
        <w:t xml:space="preserve">Se valora la acción ordinaria de Nemetschek SE en XETRA (NEM), en euros; precio de cierre del viernes 9-oct-2026 (67,40 EUR), porque el corte cae en sábado [58]. Acciones: 115,49 M en circulación (115,5 M emitidas menos 9.206 propias), sin dilución potencial relevante [18]. Índice de referencia: el MDAX (Nemetschek está en el MDAX y el TecDAX, no en el DAX) [52]; la rentabilidad en bolsa se mide con fondos cotizados de rentabilidad total sobre el MDAX (EXS3) y la tecnología europea (EXV3) [78]. </w:t>
      </w:r>
      <w:r>
        <w:rPr>
          <w:b/>
        </w:rPr>
        <w:t xml:space="preserve">HCSS</w:t>
      </w:r>
      <w:r>
        <w:t xml:space="preserve"> se consolida desde el 1-jul-2026 y no está en el balance de junio: el puente suma 450 M de deuda neta adicional por la refinanciación de su deuda y resta como minoritario el ≈ 28 % del segmento Build que recibió Thoma Bravo, estimado en 1.900 M (estimación propia: 28 % de una división que aportará ≈ 60 % del EBITDA del grupo, sobre el valor empresa del DCF) [8, 15, 18]. Los múltiplos de los últimos 12 meses mezclan un valor empresa con HCSS y un EBITDA sin ella: el EV/EBITDA LTM está inflado y la comparación útil es la de los próximos 12 meses. La segmentación vigente (Design, Build, Manage, Media) solo tiene cifras reexpresadas para 2023-2025 [1, 3]. Cuenta por naturaleza: el coste de ventas es el coste de bienes y servicios comprados. El circulante incluye los ingresos diferidos de cada informe anual (466,6 M en 2025) [1, 2, 3, 4, 5, 6, 7, 14]. No hay transcripciones gratuitas de las conferencias con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Nemetschek SE (NEM)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Hoja1!$B$2:$B$10</c:f>
              <c:numCache>
                <c:formatCode>#,##0</c:formatCode>
                <c:ptCount val="9"/>
                <c:pt idx="0">
                  <c:v>50.45</c:v>
                </c:pt>
                <c:pt idx="1">
                  <c:v>52</c:v>
                </c:pt>
                <c:pt idx="2">
                  <c:v>48.68</c:v>
                </c:pt>
                <c:pt idx="3">
                  <c:v>65.97</c:v>
                </c:pt>
                <c:pt idx="4">
                  <c:v>66.27</c:v>
                </c:pt>
                <c:pt idx="5">
                  <c:v>63.84</c:v>
                </c:pt>
                <c:pt idx="6">
                  <c:v>40.35</c:v>
                </c:pt>
                <c:pt idx="7">
                  <c:v>88.94</c:v>
                </c:pt>
                <c:pt idx="8">
                  <c:v>67.06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Hoja1!$C$2:$C$10</c:f>
              <c:numCache>
                <c:formatCode>#,##0</c:formatCode>
                <c:ptCount val="9"/>
                <c:pt idx="0">
                  <c:v>57.849999999999994</c:v>
                </c:pt>
                <c:pt idx="1">
                  <c:v>63</c:v>
                </c:pt>
                <c:pt idx="2">
                  <c:v>20.479999999999997</c:v>
                </c:pt>
                <c:pt idx="3">
                  <c:v>7.590000000000003</c:v>
                </c:pt>
                <c:pt idx="4">
                  <c:v>51.83</c:v>
                </c:pt>
                <c:pt idx="5">
                  <c:v>29.58</c:v>
                </c:pt>
                <c:pt idx="6">
                  <c:v>56.87</c:v>
                </c:pt>
                <c:pt idx="7">
                  <c:v>27.689999999999998</c:v>
                </c:pt>
                <c:pt idx="8">
                  <c:v>0.6799999999999926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Design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431.99</c:v>
                </c:pt>
                <c:pt idx="1">
                  <c:v>488.769</c:v>
                </c:pt>
                <c:pt idx="2">
                  <c:v>539.835</c:v>
                </c:pt>
              </c:numCache>
            </c:numRef>
          </c:val>
        </c:ser>
        <c:ser>
          <c:idx val="1"/>
          <c:order val="1"/>
          <c:tx>
            <c:strRef>
              <c:f>Hoja1!$C$1</c:f>
              <c:strCache>
                <c:ptCount val="1"/>
                <c:pt idx="0">
                  <c:v>Build</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265.425</c:v>
                </c:pt>
                <c:pt idx="1">
                  <c:v>340.681</c:v>
                </c:pt>
                <c:pt idx="2">
                  <c:v>481.304</c:v>
                </c:pt>
              </c:numCache>
            </c:numRef>
          </c:val>
        </c:ser>
        <c:ser>
          <c:idx val="2"/>
          <c:order val="2"/>
          <c:tx>
            <c:strRef>
              <c:f>Hoja1!$D$1</c:f>
              <c:strCache>
                <c:ptCount val="1"/>
                <c:pt idx="0">
                  <c:v>Manage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50.397</c:v>
                </c:pt>
                <c:pt idx="1">
                  <c:v>49.868</c:v>
                </c:pt>
                <c:pt idx="2">
                  <c:v>51.877</c:v>
                </c:pt>
              </c:numCache>
            </c:numRef>
          </c:val>
        </c:ser>
        <c:ser>
          <c:idx val="3"/>
          <c:order val="3"/>
          <c:tx>
            <c:strRef>
              <c:f>Hoja1!$E$1</c:f>
              <c:strCache>
                <c:ptCount val="1"/>
                <c:pt idx="0">
                  <c:v>Media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111.413</c:v>
                </c:pt>
                <c:pt idx="1">
                  <c:v>120.087</c:v>
                </c:pt>
                <c:pt idx="2">
                  <c:v>120.989</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-7.663</c:v>
                </c:pt>
                <c:pt idx="1">
                  <c:v>-3.841</c:v>
                </c:pt>
                <c:pt idx="2">
                  <c:v>-2.773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Design</c:v>
                </c:pt>
                <c:pt idx="1">
                  <c:v>Build</c:v>
                </c:pt>
                <c:pt idx="2">
                  <c:v>Manage</c:v>
                </c:pt>
                <c:pt idx="3">
                  <c:v>Media</c:v>
                </c:pt>
                <c:pt idx="4">
                  <c:v>Eliminaciones</c:v>
                </c:pt>
              </c:strCache>
            </c:strRef>
          </c:cat>
          <c:val>
            <c:numRef>
              <c:f>Hoja1!$B$2:$B$6</c:f>
              <c:numCache>
                <c:formatCode>General</c:formatCode>
                <c:ptCount val="5"/>
                <c:pt idx="0">
                  <c:v>45.3</c:v>
                </c:pt>
                <c:pt idx="1">
                  <c:v>40.4</c:v>
                </c:pt>
                <c:pt idx="2">
                  <c:v>4.4</c:v>
                </c:pt>
                <c:pt idx="3">
                  <c:v>10.2</c:v>
                </c:pt>
                <c:pt idx="4">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Américas</c:v>
                </c:pt>
                <c:pt idx="1">
                  <c:v>Europa sin Alemania (EMEA)</c:v>
                </c:pt>
                <c:pt idx="2">
                  <c:v>Alemania</c:v>
                </c:pt>
                <c:pt idx="3">
                  <c:v>Asia-Pacífico</c:v>
                </c:pt>
              </c:strCache>
            </c:strRef>
          </c:cat>
          <c:val>
            <c:numRef>
              <c:f>Hoja1!$B$2:$B$5</c:f>
              <c:numCache>
                <c:formatCode>0"%"</c:formatCode>
                <c:ptCount val="4"/>
                <c:pt idx="0">
                  <c:v>42</c:v>
                </c:pt>
                <c:pt idx="1">
                  <c:v>31</c:v>
                </c:pt>
                <c:pt idx="2">
                  <c:v>17</c:v>
                </c:pt>
                <c:pt idx="3">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(diseño + construcción, Cambashi; 2026e-2028e interpolados por estimación propia con la TCAC 2025-2029 de Cambashi))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2024</c:v>
                </c:pt>
                <c:pt idx="2">
                  <c:v>2025</c:v>
                </c:pt>
                <c:pt idx="3">
                  <c:v>2026e</c:v>
                </c:pt>
                <c:pt idx="4">
                  <c:v>2027e</c:v>
                </c:pt>
                <c:pt idx="5">
                  <c:v>2028e</c:v>
                </c:pt>
                <c:pt idx="6">
                  <c:v>2029e</c:v>
                </c:pt>
              </c:strCache>
            </c:strRef>
          </c:cat>
          <c:val>
            <c:numRef>
              <c:f>Hoja1!$B$2:$B$8</c:f>
              <c:numCache>
                <c:formatCode>#,##0</c:formatCode>
                <c:ptCount val="7"/>
                <c:pt idx="0">
                  <c:v>12300</c:v>
                </c:pt>
                <c:pt idx="1">
                  <c:v>14500</c:v>
                </c:pt>
                <c:pt idx="2">
                  <c:v>16000</c:v>
                </c:pt>
                <c:pt idx="3">
                  <c:v>17576</c:v>
                </c:pt>
                <c:pt idx="4">
                  <c:v>19308</c:v>
                </c:pt>
                <c:pt idx="5">
                  <c:v>21210</c:v>
                </c:pt>
                <c:pt idx="6">
                  <c:v>23300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Nemetschek</c:v>
                </c:pt>
                <c:pt idx="1">
                  <c:v>Autodesk</c:v>
                </c:pt>
                <c:pt idx="2">
                  <c:v>Bentley Systems</c:v>
                </c:pt>
                <c:pt idx="3">
                  <c:v>Trimble</c:v>
                </c:pt>
                <c:pt idx="4">
                  <c:v>Dassault Systèmes</c:v>
                </c:pt>
                <c:pt idx="5">
                  <c:v>Hexagon</c:v>
                </c:pt>
                <c:pt idx="6">
                  <c:v>PTC</c:v>
                </c:pt>
                <c:pt idx="7">
                  <c:v>Procore Technologies</c:v>
                </c:pt>
              </c:strCache>
            </c:strRef>
          </c:cat>
          <c:val>
            <c:numRef>
              <c:f>Hoja1!$B$2:$B$9</c:f>
              <c:numCache>
                <c:formatCode>0.0"%"</c:formatCode>
                <c:ptCount val="8"/>
                <c:pt idx="0">
                  <c:v>25</c:v>
                </c:pt>
                <c:pt idx="1">
                  <c:v>21.9</c:v>
                </c:pt>
                <c:pt idx="2">
                  <c:v>24.1</c:v>
                </c:pt>
                <c:pt idx="3">
                  <c:v>16.5</c:v>
                </c:pt>
                <c:pt idx="4">
                  <c:v>21.7</c:v>
                </c:pt>
                <c:pt idx="5">
                  <c:v>17</c:v>
                </c:pt>
                <c:pt idx="6">
                  <c:v>35.9</c:v>
                </c:pt>
                <c:pt idx="7">
                  <c:v>-9.4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337.286</c:v>
                </c:pt>
                <c:pt idx="1">
                  <c:v>395.568</c:v>
                </c:pt>
                <c:pt idx="2">
                  <c:v>461.299</c:v>
                </c:pt>
                <c:pt idx="3">
                  <c:v>556.879</c:v>
                </c:pt>
                <c:pt idx="4">
                  <c:v>596.905</c:v>
                </c:pt>
                <c:pt idx="5">
                  <c:v>681.471</c:v>
                </c:pt>
                <c:pt idx="6">
                  <c:v>801.813</c:v>
                </c:pt>
                <c:pt idx="7">
                  <c:v>851.563</c:v>
                </c:pt>
                <c:pt idx="8">
                  <c:v>995.565</c:v>
                </c:pt>
                <c:pt idx="9">
                  <c:v>1191.232</c:v>
                </c:pt>
                <c:pt idx="10">
                  <c:v>1420</c:v>
                </c:pt>
                <c:pt idx="11">
                  <c:v>1704</c:v>
                </c:pt>
                <c:pt idx="12">
                  <c:v>1917</c:v>
                </c:pt>
                <c:pt idx="13">
                  <c:v>2128</c:v>
                </c:pt>
                <c:pt idx="14">
                  <c:v>2341</c:v>
                </c:pt>
                <c:pt idx="15">
                  <c:v>2551</c:v>
                </c:pt>
                <c:pt idx="16">
                  <c:v>2755</c:v>
                </c:pt>
                <c:pt idx="17">
                  <c:v>2934</c:v>
                </c:pt>
                <c:pt idx="18">
                  <c:v>3081</c:v>
                </c:pt>
                <c:pt idx="19">
                  <c:v>3189</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87.987</c:v>
                </c:pt>
                <c:pt idx="1">
                  <c:v>108</c:v>
                </c:pt>
                <c:pt idx="2">
                  <c:v>121.255</c:v>
                </c:pt>
                <c:pt idx="3">
                  <c:v>165.663</c:v>
                </c:pt>
                <c:pt idx="4">
                  <c:v>172.293</c:v>
                </c:pt>
                <c:pt idx="5">
                  <c:v>221.965</c:v>
                </c:pt>
                <c:pt idx="6">
                  <c:v>256.979</c:v>
                </c:pt>
                <c:pt idx="7">
                  <c:v>257.714</c:v>
                </c:pt>
                <c:pt idx="8">
                  <c:v>301.011</c:v>
                </c:pt>
                <c:pt idx="9">
                  <c:v>371.138</c:v>
                </c:pt>
                <c:pt idx="10">
                  <c:v>440</c:v>
                </c:pt>
                <c:pt idx="11">
                  <c:v>562</c:v>
                </c:pt>
                <c:pt idx="12">
                  <c:v>652</c:v>
                </c:pt>
                <c:pt idx="13">
                  <c:v>734</c:v>
                </c:pt>
                <c:pt idx="14">
                  <c:v>819</c:v>
                </c:pt>
                <c:pt idx="15">
                  <c:v>906</c:v>
                </c:pt>
                <c:pt idx="16">
                  <c:v>978</c:v>
                </c:pt>
                <c:pt idx="17">
                  <c:v>1042</c:v>
                </c:pt>
                <c:pt idx="18">
                  <c:v>1094</c:v>
                </c:pt>
                <c:pt idx="19">
                  <c:v>1132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96.8</c:v>
                </c:pt>
                <c:pt idx="1">
                  <c:v>96.7</c:v>
                </c:pt>
                <c:pt idx="2">
                  <c:v>96.9</c:v>
                </c:pt>
                <c:pt idx="3">
                  <c:v>96.4</c:v>
                </c:pt>
                <c:pt idx="4">
                  <c:v>96</c:v>
                </c:pt>
                <c:pt idx="5">
                  <c:v>96.3</c:v>
                </c:pt>
                <c:pt idx="6">
                  <c:v>96</c:v>
                </c:pt>
                <c:pt idx="7">
                  <c:v>96</c:v>
                </c:pt>
                <c:pt idx="8">
                  <c:v>95.9</c:v>
                </c:pt>
                <c:pt idx="9">
                  <c:v>96.2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26.1</c:v>
                </c:pt>
                <c:pt idx="1">
                  <c:v>27.3</c:v>
                </c:pt>
                <c:pt idx="2">
                  <c:v>26.3</c:v>
                </c:pt>
                <c:pt idx="3">
                  <c:v>29.7</c:v>
                </c:pt>
                <c:pt idx="4">
                  <c:v>28.9</c:v>
                </c:pt>
                <c:pt idx="5">
                  <c:v>32.6</c:v>
                </c:pt>
                <c:pt idx="6">
                  <c:v>32</c:v>
                </c:pt>
                <c:pt idx="7">
                  <c:v>30.3</c:v>
                </c:pt>
                <c:pt idx="8">
                  <c:v>30.2</c:v>
                </c:pt>
                <c:pt idx="9">
                  <c:v>31.2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20.7</c:v>
                </c:pt>
                <c:pt idx="1">
                  <c:v>21.9</c:v>
                </c:pt>
                <c:pt idx="2">
                  <c:v>21.2</c:v>
                </c:pt>
                <c:pt idx="3">
                  <c:v>22.2</c:v>
                </c:pt>
                <c:pt idx="4">
                  <c:v>20.5</c:v>
                </c:pt>
                <c:pt idx="5">
                  <c:v>25.2</c:v>
                </c:pt>
                <c:pt idx="6">
                  <c:v>24.7</c:v>
                </c:pt>
                <c:pt idx="7">
                  <c:v>23.4</c:v>
                </c:pt>
                <c:pt idx="8">
                  <c:v>23.5</c:v>
                </c:pt>
                <c:pt idx="9">
                  <c:v>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13.9</c:v>
                </c:pt>
                <c:pt idx="1">
                  <c:v>18.9</c:v>
                </c:pt>
                <c:pt idx="2">
                  <c:v>16.6</c:v>
                </c:pt>
                <c:pt idx="3">
                  <c:v>22.8</c:v>
                </c:pt>
                <c:pt idx="4">
                  <c:v>16.2</c:v>
                </c:pt>
                <c:pt idx="5">
                  <c:v>19.8</c:v>
                </c:pt>
                <c:pt idx="6">
                  <c:v>20.2</c:v>
                </c:pt>
                <c:pt idx="7">
                  <c:v>18.9</c:v>
                </c:pt>
                <c:pt idx="8">
                  <c:v>17.6</c:v>
                </c:pt>
                <c:pt idx="9">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15.1</c:v>
                </c:pt>
                <c:pt idx="1">
                  <c:v>32.5</c:v>
                </c:pt>
                <c:pt idx="2">
                  <c:v>26.3</c:v>
                </c:pt>
                <c:pt idx="3">
                  <c:v>27.4</c:v>
                </c:pt>
                <c:pt idx="4">
                  <c:v>15.8</c:v>
                </c:pt>
                <c:pt idx="5">
                  <c:v>11.8</c:v>
                </c:pt>
                <c:pt idx="6">
                  <c:v>10.7</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42</c:v>
                </c:pt>
                <c:pt idx="1">
                  <c:v>38</c:v>
                </c:pt>
                <c:pt idx="2">
                  <c:v>44</c:v>
                </c:pt>
                <c:pt idx="3">
                  <c:v>41</c:v>
                </c:pt>
                <c:pt idx="4">
                  <c:v>39</c:v>
                </c:pt>
                <c:pt idx="5">
                  <c:v>38</c:v>
                </c:pt>
                <c:pt idx="6">
                  <c:v>38</c:v>
                </c:pt>
                <c:pt idx="7">
                  <c:v>43</c:v>
                </c:pt>
                <c:pt idx="8">
                  <c:v>54</c:v>
                </c:pt>
                <c:pt idx="9">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c:v>
                </c:pt>
                <c:pt idx="1">
                  <c:v>1</c:v>
                </c:pt>
                <c:pt idx="2">
                  <c:v>1</c:v>
                </c:pt>
                <c:pt idx="3">
                  <c:v>1</c:v>
                </c:pt>
                <c:pt idx="4">
                  <c:v>1</c:v>
                </c:pt>
                <c:pt idx="5">
                  <c:v>1</c:v>
                </c:pt>
                <c:pt idx="6">
                  <c:v>1</c:v>
                </c:pt>
                <c:pt idx="7">
                  <c:v>1</c:v>
                </c:pt>
                <c:pt idx="8">
                  <c:v>1</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c:v>
                </c:pt>
                <c:pt idx="1">
                  <c:v>10</c:v>
                </c:pt>
                <c:pt idx="2">
                  <c:v>14</c:v>
                </c:pt>
                <c:pt idx="3">
                  <c:v>12</c:v>
                </c:pt>
                <c:pt idx="4">
                  <c:v>10</c:v>
                </c:pt>
                <c:pt idx="5">
                  <c:v>9</c:v>
                </c:pt>
                <c:pt idx="6">
                  <c:v>11</c:v>
                </c:pt>
                <c:pt idx="7">
                  <c:v>9</c:v>
                </c:pt>
                <c:pt idx="8">
                  <c:v>11</c:v>
                </c:pt>
                <c:pt idx="9">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71.404</c:v>
                </c:pt>
                <c:pt idx="1">
                  <c:v>87.71499999999999</c:v>
                </c:pt>
                <c:pt idx="2">
                  <c:v>87.606</c:v>
                </c:pt>
                <c:pt idx="3">
                  <c:v>127.036</c:v>
                </c:pt>
                <c:pt idx="4">
                  <c:v>132.56400000000002</c:v>
                </c:pt>
                <c:pt idx="5">
                  <c:v>186.93599999999998</c:v>
                </c:pt>
                <c:pt idx="6">
                  <c:v>176.32899999999998</c:v>
                </c:pt>
                <c:pt idx="7">
                  <c:v>220.315</c:v>
                </c:pt>
                <c:pt idx="8">
                  <c:v>258.805</c:v>
                </c:pt>
                <c:pt idx="9">
                  <c:v>349.245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46.925</c:v>
                </c:pt>
                <c:pt idx="1">
                  <c:v>74.663</c:v>
                </c:pt>
                <c:pt idx="2">
                  <c:v>76.467</c:v>
                </c:pt>
                <c:pt idx="3">
                  <c:v>127.155</c:v>
                </c:pt>
                <c:pt idx="4">
                  <c:v>96.947</c:v>
                </c:pt>
                <c:pt idx="5">
                  <c:v>134.618</c:v>
                </c:pt>
                <c:pt idx="6">
                  <c:v>161.899</c:v>
                </c:pt>
                <c:pt idx="7">
                  <c:v>161.256</c:v>
                </c:pt>
                <c:pt idx="8">
                  <c:v>175.422</c:v>
                </c:pt>
                <c:pt idx="9">
                  <c:v>217.238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26.5</c:v>
                </c:pt>
                <c:pt idx="1">
                  <c:v>36.1</c:v>
                </c:pt>
                <c:pt idx="2">
                  <c:v>32.4</c:v>
                </c:pt>
                <c:pt idx="3">
                  <c:v>31.1</c:v>
                </c:pt>
                <c:pt idx="4">
                  <c:v>22.8</c:v>
                </c:pt>
                <c:pt idx="5">
                  <c:v>25.7</c:v>
                </c:pt>
                <c:pt idx="6">
                  <c:v>26.5</c:v>
                </c:pt>
                <c:pt idx="7">
                  <c:v>26</c:v>
                </c:pt>
                <c:pt idx="8">
                  <c:v>19.3</c:v>
                </c:pt>
                <c:pt idx="9">
                  <c:v>19.2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8.3</c:v>
                </c:pt>
                <c:pt idx="1">
                  <c:v>8.3</c:v>
                </c:pt>
                <c:pt idx="2">
                  <c:v>8.3</c:v>
                </c:pt>
                <c:pt idx="3">
                  <c:v>8.3</c:v>
                </c:pt>
                <c:pt idx="4">
                  <c:v>8.3</c:v>
                </c:pt>
                <c:pt idx="5">
                  <c:v>8.3</c:v>
                </c:pt>
                <c:pt idx="6">
                  <c:v>8.3</c:v>
                </c:pt>
                <c:pt idx="7">
                  <c:v>8.3</c:v>
                </c:pt>
                <c:pt idx="8">
                  <c:v>8.3</c:v>
                </c:pt>
                <c:pt idx="9">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23.5</c:v>
                </c:pt>
                <c:pt idx="1">
                  <c:v>35.2</c:v>
                </c:pt>
                <c:pt idx="2">
                  <c:v>32.2</c:v>
                </c:pt>
                <c:pt idx="3">
                  <c:v>42.5</c:v>
                </c:pt>
                <c:pt idx="4">
                  <c:v>25.8</c:v>
                </c:pt>
                <c:pt idx="5">
                  <c:v>29</c:v>
                </c:pt>
                <c:pt idx="6">
                  <c:v>27.5</c:v>
                </c:pt>
                <c:pt idx="7">
                  <c:v>23</c:v>
                </c:pt>
                <c:pt idx="8">
                  <c:v>21.2</c:v>
                </c:pt>
                <c:pt idx="9">
                  <c:v>23.7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-0.18</c:v>
                </c:pt>
                <c:pt idx="1">
                  <c:v>-0.22</c:v>
                </c:pt>
                <c:pt idx="2">
                  <c:v>0.08</c:v>
                </c:pt>
                <c:pt idx="3">
                  <c:v>0.3</c:v>
                </c:pt>
                <c:pt idx="4">
                  <c:v>0.34</c:v>
                </c:pt>
                <c:pt idx="5">
                  <c:v>0.17</c:v>
                </c:pt>
                <c:pt idx="6">
                  <c:v>-0.19</c:v>
                </c:pt>
                <c:pt idx="7">
                  <c:v>-0.74</c:v>
                </c:pt>
                <c:pt idx="8">
                  <c:v>1.21</c:v>
                </c:pt>
                <c:pt idx="9">
                  <c:v>0.41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0</c:v>
                </c:pt>
                <c:pt idx="1">
                  <c:v>250</c:v>
                </c:pt>
                <c:pt idx="2">
                  <c:v>0</c:v>
                </c:pt>
                <c:pt idx="3">
                  <c:v>109.9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40.469</c:v>
                </c:pt>
                <c:pt idx="1">
                  <c:v>46.137</c:v>
                </c:pt>
                <c:pt idx="2">
                  <c:v>90.094</c:v>
                </c:pt>
                <c:pt idx="3">
                  <c:v>99.421</c:v>
                </c:pt>
                <c:pt idx="4">
                  <c:v>103.826</c:v>
                </c:pt>
                <c:pt idx="5">
                  <c:v>137.937</c:v>
                </c:pt>
                <c:pt idx="6">
                  <c:v>33.451</c:v>
                </c:pt>
                <c:pt idx="7">
                  <c:v>25.593</c:v>
                </c:pt>
                <c:pt idx="8">
                  <c:v>693.819</c:v>
                </c:pt>
                <c:pt idx="9">
                  <c:v>68.302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19.25</c:v>
                </c:pt>
                <c:pt idx="1">
                  <c:v>25.025</c:v>
                </c:pt>
                <c:pt idx="2">
                  <c:v>28.875</c:v>
                </c:pt>
                <c:pt idx="3">
                  <c:v>31.185</c:v>
                </c:pt>
                <c:pt idx="4">
                  <c:v>32.34</c:v>
                </c:pt>
                <c:pt idx="5">
                  <c:v>34.65</c:v>
                </c:pt>
                <c:pt idx="6">
                  <c:v>45.045</c:v>
                </c:pt>
                <c:pt idx="7">
                  <c:v>51.975</c:v>
                </c:pt>
                <c:pt idx="8">
                  <c:v>55.44</c:v>
                </c:pt>
                <c:pt idx="9">
                  <c:v>63.495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11.108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Prof. Georg Nemetschek (vía N-Integral GmbH, GVN Familienstiftung y Nemetschek-Stiftung, en pacto de voto)</c:v>
                </c:pt>
                <c:pt idx="1">
                  <c:v>BlackRock, Inc.</c:v>
                </c:pt>
                <c:pt idx="2">
                  <c:v>Amundi S.A.</c:v>
                </c:pt>
                <c:pt idx="3">
                  <c:v>Autocartera</c:v>
                </c:pt>
                <c:pt idx="4">
                  <c:v>Capital libre (Streubesitz)</c:v>
                </c:pt>
              </c:strCache>
            </c:strRef>
          </c:cat>
          <c:val>
            <c:numRef>
              <c:f>Hoja1!$B$2:$B$6</c:f>
              <c:numCache>
                <c:formatCode>0.0"%"</c:formatCode>
                <c:ptCount val="5"/>
                <c:pt idx="0">
                  <c:v>45.07</c:v>
                </c:pt>
                <c:pt idx="1">
                  <c:v>4.56</c:v>
                </c:pt>
                <c:pt idx="2">
                  <c:v>2.99</c:v>
                </c:pt>
                <c:pt idx="3">
                  <c:v>0.01</c:v>
                </c:pt>
                <c:pt idx="4">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36.7</c:v>
                </c:pt>
                <c:pt idx="2">
                  <c:v>28.9</c:v>
                </c:pt>
                <c:pt idx="3">
                  <c:v>85.3</c:v>
                </c:pt>
                <c:pt idx="4">
                  <c:v>3.2</c:v>
                </c:pt>
                <c:pt idx="5">
                  <c:v>87.8</c:v>
                </c:pt>
                <c:pt idx="6">
                  <c:v>-57.5</c:v>
                </c:pt>
                <c:pt idx="7">
                  <c:v>65.6</c:v>
                </c:pt>
                <c:pt idx="8">
                  <c:v>19.9</c:v>
                </c:pt>
                <c:pt idx="9">
                  <c:v>-0.4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6.2</c:v>
                </c:pt>
                <c:pt idx="1">
                  <c:v>17.4</c:v>
                </c:pt>
                <c:pt idx="2">
                  <c:v>-18.4</c:v>
                </c:pt>
                <c:pt idx="3">
                  <c:v>30.3</c:v>
                </c:pt>
                <c:pt idx="4">
                  <c:v>8.2</c:v>
                </c:pt>
                <c:pt idx="5">
                  <c:v>13.2</c:v>
                </c:pt>
                <c:pt idx="6">
                  <c:v>-29.1</c:v>
                </c:pt>
                <c:pt idx="7">
                  <c:v>7.9</c:v>
                </c:pt>
                <c:pt idx="8">
                  <c:v>-6.5</c:v>
                </c:pt>
                <c:pt idx="9">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24</c:v>
                </c:pt>
                <c:pt idx="1">
                  <c:v>26.5</c:v>
                </c:pt>
                <c:pt idx="2">
                  <c:v>30.5</c:v>
                </c:pt>
                <c:pt idx="3">
                  <c:v>41.3</c:v>
                </c:pt>
                <c:pt idx="4">
                  <c:v>40.9</c:v>
                </c:pt>
                <c:pt idx="5">
                  <c:v>59</c:v>
                </c:pt>
                <c:pt idx="6">
                  <c:v>21.4</c:v>
                </c:pt>
                <c:pt idx="7">
                  <c:v>34.6</c:v>
                </c:pt>
                <c:pt idx="8">
                  <c:v>37.3</c:v>
                </c:pt>
                <c:pt idx="9">
                  <c:v>29.4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32.6</c:v>
                </c:pt>
                <c:pt idx="1">
                  <c:v>32.6</c:v>
                </c:pt>
                <c:pt idx="2">
                  <c:v>32.6</c:v>
                </c:pt>
                <c:pt idx="3">
                  <c:v>32.6</c:v>
                </c:pt>
                <c:pt idx="4">
                  <c:v>32.6</c:v>
                </c:pt>
                <c:pt idx="5">
                  <c:v>32.6</c:v>
                </c:pt>
                <c:pt idx="6">
                  <c:v>32.6</c:v>
                </c:pt>
                <c:pt idx="7">
                  <c:v>32.6</c:v>
                </c:pt>
                <c:pt idx="8">
                  <c:v>32.6</c:v>
                </c:pt>
                <c:pt idx="9">
                  <c:v>32.6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Nemetschek</c:v>
                </c:pt>
                <c:pt idx="1">
                  <c:v>Autodesk</c:v>
                </c:pt>
                <c:pt idx="2">
                  <c:v>Bentley Systems</c:v>
                </c:pt>
                <c:pt idx="3">
                  <c:v>Dassault Systèmes</c:v>
                </c:pt>
                <c:pt idx="4">
                  <c:v>PTC</c:v>
                </c:pt>
                <c:pt idx="5">
                  <c:v>Trimble</c:v>
                </c:pt>
                <c:pt idx="6">
                  <c:v>Hexagon</c:v>
                </c:pt>
                <c:pt idx="7">
                  <c:v>Procore</c:v>
                </c:pt>
              </c:strCache>
            </c:strRef>
          </c:cat>
          <c:val>
            <c:numRef>
              <c:f>Hoja1!$B$2:$B$9</c:f>
              <c:numCache>
                <c:formatCode>0.0"x"</c:formatCode>
                <c:ptCount val="8"/>
                <c:pt idx="0">
                  <c:v>19.2</c:v>
                </c:pt>
                <c:pt idx="1">
                  <c:v>18.2</c:v>
                </c:pt>
                <c:pt idx="2">
                  <c:v>20.3</c:v>
                </c:pt>
                <c:pt idx="3">
                  <c:v>11.2</c:v>
                </c:pt>
                <c:pt idx="4">
                  <c:v>18.8</c:v>
                </c:pt>
                <c:pt idx="5">
                  <c:v>14</c:v>
                </c:pt>
                <c:pt idx="6">
                  <c:v>16.3</c:v>
                </c:pt>
                <c:pt idx="7">
                  <c:v>40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Nemetschek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23.9</c:v>
                </c:pt>
              </c:numCache>
            </c:numRef>
          </c:xVal>
          <c:yVal>
            <c:numRef>
              <c:f>Hoja1!$C$2</c:f>
              <c:numCache>
                <c:formatCode>0.0"x"</c:formatCode>
                <c:ptCount val="1"/>
                <c:pt idx="0">
                  <c:v>19.2</c:v>
                </c:pt>
              </c:numCache>
            </c:numRef>
          </c:yVal>
          <c:smooth val="0"/>
        </c:ser>
        <c:ser>
          <c:idx val="1"/>
          <c:order val="1"/>
          <c:tx>
            <c:strRef>
              <c:f>Hoja1!$A$3</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12.7</c:v>
                </c:pt>
              </c:numCache>
            </c:numRef>
          </c:xVal>
          <c:yVal>
            <c:numRef>
              <c:f>Hoja1!$C$3</c:f>
              <c:numCache>
                <c:formatCode>0.0"x"</c:formatCode>
                <c:ptCount val="1"/>
                <c:pt idx="0">
                  <c:v>18.2</c:v>
                </c:pt>
              </c:numCache>
            </c:numRef>
          </c:yVal>
          <c:smooth val="0"/>
        </c:ser>
        <c:ser>
          <c:idx val="2"/>
          <c:order val="2"/>
          <c:tx>
            <c:strRef>
              <c:f>Hoja1!$A$4</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14.2</c:v>
                </c:pt>
              </c:numCache>
            </c:numRef>
          </c:xVal>
          <c:yVal>
            <c:numRef>
              <c:f>Hoja1!$C$4</c:f>
              <c:numCache>
                <c:formatCode>0.0"x"</c:formatCode>
                <c:ptCount val="1"/>
                <c:pt idx="0">
                  <c:v>20.3</c:v>
                </c:pt>
              </c:numCache>
            </c:numRef>
          </c:yVal>
          <c:smooth val="0"/>
        </c:ser>
        <c:ser>
          <c:idx val="3"/>
          <c:order val="3"/>
          <c:tx>
            <c:strRef>
              <c:f>Hoja1!$A$5</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7.4</c:v>
                </c:pt>
              </c:numCache>
            </c:numRef>
          </c:xVal>
          <c:yVal>
            <c:numRef>
              <c:f>Hoja1!$C$5</c:f>
              <c:numCache>
                <c:formatCode>0.0"x"</c:formatCode>
                <c:ptCount val="1"/>
                <c:pt idx="0">
                  <c:v>11.2</c:v>
                </c:pt>
              </c:numCache>
            </c:numRef>
          </c:yVal>
          <c:smooth val="0"/>
        </c:ser>
        <c:ser>
          <c:idx val="4"/>
          <c:order val="4"/>
          <c:tx>
            <c:strRef>
              <c:f>Hoja1!$A$6</c:f>
              <c:strCache>
                <c:ptCount val="1"/>
                <c:pt idx="0">
                  <c:v>PTC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-3.4</c:v>
                </c:pt>
              </c:numCache>
            </c:numRef>
          </c:xVal>
          <c:yVal>
            <c:numRef>
              <c:f>Hoja1!$C$6</c:f>
              <c:numCache>
                <c:formatCode>0.0"x"</c:formatCode>
                <c:ptCount val="1"/>
                <c:pt idx="0">
                  <c:v>18.8</c:v>
                </c:pt>
              </c:numCache>
            </c:numRef>
          </c:yVal>
          <c:smooth val="0"/>
        </c:ser>
        <c:ser>
          <c:idx val="5"/>
          <c:order val="5"/>
          <c:tx>
            <c:strRef>
              <c:f>Hoja1!$A$7</c:f>
              <c:strCache>
                <c:ptCount val="1"/>
                <c:pt idx="0">
                  <c:v>Trimble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c:v>
                </c:pt>
              </c:numCache>
            </c:numRef>
          </c:xVal>
          <c:yVal>
            <c:numRef>
              <c:f>Hoja1!$C$7</c:f>
              <c:numCache>
                <c:formatCode>0.0"x"</c:formatCode>
                <c:ptCount val="1"/>
                <c:pt idx="0">
                  <c:v>14</c:v>
                </c:pt>
              </c:numCache>
            </c:numRef>
          </c:yVal>
          <c:smooth val="0"/>
        </c:ser>
        <c:ser>
          <c:idx val="6"/>
          <c:order val="6"/>
          <c:tx>
            <c:strRef>
              <c:f>Hoja1!$A$8</c:f>
              <c:strCache>
                <c:ptCount val="1"/>
                <c:pt idx="0">
                  <c:v>Procore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17.1</c:v>
                </c:pt>
              </c:numCache>
            </c:numRef>
          </c:xVal>
          <c:yVal>
            <c:numRef>
              <c:f>Hoja1!$C$8</c:f>
              <c:numCache>
                <c:formatCode>0.0"x"</c:formatCode>
                <c:ptCount val="1"/>
                <c:pt idx="0">
                  <c:v>40</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HCSS (Heavy Construction Systems Specialists)</c:v>
                </c:pt>
                <c:pt idx="1">
                  <c:v>GoCanvas</c:v>
                </c:pt>
                <c:pt idx="2">
                  <c:v>Ansys</c:v>
                </c:pt>
                <c:pt idx="3">
                  <c:v>Altium</c:v>
                </c:pt>
                <c:pt idx="4">
                  <c:v>Altair Engineering</c:v>
                </c:pt>
              </c:strCache>
            </c:strRef>
          </c:cat>
          <c:val>
            <c:numRef>
              <c:f>Hoja1!$B$2:$B$6</c:f>
              <c:numCache>
                <c:formatCode>0.0"x"</c:formatCode>
                <c:ptCount val="5"/>
                <c:pt idx="0">
                  <c:v>20</c:v>
                </c:pt>
                <c:pt idx="3">
                  <c:v>50</c:v>
                </c:pt>
                <c:pt idx="4">
                  <c:v>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360</c:v>
                </c:pt>
                <c:pt idx="1">
                  <c:v>484</c:v>
                </c:pt>
                <c:pt idx="2">
                  <c:v>528</c:v>
                </c:pt>
                <c:pt idx="3">
                  <c:v>585</c:v>
                </c:pt>
                <c:pt idx="4">
                  <c:v>645</c:v>
                </c:pt>
                <c:pt idx="5">
                  <c:v>704</c:v>
                </c:pt>
                <c:pt idx="6">
                  <c:v>751</c:v>
                </c:pt>
                <c:pt idx="7">
                  <c:v>786</c:v>
                </c:pt>
                <c:pt idx="8">
                  <c:v>811</c:v>
                </c:pt>
                <c:pt idx="9">
                  <c:v>827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4222</c:v>
                </c:pt>
                <c:pt idx="1">
                  <c:v>7089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67,40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40.35</c:v>
                </c:pt>
                <c:pt idx="1">
                  <c:v>76.1</c:v>
                </c:pt>
                <c:pt idx="2">
                  <c:v>97.22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Hoja1!$B$2:$B$10</c:f>
              <c:numCache>
                <c:formatCode>#,##0</c:formatCode>
                <c:ptCount val="9"/>
                <c:pt idx="0">
                  <c:v>50.45</c:v>
                </c:pt>
                <c:pt idx="1">
                  <c:v>52</c:v>
                </c:pt>
                <c:pt idx="2">
                  <c:v>48.68</c:v>
                </c:pt>
                <c:pt idx="3">
                  <c:v>65.97</c:v>
                </c:pt>
                <c:pt idx="4">
                  <c:v>66.27</c:v>
                </c:pt>
                <c:pt idx="5">
                  <c:v>63.84</c:v>
                </c:pt>
                <c:pt idx="6">
                  <c:v>40.35</c:v>
                </c:pt>
                <c:pt idx="7">
                  <c:v>88.94</c:v>
                </c:pt>
                <c:pt idx="8">
                  <c:v>67.06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Hoja1!$C$2:$C$10</c:f>
              <c:numCache>
                <c:formatCode>#,##0</c:formatCode>
                <c:ptCount val="9"/>
                <c:pt idx="0">
                  <c:v>57.849999999999994</c:v>
                </c:pt>
                <c:pt idx="1">
                  <c:v>63</c:v>
                </c:pt>
                <c:pt idx="2">
                  <c:v>20.479999999999997</c:v>
                </c:pt>
                <c:pt idx="3">
                  <c:v>7.590000000000003</c:v>
                </c:pt>
                <c:pt idx="4">
                  <c:v>51.83</c:v>
                </c:pt>
                <c:pt idx="5">
                  <c:v>29.58</c:v>
                </c:pt>
                <c:pt idx="6">
                  <c:v>56.87</c:v>
                </c:pt>
                <c:pt idx="7">
                  <c:v>27.689999999999998</c:v>
                </c:pt>
                <c:pt idx="8">
                  <c:v>0.6799999999999926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