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Sartorius Stedim Biotech S.A.</w:t>
      </w:r>
    </w:p>
    <w:p>
      <w:pPr>
        <w:spacing w:after="60"/>
        <w:rPr>
          <w:color w:val="52514E"/>
          <w:sz w:val="22"/>
          <w:szCs w:val="22"/>
        </w:rPr>
      </w:pPr>
      <w:r>
        <w:rPr>
          <w:color w:val="52514E"/>
          <w:sz w:val="22"/>
          <w:szCs w:val="22"/>
        </w:rPr>
        <w:t xml:space="preserve">DIM · Euronext París · ISIN FR0013154002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216,40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219,19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+1,6 % (base +10,4 %)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96,08 EUR · mercado 120,13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21.056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22,6x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Sartorius Stedim Biotech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DIM / FR0013154002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 (bioprocesado)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Aubagne (Francia) · 1978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https://www.sartorius.com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216,40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225,00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21.056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23.620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219,19 EUR</w:t>
      </w:r>
      <w:r>
        <w:t xml:space="preserve"> frente a 216,40 · Rentabilidad a 12 meses </w:t>
      </w:r>
      <w:r>
        <w:rPr>
          <w:b/>
          <w:bCs/>
        </w:rPr>
        <w:t xml:space="preserve">+1,6 % (base +10,4 %)</w:t>
      </w:r>
      <w:r>
        <w:t xml:space="preserve"> · Valor intrínseco 96,08 EUR · con la prima implícita del mercado: 120,13 (-44,5 %) · Alcista / bajista -50,9 % / -71,8 %</w:t>
      </w:r>
    </w:p>
    <w:p>
      <w:pPr>
        <w:spacing w:after="100"/>
      </w:pPr>
      <w:r>
        <w:rPr>
          <w:b/>
        </w:rPr>
        <w:t xml:space="preserve">La recomendación y por qué.</w:t>
      </w:r>
      <w:r>
        <w:t xml:space="preserve"> Mantener con convicción media. Nuestro objetivo a 12 meses es de 219,19 EUR, que con el dividendo da una rentabilidad ponderada del 1,6 % y del 10,4 % en el caso base, frente a un precio de 216,40 EUR (cierre del 14-oct-2026). El valor intrínseco es de 96,08 EUR, un 55,6 % por debajo, y el objetivo medio de los 14 analistas (237,29) coincide con nuestro base. La asimetría es mala (0,56): el alcista gana un 19,3 % y el bajista pierde un 33,7 %. La convicción es media porque las dos reglas coinciden y la rentabilidad está lejos de los umbrales; bajaría a Vender por encima de 244,31 EUR y subiría si los resultados del 22-oct muestran equipos en crecimiento y margen por encima del 32 %.</w:t>
      </w:r>
    </w:p>
    <w:p>
      <w:pPr>
        <w:spacing w:after="100"/>
      </w:pPr>
      <w:r>
        <w:rPr>
          <w:b/>
        </w:rPr>
        <w:t xml:space="preserve">El negocio.</w:t>
      </w:r>
      <w:r>
        <w:t xml:space="preserve"> Sartorius Stedim es uno de los cuatro grandes proveedores de bioprocesado, con un 86 % de ventas recurrentes de consumibles que quedan fijados en el expediente regulatorio de cada medicamento y un margen EBITDA subyacente del 30,8 % en 2025 [2, 3]. El foso es amplio, pero la empresa ya no crea valor con su capital: ROIC del 6,0 % frente a un WACC del 8,93 %, después de pagar 2.400 M por Polyplus en 2023 y llevar el capital invertido de 2.062 M a más de 6.000 M. Veredicto de calidad: </w:t>
      </w:r>
      <w:r>
        <w:rPr>
          <w:b/>
        </w:rPr>
        <w:t xml:space="preserve">No</w:t>
      </w:r>
      <w:r>
        <w:t xml:space="preserve"> (ROIC − WACC de −2,9 puntos; el negocio orgánico sí rinde por encima del 20 %). La sostenibilidad del crecimiento es «En parte»: el 7,2 % medio es financiable con la capacidad construida en 2023-2025, pero la empresa incumplió su último plan (4.400 M y &gt; 35 % de margen en 2025; real, 2.967 M y 30,8 %).</w:t>
      </w:r>
    </w:p>
    <w:p>
      <w:pPr>
        <w:spacing w:after="100"/>
      </w:pPr>
      <w:r>
        <w:rPr>
          <w:b/>
        </w:rPr>
        <w:t xml:space="preserve">Sector y ciclo.</w:t>
      </w:r>
      <w:r>
        <w:t xml:space="preserve"> El desestocaje de 2023-2024 terminó: ventas a tipos constantes −18,7 % en 2023, +0,6 % en 2024, +9,6 % en 2025 y +6,4 % en el 1S26 (8,0 % operativo), con los equipos volviendo a crecer ligeramente [3]. La recuperación está en precio: la acción sube un 44 % desde el mínimo de abril y cotiza a 38,6 veces nuestro BPA subyacente de 2027, por encima de la mediana limpia de cinco años (35,5x).</w:t>
      </w:r>
    </w:p>
    <w:p>
      <w:pPr>
        <w:spacing w:after="100"/>
      </w:pPr>
      <w:r>
        <w:rPr>
          <w:b/>
        </w:rPr>
        <w:t xml:space="preserve">Equipo y gobierno.</w:t>
      </w:r>
      <w:r>
        <w:t xml:space="preserve"> Resta. Sartorius AG tiene el 71,5 % del capital y el 82,9 % de los votos; el presidente y el consejero delegado son directivos de la matriz, que presta 2.420 M de deuda y cobra 103,7 M de servicios y 19,6 M de canon de marca (+63 %) [1]. En la junta de 2026 el 66 % del capital libre votó contra la política de remuneración del consejero delegado [12]. La entrada de Elliott en Sartorius AG abre una opción de simplificación, sin propuesta.</w:t>
      </w:r>
    </w:p>
    <w:p>
      <w:pPr>
        <w:spacing w:after="100"/>
      </w:pPr>
      <w:r>
        <w:rPr>
          <w:b/>
        </w:rPr>
        <w:t xml:space="preserve">Valoración.</w:t>
      </w:r>
      <w:r>
        <w:t xml:space="preserve"> Frente a Lonza, que cotiza a 27,3 veces su BPA core con un ROIC del 9,3 % y una rentabilidad a 12 meses del 15,6 % (v2) [41], Sartorius Stedim paga un 40 % más de múltiplo con peor rendimiento del capital. El DCF inverso exige un crecimiento del 22,8 % anual hasta 2033 o un margen del 59 %. La regla v2 de control da un 18,2 % (historia al cierre de solo tres años limpios); decide la v3.</w:t>
      </w:r>
    </w:p>
    <w:p>
      <w:pPr>
        <w:spacing w:after="100"/>
      </w:pPr>
      <w:r>
        <w:rPr>
          <w:b/>
        </w:rPr>
        <w:t xml:space="preserve">Riesgos y catalizadores.</w:t>
      </w:r>
      <w:r>
        <w:t xml:space="preserve"> Primero, que el múltiplo vuelva al mínimo (25,3x: −34 %). Segundo, un nuevo frenazo de los equipos. Catalizadores: resultados del 22-oct-2026 y guía de 2027 en febrero. El riesgo de que la IA se coma el negocio es bajo: los consumibles se gastan en la producción comercial de cada lote, que la IA no sustituye; si acaso acelera el desarrollo, donde SSB vende datos y software. En los foros domina el optimismo técnico tras la subida, sin euforia.</w:t>
      </w:r>
    </w:p>
    <w:p>
      <w:pPr>
        <w:spacing w:after="100"/>
      </w:pPr>
      <w:r>
        <w:rPr>
          <w:b/>
        </w:rPr>
        <w:t xml:space="preserve">Qué cambiaría la decisión.</w:t>
      </w:r>
      <w:r>
        <w:t xml:space="preserve"> Comprar por debajo de 96,08 EUR (el valor intrínseco limita; con la regla a 12 meses sola, por debajo de ≈191 EUR); vender por encima de 244,31 EUR. Pasaríamos a Vender si la guía de 2027 queda por debajo del 8 % de crecimiento o si el margen del 3T26 baja del 30,5 %.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219,19 EUR</w:t>
      </w:r>
      <w:r>
        <w:t xml:space="preserve"> (rentabilidad +1,6 % (base +10,4 %)) · Valor intrínseco: 96,08 EUR (-55,6 % sobre 216,40) · con la prima implícita del mercado: 120,13 (-44,5 %)</w:t>
      </w:r>
    </w:p>
    <w:p>
      <w:pPr>
        <w:spacing w:after="100"/>
      </w:pPr>
      <w:r>
        <w:t xml:space="preserve">Sartorius Stedim Biotech fabrica los consumibles y equipos con los que se producen los medicamentos biológicos. El 86 % de sus ventas es recurrente y queda fijado en el expediente regulatorio de cada fármaco, lo que le da un foso amplio y un margen EBITDA subyacente del 30,8 % [2, 3]. Tras el auge de la pandemia y el desestocaje de 2023-2024, las ventas vuelven a crecer (+9,6 % en 2025, +8,0 % operativo en el 1S26).</w:t>
      </w:r>
    </w:p>
    <w:p>
      <w:pPr>
        <w:spacing w:after="100"/>
      </w:pPr>
      <w:r>
        <w:t xml:space="preserve">El precio de 216,40 EUR descuenta mucho: 38,6 veces nuestro BPA subyacente de 2027, 22,6 veces el EBITDA de los próximos 12 meses y, en el DCF inverso, un crecimiento del 22,8 % anual hasta 2033 con un WACC del 8,93 %. Los comparables cotizan a una mediana de 26,3 veces y Lonza a 27,3 [41].</w:t>
      </w:r>
    </w:p>
    <w:p>
      <w:pPr>
        <w:spacing w:after="100"/>
      </w:pPr>
      <w:r>
        <w:t xml:space="preserve">El mercado acierta en la calidad del negocio y en la recuperación del ciclo, pero ya la cobra. Para invertir hay que creer que la empresa cumplirá esta vez su plan del 9-12 % anual, que el múltiplo no volverá a la zona de 25-30 veces de 2017-2018 y que el ROIC volverá a superar al WACC. Con nuestra proyección, en el extremo bajo del plan, el objetivo a 12 meses apenas mejora el precio (+1,6 %).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 × 5,64 = 142,69 · 37,0x × 6,44 = 238,28 · 37,0x × 6,96 = 257,52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237,29 (nuestro base +0,4 %)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 / -71,8 %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8,9 %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frente a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96,08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96,08 y 244,31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244,31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244,31 EUR: Vender (ponderada a 12 meses ≤ −10 %).</w:t>
      </w:r>
    </w:p>
    <w:p>
      <w:pPr>
        <w:pStyle w:val="ListParagraph"/>
        <w:numPr>
          <w:ilvl w:val="0"/>
          <w:numId w:val="2"/>
        </w:numPr>
        <w:spacing w:after="60"/>
      </w:pPr>
      <w:r>
        <w:t xml:space="preserve">Precio por debajo de ≈191 EUR: la regla a 12 meses daría ≥ 15 %; Comprar solo si además el valor intrínseco se acerca al precio y la calidad mejora.</w:t>
      </w:r>
    </w:p>
    <w:p>
      <w:pPr>
        <w:pStyle w:val="ListParagraph"/>
        <w:numPr>
          <w:ilvl w:val="0"/>
          <w:numId w:val="2"/>
        </w:numPr>
        <w:spacing w:after="60"/>
      </w:pPr>
      <w:r>
        <w:t xml:space="preserve">Margen EBITDA subyacente del 3T26 por debajo del 30,5 % o equipos en negativo: Vender.</w:t>
      </w:r>
    </w:p>
    <w:p>
      <w:pPr>
        <w:pStyle w:val="ListParagraph"/>
        <w:numPr>
          <w:ilvl w:val="0"/>
          <w:numId w:val="2"/>
        </w:numPr>
        <w:spacing w:after="60"/>
      </w:pPr>
      <w:r>
        <w:t xml:space="preserve">Guía de 2027 (febrero) por debajo del 8 % de crecimiento a tipos constantes: Vender.</w:t>
      </w:r>
    </w:p>
    <w:p>
      <w:pPr>
        <w:pStyle w:val="ListParagraph"/>
        <w:numPr>
          <w:ilvl w:val="0"/>
          <w:numId w:val="2"/>
        </w:numPr>
        <w:spacing w:after="60"/>
      </w:pPr>
      <w:r>
        <w:t xml:space="preserve">Oferta de Sartorius AG por los minoritarios: revisar con la prima ofrecida.</w:t>
      </w:r>
    </w:p>
    <w:p>
      <w:pPr>
        <w:pStyle w:val="Heading2"/>
      </w:pPr>
      <w:r>
        <w:t xml:space="preserve">Dónde discrepamos del mercado</w:t>
      </w:r>
    </w:p>
    <w:p>
      <w:pPr>
        <w:keepNext/>
        <w:spacing w:after="100"/>
      </w:pPr>
      <w:r>
        <w:rPr>
          <w:b/>
          <w:bCs/>
        </w:rPr>
        <w:t xml:space="preserve">Lo que descuenta el precio.</w:t>
      </w:r>
    </w:p>
    <w:p>
      <w:pPr>
        <w:spacing w:after="100"/>
      </w:pPr>
      <w:r>
        <w:t xml:space="preserve">Una vuelta al crecimiento de dos dígitos desde 2027 (consenso de ventas +11 %), un margen que sube hacia el 33-34 % y un múltiplo que se mantiene cerca de 40 veces el beneficio subyacente, como en 2024-2025. Los analistas (14, consenso «comprar») ponen el objetivo medio en 237,29 EUR.</w:t>
      </w:r>
    </w:p>
    <w:p>
      <w:pPr>
        <w:keepNext/>
        <w:spacing w:after="100"/>
      </w:pPr>
      <w:r>
        <w:rPr>
          <w:b/>
          <w:bCs/>
        </w:rPr>
        <w:t xml:space="preserve">Lo que creemos nosotros.</w:t>
      </w:r>
    </w:p>
    <w:p>
      <w:pPr>
        <w:spacing w:after="100"/>
      </w:pPr>
      <w:r>
        <w:t xml:space="preserve">Crecimiento del 9,0-9,5 % (el extremo bajo del plan), margen subyacente del 32,7 % en 2028 y un múltiplo que converge despacio hacia su mediana limpia (35,5x). Coincidimos con el consenso en el precio base, pero no en el riesgo: la asimetría es mala y el valor intrínseco está muy lejos.</w:t>
      </w:r>
    </w:p>
    <w:p>
      <w:pPr>
        <w:keepNext/>
        <w:spacing w:after="100"/>
      </w:pPr>
      <w:r>
        <w:rPr>
          <w:b/>
          <w:bCs/>
        </w:rPr>
        <w:t xml:space="preserve">Por qué podemos tener razón.</w:t>
      </w:r>
    </w:p>
    <w:p>
      <w:pPr>
        <w:spacing w:after="100"/>
      </w:pPr>
      <w:r>
        <w:t xml:space="preserve">La empresa ya incumplió su plan anterior por un 33 %; el ROIC (6,0 %) está por debajo del WACC después de las compras; y el gobierno resta (canon de marca creciente, minoritarios que votan en contra sin efecto). Nada de eso está en el múltiplo.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6,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Foso regulatorio</w:t>
      </w:r>
      <w:r>
        <w:t xml:space="preserve">: el 86 % de las ventas es recurrente y queda fijado en el proceso validado de cada fármaco [3].</w:t>
      </w:r>
    </w:p>
    <w:p>
      <w:pPr>
        <w:pStyle w:val="ListParagraph"/>
        <w:numPr>
          <w:ilvl w:val="0"/>
          <w:numId w:val="2"/>
        </w:numPr>
        <w:spacing w:after="60"/>
      </w:pPr>
      <w:r>
        <w:rPr>
          <w:b/>
        </w:rPr>
        <w:t xml:space="preserve">Recuperación en marcha</w:t>
      </w:r>
      <w:r>
        <w:t xml:space="preserve">: +9,6 % a tipos constantes en 2025 y +8,0 % operativo en el 1S26, con equipos ya en positivo [2, 3].</w:t>
      </w:r>
    </w:p>
    <w:p>
      <w:pPr>
        <w:pStyle w:val="ListParagraph"/>
        <w:numPr>
          <w:ilvl w:val="0"/>
          <w:numId w:val="2"/>
        </w:numPr>
        <w:spacing w:after="60"/>
      </w:pPr>
      <w:r>
        <w:rPr>
          <w:b/>
        </w:rPr>
        <w:t xml:space="preserve">Margen al alza</w:t>
      </w:r>
      <w:r>
        <w:t xml:space="preserve">: 31,4 % subyacente en el 1S26 frente al 28,0 % de 2024 [3].</w:t>
      </w:r>
    </w:p>
    <w:p>
      <w:pPr>
        <w:pStyle w:val="ListParagraph"/>
        <w:numPr>
          <w:ilvl w:val="0"/>
          <w:numId w:val="2"/>
        </w:numPr>
        <w:spacing w:after="60"/>
      </w:pPr>
      <w:r>
        <w:rPr>
          <w:b/>
        </w:rPr>
        <w:t xml:space="preserve">Deuda a la baja</w:t>
      </w:r>
      <w:r>
        <w:t xml:space="preserve">: 2,36 veces el EBITDA subyacente en junio y «algo por encima de 2» a final de año [3].</w:t>
      </w:r>
    </w:p>
    <w:p>
      <w:pPr>
        <w:pStyle w:val="ListParagraph"/>
        <w:numPr>
          <w:ilvl w:val="0"/>
          <w:numId w:val="2"/>
        </w:numPr>
        <w:spacing w:after="60"/>
      </w:pPr>
      <w:r>
        <w:rPr>
          <w:b/>
        </w:rPr>
        <w:t xml:space="preserve">Opción corporativa</w:t>
      </w:r>
      <w:r>
        <w:t xml:space="preserve">: Elliott en Sartorius AG puede forzar una simplificación con prima para los minoritarios [25].</w:t>
      </w:r>
    </w:p>
    <w:p>
      <w:pPr>
        <w:pStyle w:val="Heading2"/>
      </w:pPr>
      <w:r>
        <w:t xml:space="preserve">En contra</w:t>
      </w:r>
    </w:p>
    <w:p>
      <w:pPr>
        <w:pStyle w:val="ListParagraph"/>
        <w:numPr>
          <w:ilvl w:val="0"/>
          <w:numId w:val="2"/>
        </w:numPr>
        <w:spacing w:after="60"/>
      </w:pPr>
      <w:r>
        <w:rPr>
          <w:b/>
        </w:rPr>
        <w:t xml:space="preserve">Valoración exigente</w:t>
      </w:r>
      <w:r>
        <w:t xml:space="preserve">: 38,6 veces el BPA subyacente de 2027 y valor intrínseco de 96,08 EUR (−55,6 %).</w:t>
      </w:r>
    </w:p>
    <w:p>
      <w:pPr>
        <w:pStyle w:val="ListParagraph"/>
        <w:numPr>
          <w:ilvl w:val="0"/>
          <w:numId w:val="2"/>
        </w:numPr>
        <w:spacing w:after="60"/>
      </w:pPr>
      <w:r>
        <w:rPr>
          <w:b/>
        </w:rPr>
        <w:t xml:space="preserve">ROIC bajo</w:t>
      </w:r>
      <w:r>
        <w:t xml:space="preserve">: 6,0 % frente a un WACC del 8,93 % tras pagar 2.400 M por Polyplus.</w:t>
      </w:r>
    </w:p>
    <w:p>
      <w:pPr>
        <w:pStyle w:val="ListParagraph"/>
        <w:numPr>
          <w:ilvl w:val="0"/>
          <w:numId w:val="2"/>
        </w:numPr>
        <w:spacing w:after="60"/>
      </w:pPr>
      <w:r>
        <w:rPr>
          <w:b/>
        </w:rPr>
        <w:t xml:space="preserve">Historial de objetivos incumplidos</w:t>
      </w:r>
      <w:r>
        <w:t xml:space="preserve">: 4.400 M y &gt; 35 % de margen prometidos para 2025; real, 2.967 M y 30,8 % [7].</w:t>
      </w:r>
    </w:p>
    <w:p>
      <w:pPr>
        <w:pStyle w:val="ListParagraph"/>
        <w:numPr>
          <w:ilvl w:val="0"/>
          <w:numId w:val="2"/>
        </w:numPr>
        <w:spacing w:after="60"/>
      </w:pPr>
      <w:r>
        <w:rPr>
          <w:b/>
        </w:rPr>
        <w:t xml:space="preserve">Gobierno de filial</w:t>
      </w:r>
      <w:r>
        <w:t xml:space="preserve">: 66 % de los votos libres contra la remuneración del consejero delegado y canon de marca +63 % [1, 12].</w:t>
      </w:r>
    </w:p>
    <w:p>
      <w:pPr>
        <w:pStyle w:val="ListParagraph"/>
        <w:numPr>
          <w:ilvl w:val="0"/>
          <w:numId w:val="2"/>
        </w:numPr>
        <w:spacing w:after="60"/>
      </w:pPr>
      <w:r>
        <w:rPr>
          <w:b/>
        </w:rPr>
        <w:t xml:space="preserve">Asimetría desfavorable</w:t>
      </w:r>
      <w:r>
        <w:t xml:space="preserve">: +19,3 % en el alcista frente a −33,7 % en el bajista.</w:t>
      </w:r>
    </w:p>
    <w:p>
      <w:pPr>
        <w:pStyle w:val="Heading2"/>
      </w:pPr>
      <w:r>
        <w:t xml:space="preserve">Qué tiene que pasar para que la tesis funcione</w:t>
      </w:r>
    </w:p>
    <w:p>
      <w:pPr>
        <w:spacing w:after="100"/>
      </w:pPr>
      <w:r>
        <w:t xml:space="preserve">La tesis depende de que los equipos sigan creciendo y de que el margen subyacente pase del 31 % al 32-33 % en 2027 sin ayudas técnicas de aranceles. La señal de que no se cumple: equipos en negativo en el 3T26 o una guía de 2027 por debajo del 9 % de crecimiento orgánico en febrero. Vigilar también cualquier movimiento de Sartorius AG sobre el 28,5 % de minoritarios.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en 1S26 (8,0 % operativo)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+60-85 pb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equipos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Ligero crecimiento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cíclica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a final de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algo por encima de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extraordinarias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60 M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Distancia entre BPA subyacente y publicado.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26,8x / 22,6x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71,9x / 45,0x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Sartorius nació en Gotinga en 1870 como taller de balanzas; Stedim, en Aubagne, fabricaba bolsas de un solo uso para la industria farmacéutica. En 2007 Sartorius AG aportó su división de biotecnología a la cotizada francesa Stedim y nació Sartorius Stedim Biotech, controlada por la matriz alemana. Con la sustitución del acero por el plástico de un solo uso en la fabricación de biológicos, las ventas pasaron de ≈1.000 M en 2015 a 3.493 M en 2022, con un salto por la pandemia; en 2023 el desestocaje de los clientes las bajó un 18,7 % y la compra de Polyplus (2.400 M) disparó la deuda [1, 7, 18]. Desde 2023 el consejero delegado es René Fáber; Joachim Kreuzburg, presidente desde 2007, dejó el consejo en junio de 2025 y le sustituyó Michael Grosse, consejero delegado de Sartorius AG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Stedim empieza en Aubagne con bolsas de un solo uso para soluciones parenterales.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la biotecnología de Sartorius AG con Stedim: nace Sartorius Stedim Biotech, controlada por Sartorius AG.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6 por 1; entra en el SBF 120 y luego en el CAC 40 (2017).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ventas +33 % y +51 %; compras de BIA Separations, Biosafe y CellGenix.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4.400 M de ventas y margen &gt; 35 % para 2025 (luego incumplido: 2.967 M y 30,8 %).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Desestocaje: ventas −18,7 % a tipos constantes; compra de Polyplus por 2.400 M financiada con deuda de la matriz.</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1.194 M para bajar la deuda; ventas planas.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(+9,6 %); Michael Grosse sustituye a Kreuzburg en la presidencia.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con objetivos del 9-12 % anual desde 2027; devolución de aranceles de EE. UU.</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Sartorius Stedim Biotech (SSB) vende la tecnología con la que las farmacéuticas, las biotecnológicas y los fabricantes por encargo producen medicamentos biológicos: líneas celulares y medios de cultivo, biorreactores de un solo uso (de 15 ml a 2.000 litros, con el Ambr para desarrollo), bolsas y sistemas para manipular y almacenar fluidos, filtros y membranas, cromatografía y purificación, y software de análisis de proceso [1]. Con Polyplus (2023) añadió reactivos de transfección para terapias génicas. Fabrica en Francia (Aubagne), Alemania (Gotinga), EE. UU., Reino Unido, Suiza, India, China y Corea (Songdo) [1]. Vende en todo el mundo: EMEA 41,8 %, Américas 35,5 % y Asia-Pacífico 22,7 % de las ventas de 2025 [2]. Tiene un único segmento (Biopharm); el 86,3 % de las ventas del 1S26 fueron consumibles y servicios y el 13,7 %, equipos [3].</w:t>
      </w:r>
    </w:p>
    <w:p>
      <w:pPr>
        <w:pStyle w:val="Heading2"/>
      </w:pPr>
      <w:r>
        <w:t xml:space="preserve">Cómo gana dinero</w:t>
      </w:r>
    </w:p>
    <w:p>
      <w:pPr>
        <w:spacing w:after="100"/>
      </w:pPr>
      <w:r>
        <w:t xml:space="preserve">El negocio es de «cuchilla y maquinilla»: el biorreactor o el sistema se vende una vez y después cada lote de producción consume bolsas, filtros, medios y resinas que el cliente no puede cambiar sin revalidar el proceso ante la FDA o la EMA. Por eso el 86 % de las ventas es recurrente y el margen EBITDA subyacente ronda el 31 % [3]. El margen depende sobre todo del volumen: con fábricas dimensionadas para la demanda de la pandemia, la caída de ventas de 2023 bajó el margen del 35,0 % de 2022 al 28,3 %, y la recuperación lo ha devuelto al 30,8 % en 2025 [2]. Los equipos tienen menos margen y son cíclicos (dependen de la inversión en capacidad de los clientes). No hay estacionalidad marcada; sí ciclos de existencias de los clientes, como el desestocaje de 2023-2024.</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Consumibles y servicios (recurrente)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Equipos (no recurrente)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1S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Consumibles y servicios (recurrente)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Equipos (no recurrente)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grandes farmacéuticas, biotecnológicas y fabricantes por encargo (CDMO como Lonza, Samsung Biologics o Fujifilm). La empresa no publica la concentración, pero sí que ningún cliente pesa de forma material [1]. La relación es larga: el proveedor entra en el expediente regulatorio del medicamento y sale cuando el medicamento deja de fabricarse. El poder de precios se ha visto en la inflación de 2022-2023, cuando la empresa subió precios y elevó su objetivo de ventas para 2025 «por los mayores precios» [7]; en 2025 repercutió los aranceles de EE. UU. a los clientes (≈1 punto de crecimiento en la guía de 2026) y ahora devolverá hasta 35 M de recargos tras la sentencia del Tribunal Supremo [3, 6]. El margen bruto del 1S26 bajó al 46,1 % (47,1 %) por divisa y mezcla: el poder de precios es bueno en consumibles y débil en equipos.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(2025); 6,4 % en 1S26 (8,0 % operativo sin compensación de aranceles)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desestocaje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(2025); 31,4 %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escala; mezcla y aranceles en contra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negocio recurrente (consumibles y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vuelven a crecer ligeramente en el 2T26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(2025); 2,36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algo por encima de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(2025); 9,3 %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similar a 2025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10.265 (2025); 10.477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Sobre todo producción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tecnologías y consumibles para fabricar medicamentos biológicos (bioprocesado): biorreactores y bolsas de un solo uso, medios de cultivo y reactivos, filtración y membranas, cromatografía, gestión de fluidos y analítica de proceso, en todo el mundo. Excluye la fabricación por encargo (CDMO como Lonza o Samsung Biologics, que son clientes) y los instrumentos de laboratorio. Los estudios de mercado dan cifras muy dispares (48.000-67.000 M USD «de equipos») porque suman perímetros distintos; usamos la estimación ascendente de la ficha sectorial: ≈27.000 M EUR en 2025, contrastada con la suma de ingresos de bioprocesado de Danaher (Cytiva), Thermo Fisher, Merck KGaA, Sartorius y Repligen [13, 15, 16,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27.000 M EUR en 2025 (estimación propia ascendente de la ficha sectorial [20]; Next Move estima ≈ 48.680 M USD con un perímetro más amplio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biológicos (anticuerpos, GLP-1 biológicos, ADC)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biofármacos +10 % en 2025 hasta 617.000 M USD, 51 % del mercado farmacéutico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Consumibles recurrentes ligados a la producción comercial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las ventas de SSB son recurrentes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clientes en capacidad (equipos)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de bioprocesado con caída de dos cifras en 2025 en Danaher; en SSB vuelven a crecer ligeramente en el 2T26 [3,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existencias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Desestocaje 2023-2024: SSB −18,7 % en 2023 y +0,6 % en 2024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relocalización de la producción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anulados en feb-26; quedan otros aranceles; anuncios de fábricas de farmacéuticas en EE. UU.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Biosimilares y presión de precios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chinos de bolsas y medios citados como riesgo por la empresa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(Cytiva, Thermo, Merck, Sartorius) con márgenes EBITDA del 25-35 %; la rivalidad es en innovación y servicio más que en precio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farmacéuticas y CDMO compran mucho, pero los consumibles pesan poco en el coste del medicamento y cambiar de proveedor exige revalidar el proceso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Polímeros, resinas y componentes con varios proveedores; la integración vertical (membranas en Gotinga) reduce la dependencia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y de validación altas; los entrantes chinos ganan en su mercado, todavía poco fuera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acero inoxidable y el proceso continuo cambian la mezcla, no eliminan los consumibles; Sartorius vende ambos [1].</w:t>
            </w:r>
          </w:p>
        </w:tc>
      </w:tr>
    </w:tbl>
    <w:p>
      <w:pPr>
        <w:spacing w:after="160" w:before="0"/>
      </w:pPr>
    </w:p>
    <w:p>
      <w:pPr>
        <w:pStyle w:val="Heading2"/>
      </w:pPr>
      <w:r>
        <w:t xml:space="preserve">Ciclo</w:t>
      </w:r>
    </w:p>
    <w:p>
      <w:pPr>
        <w:spacing w:after="100"/>
      </w:pPr>
      <w:r>
        <w:t xml:space="preserve">El sector vivió un auge con la pandemia (2020-2022), un desestocaje profundo en 2023 (Sartorius −18,7 %, Repligen y Cytiva con caídas parecidas) y una recuperación desde 2025 liderada por consumibles; los equipos siguen débiles por la prudencia de los clientes en capacidad [11, 13]. En 2009 el negocio apenas cayó (consumibles ligados a la producción). Indicadores: crecimiento de consumibles de los cuatro grandes, pedidos de equipos y tono de China. A mediados de 2026 los consumibles crecen a un dígito alto y los equipos se estabilizan: recuperación, aún no expansión.</w:t>
      </w:r>
    </w:p>
    <w:p>
      <w:pPr>
        <w:pStyle w:val="Heading2"/>
      </w:pPr>
      <w:r>
        <w:t xml:space="preserve">Regulación</w:t>
      </w:r>
    </w:p>
    <w:p>
      <w:pPr>
        <w:spacing w:after="100"/>
      </w:pPr>
      <w:r>
        <w:t xml:space="preserve">La fabricación de biológicos está regulada por la FDA y la EMA: cada proceso validado fija sus consumibles y su proveedor, lo que da costes de cambio altos. Cambios en curso: la BIOSECURE Act en EE. UU. (limita a proveedores biotecnológicos chinos; favorece a los occidentales), la política arancelaria de EE. UU. (aranceles IEEPA anulados por el Tribunal Supremo el 20-feb-2026; otros siguen en vigor) y la restricción europea de PFAS, que afecta a membranas y filtros (Sartorius ya lanzó un filtro sin PFAS) [1, 3].</w:t>
      </w:r>
    </w:p>
    <w:p>
      <w:pPr>
        <w:pStyle w:val="Heading2"/>
      </w:pPr>
      <w:r>
        <w:t xml:space="preserve">Tendencias y disrupción</w:t>
      </w:r>
    </w:p>
    <w:p>
      <w:pPr>
        <w:spacing w:after="100"/>
      </w:pPr>
      <w:r>
        <w:t xml:space="preserve">Proceso continuo e intensificado (Sartorius lanzó módulos Pionic), terapias celulares y génicas (plataforma Eveo, Polyplus), digitalización y datos para el desarrollo con IA (Ambr), y relocalización de la capacidad en EE. UU. y Asia (nueva planta en Songdo) [1, 3, 4]. Sartorius gana con el proceso continuo y el un solo uso; pierde si las terapias génicas siguen creciendo menos de lo esperado (Polyplus).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3-4 mundial en bioprocesado (≈11 % de un mercado de ≈27.000 M EUR, estimación propia) tras Cytiva (Danaher) y junto a Thermo Fisher y Merck KGaA; cuotas «de dos dígitos altos» en bolsas de un solo uso, biorreactores y filtración [1,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 (Cytiva, Pall): segmento Biotecnología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cromatografía, resinas y filtración; bioprocesado de más de 6.000 M USD, 80 % ligado a anticuerpos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Life Sciences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Bioproducción (medios, bolsas, resinas) dentro de un segmento más amplio; compró filtración de Solventum por ≈4.000 M USD en 2025 [14,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KGaA: Life Science (Process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medios y servicios de proceso; margen EBITDA pre del segmento ≈29 %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Repligen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RGEN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filtración de flujo tangencial y cromatografía; cotiza a 78 veces el beneficio esperado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Avantor y fabricantes chinos (Tofflon, Bioengine)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en precio en consumibles estándar, sobre todo en China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queda fijado en el expediente regulatorio del medicamento; 86 % de ventas recurrentes [1,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en membranas, Ambr y plataformas de un solo uso; I+D de 133 M (4,5 % de las ventas)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subyacente del 30,8 %, cerca de Danaher Biotecnología pero sin ventaja de escala clara frente a Cytiva [3,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proveedores globales comparten un mercado concentrado (CR5 ≈60 %) [11].</w:t>
            </w:r>
          </w:p>
        </w:tc>
      </w:tr>
    </w:tbl>
    <w:p>
      <w:pPr>
        <w:spacing w:after="160" w:before="0"/>
      </w:pPr>
    </w:p>
    <w:p>
      <w:pPr>
        <w:pStyle w:val="Heading2"/>
      </w:pPr>
      <w:r>
        <w:t xml:space="preserve">Amenazas</w:t>
      </w:r>
    </w:p>
    <w:p>
      <w:pPr>
        <w:spacing w:after="100"/>
      </w:pPr>
      <w:r>
        <w:t xml:space="preserve">La amenaza principal no es la entrada sino la concentración del poder de compra (CDMO grandes como Lonza o Samsung Biologics que negocian volumen) y los proveedores chinos, que ya ganan cuota en China y pueden exportar si la BIOSECURE Act no les cierra EE. UU. Segunda amenaza: que las terapias celulares y génicas, en las que Sartorius pagó Polyplus, sigan creciendo poco. Probabilidad media en los dos casos [1,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2020-2025: ingresos </w:t>
      </w:r>
      <w:r>
        <w:rPr>
          <w:b/>
          <w:bCs/>
        </w:rPr>
        <w:t xml:space="preserve">9,2 %</w:t>
      </w:r>
      <w:r>
        <w:t xml:space="preserve">, EBITDA </w:t>
      </w:r>
      <w:r>
        <w:rPr>
          <w:b/>
          <w:bCs/>
        </w:rPr>
        <w:t xml:space="preserve">8,1 %</w:t>
      </w:r>
      <w:r>
        <w:t xml:space="preserve">, BPA </w:t>
      </w:r>
      <w:r>
        <w:rPr>
          <w:b/>
          <w:bCs/>
        </w:rPr>
        <w:t xml:space="preserve">-5,6 %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1.910 M en 2020 a 3.493 M en 2022 con la demanda de la pandemia (vacunas y acopio de consumibles) y cayeron un 18,7 % a tipos constantes en 2023 por el desestocaje de los clientes; 2024 quedó plano (+0,6 %) y 2025 volvió a crecer un 9,6 % a tipos constantes (6,7 % publicado por el dólar) hasta 2.967,5 M [2, 11]. El EBITDA subyacente pasó del 35,8 % en 2021 al 28,0 % en 2024 (pérdida de apalancamiento operativo y mezcla) y se recuperó al 30,8 % en 2025 y al 31,4 % en el 1S26 [2, 3]. Polyplus, consolidada desde julio de 2023, aporta ventas de medios y reactivos de margen alto, pero también 112-117 M anuales de amortización de intangibles de compras [2]. En el 1S26 las ventas subieron un 2,5 % (6,4 % a tipos constantes) y el beneficio neto un 17,6 %, ayudado por menos partidas extraordinarias (15,1 M frente a 36,4 M) y un efecto técnico de aranceles: la devolución de aranceles de EE. UU. se abonó al coste de ventas y la compensación a clientes (≈23 M) se restó de las ventas [3].</w:t>
      </w:r>
    </w:p>
    <w:p>
      <w:pPr>
        <w:pStyle w:val="Heading2"/>
      </w:pPr>
      <w:r>
        <w:t xml:space="preserve">Ajustes y partidas no recurrentes</w:t>
      </w:r>
    </w:p>
    <w:p>
      <w:pPr>
        <w:spacing w:after="100"/>
      </w:pPr>
      <w:r>
        <w:t xml:space="preserve">La empresa publica EBITDA subyacente (sin partidas extraordinarias) y BPA subyacente (sin extraordinarias ni amortización de intangibles de compras, con resultado financiero normalizado y un tipo del 26 %). En 2025: BPA subyacente 4,40 frente a 2,73 publicado; en 2024, 3,49 frente a 1,81 [2, 6]. La diferencia de 2025 (1,67 EUR) es 70,0 M de extraordinarias, 112,6 M de amortización de compras y 22,6 M de diferencias de cambio y valoración en el resultado financiero, netos de impuestos [2]. Las extraordinarias se repiten todos los años (26,5 M en 2021, 46,3 M en 2022, 99,1 M en 2023, 106,7 M en 2024, 70,0 M en 2025 y 15,1 M en 1S26) [2, 7, 10]: no son no recurrentes. En la cuenta usamos el EBITDA publicado (EBIT + amortizaciones), y en el DCF las tratamos como gasto (≈1 % de las ventas).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(23-abr) la dirección habló de un buen comienzo con consumibles fuertes y equipos «blandos como se esperaba», con mejora prevista en el 2T; el margen subyacente se quedó en el 30,7 % (30,8 % un año antes) por mezcla y aranceles, y la acción cayó un 14,2 % ese día [4]. En el 1S26 (23-jul) el discurso pasó a «impulso positivo y mercados finales que mejoran gradualmente»: equipos volvieron a crecer ligeramente, Asia-Pacífico creció un 12,5 % con la recuperación de China y el margen subió al 32,1 % en el 2T [3]. Lo que cambió entre una y otra: la sentencia del Tribunal Supremo de EE. UU. (20-feb-2026) que anuló los aranceles IEEPA; la empresa cobró la devolución a final de junio y compensará a los clientes hasta 35 M, lo que deja el crecimiento de 2026 en la mitad baja de la guía del 6-10 % (operativo, hacia el punto medio) [3]. En marzo de 2026 presentó objetivos a medio plazo desde 2027: crecimiento orgánico del 9-12 % anual (mercado del 8-10 %) y +60-85 pb de margen subyacente al año [3]. No dio cifras de pedidos de equipos ni del efecto neto de los aranceles por trimestre. (Sin transcripción literal de las conferencias: resumen de los informes oficiales.)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Polyplus (≈2.400 M), consolidada desde julio de 2023: entra entera en el balance de 2023 y solo medio año en la cuenta.; 2022: Compras de Albumedix, de la división de purificación de Novasep y de BIA Separations (cerrada a finales de 2020) que cambian el perímetro de 2021-2022.).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saltó de 1.025 M en 2022 a 3.567 M en 2023 por Polyplus y bajó con la ampliación de capital de 1.194 M de 2024 y la caja libre: deuda bruta de 2.599 M (con arrendamientos) a dic-25 y 2.403 M a jun-26; deuda neta de 2.199 M, 2,36 veces el EBITDA subyacente [3]. El circulante comercial cayó de 1.178 M en 2022 a 606 M en 2025 al deshacer el exceso de existencias; parte de la caída de clientes (192,8 M a dic-25 frente a 265,9 M) es factoring, no cobro: con los 307,8 M vendidos, los días de cobro reales rondan los 60 [1]. En el 1S26 el circulante subió de 884 a 987 M con el crecimiento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1.303</w:t>
      </w:r>
      <w:r>
        <w:t xml:space="preserve">, conversión </w:t>
      </w:r>
      <w:r>
        <w:rPr>
          <w:b/>
          <w:bCs/>
        </w:rPr>
        <w:t xml:space="preserve">55 %</w:t>
      </w:r>
      <w:r>
        <w:t xml:space="preserve"> del beneficio neto; adquisiciones 3.369, dividendos 477, recompras 5.</w:t>
      </w:r>
    </w:p>
    <w:p>
      <w:pPr>
        <w:spacing w:after="100"/>
      </w:pPr>
      <w:r>
        <w:t xml:space="preserve">El flujo operativo se movió entre 612 y 815 M en 2021-2025 aunque el EBITDA cayó un tercio en 2023-2024: la liberación de existencias (207,6 M en 2024) sostuvo la caja en la parte baja del ciclo [2, 10]. El capex ha sido muy alto (17,1 % de las ventas en 2023, 13,3 % en 2025) por las ampliaciones de Aubagne, Gotinga, Songdo y Marlborough; la empresa no separa mantenimiento y crecimiento, y con la amortización sin compras en ≈205 M (6,9 % de las ventas) estimamos el capex de mantenimiento en ≈7 % de las ventas (estimación propia) [2]. Los intereses se pagan en financiación (153,6 M en 2025). La caja libre de 2025 después de intereses y arrendamientos fue de ≈125 M; en el 1S26, 198,8 M según la empresa (antes de intereses), ayudada por la devolución de aranceles y menos impuestos [3]. Los pagos de arrendamientos de 2023 no se han podido separar (van con la devolución de préstamos).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KPMG S.A. (cotitulares, obligatorio en Francia)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2025); revisión limitada sin salvedades del 1S26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cuadran entre el XBRL ESEF, el Excel de la empresa y el URD: ingresos (RevenueFromContractsWithCustomers) iguales a las ventas publicadas todos los años y deuda financiera = préstamos a largo más corto plazo (2.424,6 M en 2025 = 1.867,3 + 557,3) [1, 9]. El XBRL no recoge los arrendamientos dentro de la deuda (174,6 M aparte), ni el factoring (307,8 M), ni la opción de CellGenix: los añadimos al puente. La contabilidad tiene tres puntos que vigilar. Primero, el BPA «subyacente» que guía al mercado excluye cada año extraordinarias que se repiten (70-107 M en 2023-2025) y la amortización de compras (112,6 M). Segundo, el factoring creciente (269,7 → 307,8 M) mejora la caja y los días de cobro publicados. Tercero, las operaciones con el grupo Sartorius: 103,7 M de servicios centrales, 19,6 M de canon de marca (12,0 M en 2024) y 2.426 M de deuda con el grupo [1]. El 1S26 lleva un efecto técnico de aranceles (devolución en coste de ventas y compensación a clientes en ventas) que la empresa declara neutral en el margen del semestre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«extraordinarias» que se repiten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46,3 / 99,1 / 106,7 / 70,0 M en 2021-2025: inflan el EBITDA y el BPA subyacentes [2, 7,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 sin recurso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307,8 M de clientes vendidos a dic-25 (+38 M en el año): deuda económica fuera del balance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Canon de marca a la matriz +63 %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 M en 2025 frente a 12,0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técnico de la devolución de aranceles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Devolución en coste de ventas, compensación de ≈23 M restada de ventas; hasta 35 M en el año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0,7 % · </w:t>
      </w:r>
      <w:r>
        <w:rPr>
          <w:b/>
          <w:bCs/>
        </w:rPr>
        <w:t xml:space="preserve">WACC</w:t>
      </w:r>
      <w:r>
        <w:t xml:space="preserve">: 8,9 %.</w:t>
      </w:r>
    </w:p>
    <w:p>
      <w:pPr>
        <w:spacing w:after="100"/>
      </w:pPr>
      <w:r>
        <w:t xml:space="preserve">Sartorius Stedim Biotech no crea valor hoy con su capital total: el ROIC fue del 6,0 % en 2025 (4,8 % en 2024 y 7,2 % en 2023) frente a un WACC del 8,93 %, unos 3 puntos por debajo. Hasta 2022 era otra empresa: ROIC del 26,9 % en 2021 y 27,3 % en 2022. La caída tiene dos causas. Primera, el margen: el beneficio operativo bajó a la mitad con el desestocaje. Segunda, el capital: Polyplus y las compras de 2020-2022 llevaron el capital invertido de 2.062 M en 2021 a 6.227 M en 2024, casi todo fondo de comercio e intangibles (4.420 M a dic-25) [2]. El ROIC incremental histórico es del 0,7 %. Sin el capital pagado en las compras, el negocio orgánico rinde más del 20 % (estimación propia: NOPAT antes de la amortización de compras ≈470 M sobre ≈1.900 M de capital tangible), así que el crecimiento orgánico sí crea valor; lo que no lo ha creado es la asignación de capital de 2020-2023. Lonza, con un ROIC del 9,3 %, está algo mejor [41]; Mettler-Toledo, sin grandes compras, rinde el 47,6 % [32].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203,9 M (jun-26) + línea de crédito de 260 M de Sartorius AG (0,4 M dispuestos a dic-25) + líneas bilaterales bancarias de ≈129 M sin usar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propio (los bonos los emite Sartorius Finance B.V., filial de Sartorius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Casi toda la deuda (2.419,7 M de 2.424,7 M a dic-25) son préstamos de Sartorius Finance B.V. con las mismas condiciones que los bonos de 3.000 M que emitió Sartorius AG en 2023 para pagar Polyplus (cupones del 4,25 % al 4,875 %, vencimientos 2026-2035), más una comisión de tesorería «a coste más margen»; sin covenants [1]. En mayo de 2026 el tramo de 520 M con vencimiento en septiembre se refinanció: SSB pagó 537,2 M y recibió 295 M en préstamos al 3,75 % (bono nuevo de 500 M de Sartorius Finance) [3]. Otros pasivos asimilables a deuda: venta sin recurso de clientes por ≈307,8 M a dic-25 (269,7 M en 2024) [1]; compensación de aranceles a clientes ≈23 M (jun-26) [3]; pensiones 33,2 M [3]. La opción de venta del 24 % de CellGenix (71,3 M) se liquidó en el 1S26 por 71,8 M [3]. Compromiso de servicios con una empresa conjunta hasta 2033 (≈94 M) [1].</w:t>
      </w:r>
    </w:p>
    <w:p>
      <w:pPr>
        <w:pStyle w:val="Heading1"/>
      </w:pPr>
      <w:r>
        <w:t xml:space="preserve">12. Asignación de capital</w:t>
      </w:r>
    </w:p>
    <w:p>
      <w:pPr>
        <w:pStyle w:val="Confianza"/>
        <w:spacing w:after="100"/>
      </w:pPr>
      <w:r>
        <w:t xml:space="preserve">Confianza: Alta</w:t>
      </w:r>
    </w:p>
    <w:p>
      <w:pPr>
        <w:spacing w:after="100"/>
      </w:pPr>
      <w:r>
        <w:t xml:space="preserve">Dividendo de en torno al 15-20 % del beneficio subyacente: 0,69 EUR por 2024 y por 2025 (67 M), frente a 1,44 EUR por 2022 [2]. No hay recompras: la junta de 2026 solo renovó la autorización técnica (resolución 12) [12]. La prioridad declarada es invertir en capacidad (capex en torno al 13 % de las ventas en 2026), reducir la deuda a algo más de 2 veces el EBITDA y compras selectivas [3,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Polyplus (vectores de transfección y reactivos para terapias génicas)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de Sartorius AG financiados con bonos de 3.000 M; ampliación de capital de 1.194 M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pero las terapias génicas crecieron menos de lo previsto; añade ≈112 M anuales de amortización y la mayor parte de los 2.884 M de fondo de comercio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Albumedix y división de purificación de Novasep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con la matriz</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medios y cromatografía; sin deterioros publicados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CellGenix (76 %; el 24 % restante comprado en 2026 por 71,8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con la matriz</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venta liquidada en el 1S26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BIA Separations y unidades de Danaher (Biosafe, purificación)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con la matriz</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aplazados de BIA liquidados en 2022-2023 [7].</w:t>
            </w:r>
          </w:p>
        </w:tc>
      </w:tr>
    </w:tbl>
    <w:p>
      <w:pPr>
        <w:spacing w:after="160" w:before="0"/>
      </w:pPr>
    </w:p>
    <w:p>
      <w:pPr>
        <w:spacing w:after="100"/>
      </w:pPr>
      <w:r>
        <w:t xml:space="preserve">La dirección compró caro en el pico: Polyplus por 2.400 M en marzo de 2023, con ventas «de dos cifras altas» de millones, justo antes del desestocaje; el ROIC del grupo cayó del 25-30 % de 2021-2022 a un dígito y la deuda neta llegó a 4,5 veces el EBITDA, lo que obligó a una ampliación de 1.194 M en 2024 (5,15 M de acciones nuevas, +5,6 % de dilución) [1, 2]. Desde entonces la asignación es prudente: sin compras grandes, capex alto pero decreciente y deuda a la baja. La remuneración variable a largo plazo (crecimiento orgánico, BPA y CO2) no premia el rendimiento sobre el capital, y eso explica en parte el historial.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René Fáber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miembro del comité ejecutivo de Sartorius AG, responsable de Bioprocess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Sartorius desde 2016 (marketing y producto en bioprocesado); consejero de SSB desde 2019 y consejero delegado desde marzo de 2023, justo al inicio del desestocaje. Con él las ventas bajaron un 18,7 % en 2023 y volvieron a crecer un 9,6 % en 2025 [1,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Grosse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delegado de Sartorius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Sartorius AG desde 2025; sustituyó a Joachim Kreuzburg en la presidencia de SSB el 1-jul-2025 por cooptación, ratificada en la junta de 2026 con el 21,6 % de los votos libres en contra [1,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Lothar Kappich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dominical (presidente del consejo de supervisión de Sartorius AG y albacea de la herencia de Horst Sartorius)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 los intereses de la familia Sartorius en 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Joachim Kreuzburg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hasta el 30-jun-2025 (antes presidente y consejero delegado, 2007-2023)</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Arquitecto de la estrategia de un solo uso y de las compras de 2020-2023, incluida Polyplus; salió del grupo en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 (objetivo a medio plazo para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≈4.400 M y margen EBITDA subyacente &gt; 35 % en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2.967,5 M y 30,8 %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Ene-24: ventas + un dígito medio-alto, margen &gt; 30 %; jul-24: entre −un dígito bajo y +un dígito bajo, margen 27-29 %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+0,6 % y 28,0 %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Ene-25: aumento moderado de ventas y margen; abr-25: ≈+7 % (±2 pp) y 30-31 %; oct-25: ≈+9 % y ≈31 %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+9,6 % y 30,8 %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Feb-26: +6-10 % a tipos constantes y margen algo &gt; 31 %; jul-26: confirmada, en la mitad baja por la compensación de aranceles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+6,4 % (8,0 % operativo) y 31,4 %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se dañó en 2023-2024: el objetivo de 2025 (4.400 M y &gt; 35 %) se quedó un 33 % corto en ventas, y la guía de 2024 hubo que recortarla a mitad de año. Desde 2025 la dirección guía con rangos amplios y los cumple. El equipo es estable pero muy ligado a la matriz: el consejero delegado y el presidente son a la vez directivos de Sartorius AG, y las funciones centrales (finanzas, relación con inversores, jurídico) las presta una filial de la matriz [1, 5, 7, 11]. No hay un plan de sucesión propio de SSB distinto del del grupo.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Grosse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René Fáber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Lothar Kappich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Pascale Boissel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Dexter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Anne-Marie Graffin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Cécile Dussart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Nowers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Romaine Fernandes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66,4 %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2025); revisión limitada sin salvedades del 1S26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158,30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 AG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(82,5 % de los votos por el voto doble)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750.000 acciones a su filial Sartorius Lab Holding el 10-dic-2025 (operación interna)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 Lab Holding GmbH (100 % de Sartorius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750.000 acciones a 211,10 EUR a su matriz (dic-25)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26,4 % al 28,5 % con la ampliación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33.986 acciones (dic-25)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AG (persona vinculada a M. Grosse, R. Fáber y L. Kappich)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René Fáber cargada a SSB fue de 1,72 M en 2025 (0,85 M fijo, 0,62 M de variable anual y 0,25 M de variable a largo plazo), +42 % sobre 2024; la paga Sartorius AG y SSB la reembolsa [1]. El variable a largo plazo depende del crecimiento orgánico, el BPA y el CO2, no del ROIC ni del rendimiento para el accionista de SSB [1]. En la junta de 2026 la política de remuneración del consejero delegado salió con el 92,0 % a favor, pero solo por el voto de Sartorius AG: de los 18,6 M de votos libres (por correspondencia), 12,4 M (66,4 %) votaron en contra; el informe de remuneraciones (resolución 5) tuvo un 54,4 % en contra del capital libre [12]. La AFG emitió una alerta por la falta de comités separados de nombramientos y de remuneración [23].</w:t>
      </w:r>
    </w:p>
    <w:p>
      <w:pPr>
        <w:pStyle w:val="Heading2"/>
      </w:pPr>
      <w:r>
        <w:t xml:space="preserve">Operaciones vinculadas, estructura de control y defensas</w:t>
      </w:r>
    </w:p>
    <w:p>
      <w:pPr>
        <w:spacing w:after="100"/>
      </w:pPr>
      <w:r>
        <w:t xml:space="preserve">Sartorius AG controla el 71,5 % del capital y el 82,9 % de los votos gracias al voto doble francés (acciones nominativas con más de cuatro años) [1]; nombra al presidente y al consejero delegado, que son directivos suyos, y presta a SSB casi toda su deuda (2.420 M) y sus funciones centrales (103,7 M de servicios, 19,6 M de canon de marca) [1]. Cinco de nueve consejeros son independientes y la comisión de auditoría la preside una independiente, pero las operaciones con la matriz son la parte central de la relación y los minoritarios no tienen capacidad de bloqueo. En mayo de 2026 se publicó que Elliott había tomado una participación en Sartorius AG (y en Bio-Rad, que tiene ≈28 % de la matriz) para presionar por valor [25]: una simplificación de la estructura (fusión o compra de los minoritarios de SSB) es posible pero no anunciada.</w:t>
      </w:r>
    </w:p>
    <w:p>
      <w:pPr>
        <w:pStyle w:val="Heading2"/>
      </w:pPr>
      <w:r>
        <w:t xml:space="preserve">Señales de alerta</w:t>
      </w:r>
    </w:p>
    <w:p>
      <w:pPr>
        <w:pStyle w:val="ListParagraph"/>
        <w:numPr>
          <w:ilvl w:val="0"/>
          <w:numId w:val="2"/>
        </w:numPr>
        <w:spacing w:after="60"/>
      </w:pPr>
      <w:r>
        <w:t xml:space="preserve">Los minoritarios votaron en contra de la política de remuneración del consejero delegado (66,4 % del capital libre) y del informe de remuneraciones (54,4 %) en la junta de 2026; salieron adelante por el voto de Sartorius AG [12].</w:t>
      </w:r>
    </w:p>
    <w:p>
      <w:pPr>
        <w:pStyle w:val="ListParagraph"/>
        <w:numPr>
          <w:ilvl w:val="0"/>
          <w:numId w:val="2"/>
        </w:numPr>
        <w:spacing w:after="60"/>
      </w:pPr>
      <w:r>
        <w:t xml:space="preserve">Canon de marca a la matriz de 19,6 M en 2025, +63 % sobre 2024, y deuda con el grupo de 2.426 M con comisión de tesorería [1].</w:t>
      </w:r>
    </w:p>
    <w:p>
      <w:pPr>
        <w:pStyle w:val="ListParagraph"/>
        <w:numPr>
          <w:ilvl w:val="0"/>
          <w:numId w:val="2"/>
        </w:numPr>
        <w:spacing w:after="60"/>
      </w:pPr>
      <w:r>
        <w:t xml:space="preserve">Sin comités separados de nombramientos y remuneración (alerta de la AFG, 2026) [23].</w:t>
      </w:r>
    </w:p>
    <w:p>
      <w:pPr>
        <w:pStyle w:val="ListParagraph"/>
        <w:numPr>
          <w:ilvl w:val="0"/>
          <w:numId w:val="2"/>
        </w:numPr>
        <w:spacing w:after="60"/>
      </w:pPr>
      <w:r>
        <w:t xml:space="preserve">Elliott en el accionariado de Sartorius AG y de Bio-Rad (mayo de 2026): posible cambio en la estructura del grupo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(3-feb-2026, confirmada el 23-abr y el 23-jul): ventas +6-10 % a tipos constantes, ahora en la mitad baja por la compensación de aranceles a clientes (hasta 35 M), con el negocio operativo hacia el punto medio; margen EBITDA subyacente algo por encima del 31 %; capex en torno al 13 % de las ventas; deuda neta algo por encima de 2 veces el EBITDA subyacente [3]. Objetivo a medio plazo (día del inversor, marzo de 2026): crecimiento orgánico del 9-12 % anual desde 2027 y +60-85 pb de margen al año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(BPA publicado, no subyacente)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208,00 – 262,00</w:t>
            </w:r>
          </w:p>
        </w:tc>
      </w:tr>
    </w:tbl>
    <w:p>
      <w:pPr>
        <w:spacing w:after="160" w:before="0"/>
      </w:pPr>
    </w:p>
    <w:p>
      <w:pPr>
        <w:pStyle w:val="Heading2"/>
      </w:pPr>
      <w:r>
        <w:t xml:space="preserve">Revisiones de estimaciones</w:t>
      </w:r>
    </w:p>
    <w:p>
      <w:pPr>
        <w:spacing w:after="100"/>
      </w:pPr>
      <w:r>
        <w:t xml:space="preserve">Tras el 1S26 el consenso recortó el BPA publicado de 2026 de 3,93 a 3,83 EUR y las ventas de 3.170 a 3.130 M por la compensación de aranceles; el objetivo medio se mantuvo en 232 EUR (rango 208-262) [28]. En octubre MarketScreener da 3,90 EUR y un objetivo medio de 237,29 EUR con 14 analistas y consenso «comprar» [27]. UBS subió a comprar con objetivo de 260 EUR el 20-ago-2026 (comentado en foros, sin el documento original). Solo una fuente con estimaciones completas: el EBITDA del consenso es el subyacente (972,8 M en 2026 = 31,0 %) y el BPA es el publicado.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por ocho entre 2017 y noviembre de 2021 (máximo de ≈590 EUR) con el un solo uso y la pandemia, y cayó un 71,8 % hasta julio de 2024 con el desestocaje, la compra de Polyplus y la ampliación de capital [26]. En los últimos 12 meses sube un 18,3 % frente al −0,6 % del CAC 40, pero con caídas fuertes: −14,2 % el 23-abr-2026 (1T con equipos débiles y margen plano), −7,5 % el 21-jul (resultados de Danaher en bioprocesado) y −6,4 % el 23-jul (1S26). Desde el mínimo de 150 EUR del 30-abr ha subido un 44 %, con la mejora de UBS en agosto y la recuperación del sector [26]. Volatilidad del 40,6 %, el doble que el índice.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subyacente, la acción cotizó a 36,7 veces en 2018 y 51,8 en 2019, subió a 64-70 en 2020-2021 (pico de la pandemia) y quedó a 47,7 veces el BPA de 2025 al cierre de 2025 [2]. Sobre el BPA del año siguiente (base adelantada), 25,3x en 2017, 30,6x en 2018, 35,5x en 2019, 42,9x en 2024 y ≈43x en 2025; hoy, 38,6x nuestro BPA de 2027. Excluimos 2020-2022 de la comparación con el beneficio publicado porque los beneficios de la pandemia y el desestocaje no son repetibles.</w:t>
      </w:r>
    </w:p>
    <w:p>
      <w:pPr>
        <w:pStyle w:val="Heading1"/>
      </w:pPr>
      <w:r>
        <w:t xml:space="preserve">18. Comparables cotizados</w:t>
      </w:r>
    </w:p>
    <w:p>
      <w:pPr>
        <w:pStyle w:val="Confianza"/>
        <w:spacing w:after="100"/>
      </w:pPr>
      <w:r>
        <w:t xml:space="preserve">Confianza: Media</w:t>
      </w:r>
    </w:p>
    <w:p>
      <w:pPr>
        <w:spacing w:after="100"/>
      </w:pPr>
      <w:r>
        <w:t xml:space="preserve">Proveedores de herramientas y consumibles para fabricar biológicos y ciencias de la vida con BPA ajustado: Thermo Fisher, Danaher (Cytiva), Merck KGaA (Life Science), Mettler-Toledo, Repligen (puro de bioprocesado) y Lonza (CDMO, cliente y comparable de ciclo). Cifras de los análisis del repositorio del 7 al 13-oct, en euros con el BCE del 14-oct; Repligen del 14-oct. Sartorius AG se deja fuera de la mediana: tiene a SSB dentro (71,5 %) y su PER es contable (62,8x) [17, 32,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 Stedim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KGaA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Lonza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Repligen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 / 25,3x / 26,6x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 / 26,3x / 30,5x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6,6x / 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Sartorius Stedim cotiza a 45,0 veces el BPA publicado de los próximos 12 meses y a unas 43 veces el subyacente (estimación propia), frente a una mediana de 26,3 veces de los comparables (en BPA ajustado) y a 22,6 veces el EBITDA de los próximos 12 meses. Es la segunda más cara de la tabla tras Repligen (77,8x), con un ROIC (6,0 %) por debajo del de Lonza (9,3 %), Merck (7,5 %) o Thermo Fisher (7,3 %) y más deuda que Lonza o Merck. La prima solo se justifica por un crecimiento esperado más alto: el consenso espera +11 % de ventas en 2027 frente al 3 % de Thermo Fisher o Mettler-Toledo, y SSB es, con Repligen, el único puro de bioprocesado cotizado. El valor implícito por PER (126,56 EUR con la mediana) y por EV/EBITDA (202,99 EUR) queda por debajo del precio. Frente a Lonza: Lonza cotiza a 27,3 veces su BPA core con un crecimiento parecido (CDMO de biológicos), un ROIC mayor y la recuperación ya en sus cuentas; SSB paga un 40 % más de múltiplo por un negocio con más margen bruto pero más cíclico en equipos [41].</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Bio-Techne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Reactivos y herramientas de ciencias de la vida; ≈26,5 veces el EBITDA esperado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y purificación de Solventum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USD por un negocio de ≈1.000 M USD de ventas en 2024 (≈750 M en 2025)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Polyplus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Sartorius Stedim Biotech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dos cifras altas de millones» y margen EBITDA «muy alto» en 2023: más de 20 veces las ventas (estimación)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Cytiva (biofarma de GE)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compra que creó al líder del sector [35].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se pagan a 25-30 veces el EBITDA (Bio-Techne 26,5x) y a más de 20 veces las ventas en activos de terapias génicas (Polyplus); solo dos operaciones tienen múltiplo publicado. SSB no es candidata a una compra de terceros mientras Sartorius AG tenga el 71,5 %; la operación posible es interna: que la matriz compre a los minoritarios o fusione las dos sociedades, algo que la entrada de Elliott en Sartorius AG en mayo de 2026 hace algo más probable [25]. Sin peso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crecen un 4,8 % en 2026 (guía del 6-10 % a tipos constantes en la mitad baja, menos ≈3 puntos de divisa: el 1S26 creció un 2,5 % publicado y un 6,4 % a tipos constantes) [3]. Desde 2027 proyectamos un 9,0-9,5 % anual, el extremo bajo del objetivo del 9-12 % orgánico del día del inversor y el ritmo del mercado de bioprocesado (8-10 %) [3]: la empresa incumplió su objetivo anterior y no le damos el crecimiento por encima del mercado. Bajamos al 3,5 % en 2033e. Medio: 7,2 %. El consenso espera +11,0 % en 2027 y +10,9 % en 2028 [27]: vamos 2-2,5 puntos por debajo cada año.</w:t>
      </w:r>
    </w:p>
    <w:p>
      <w:pPr>
        <w:keepNext/>
        <w:spacing w:after="100"/>
      </w:pPr>
      <w:r>
        <w:rPr>
          <w:b/>
          <w:bCs/>
        </w:rPr>
        <w:t xml:space="preserve">Márgenes.</w:t>
      </w:r>
    </w:p>
    <w:p>
      <w:pPr>
        <w:spacing w:after="100"/>
      </w:pPr>
      <w:r>
        <w:t xml:space="preserve">Margen EBITDA publicado = subyacente − ≈1 punto de extraordinarias que se repiten. Subyacente del 31,2 % en 2026 (guía «algo por encima del 31 %»), +75 pb al año en 2027-2028 (mitad del rango de +60-85 pb del plan) y convergencia al 34,5 % subyacente (33,5 % publicado) en 2032, por debajo del 35-36 % de 2021-2022, que llevaba precios y volúmenes de la pandemia [2, 3]. Danaher Biotecnología tiene un margen operativo del 25,6 %, que con amortización equivale a un EBITDA del 30-33 % [13].</w:t>
      </w:r>
    </w:p>
    <w:p>
      <w:pPr>
        <w:keepNext/>
        <w:spacing w:after="100"/>
      </w:pPr>
      <w:r>
        <w:rPr>
          <w:b/>
          <w:bCs/>
        </w:rPr>
        <w:t xml:space="preserve">Inversión y circulante.</w:t>
      </w:r>
    </w:p>
    <w:p>
      <w:pPr>
        <w:spacing w:after="100"/>
      </w:pPr>
      <w:r>
        <w:t xml:space="preserve">Capex del 13,0 % de las ventas en 2026 (guía), bajando al 8,5 % en 2033e, por encima de la amortización ese año. La amortización incluye la de intangibles de compras (3,8 % de las ventas en 2025), que no se repone, y por eso baja del 10,4 % al 8,4 %. Circulante comercial (existencias + clientes − proveedores − anticipos) del 15,5 % de las ventas, cerca del 14,8 % de 2025, que está rebajado por el factoring [1, 2].</w:t>
      </w:r>
    </w:p>
    <w:p>
      <w:pPr>
        <w:keepNext/>
        <w:spacing w:after="100"/>
      </w:pPr>
      <w:r>
        <w:rPr>
          <w:b/>
          <w:bCs/>
        </w:rPr>
        <w:t xml:space="preserve">Coste del capital.</w:t>
      </w:r>
    </w:p>
    <w:p>
      <w:pPr>
        <w:spacing w:after="100"/>
      </w:pPr>
      <w:r>
        <w:t xml:space="preserve">Tasa libre: Bund a 10 años del 3,51 % (14-oct-2026) [30]. Beta 1,10: la ajustada mensual de 5 años frente al CAC 40 (la bruta 1,15; la semanal de 2 años 1,38) [26]; los análisis de Thermo Fisher y Danaher usan 0,85, pero SSB ha sido mucho más volátil (40,6 % anual). Prima de mercado 5,5 %. Coste de la deuda antes de impuestos 4,4 % (préstamos de la matriz al 3,75-4,875 % más la comisión de tesorería) [1, 3]. Peso de la deuda 10 % a valor de mercado. WACC 8,93 %; con la prima implícita del mercado (4,2 %), 7,64 %.</w:t>
      </w:r>
    </w:p>
    <w:p>
      <w:pPr>
        <w:keepNext/>
        <w:spacing w:after="100"/>
      </w:pPr>
      <w:r>
        <w:rPr>
          <w:b/>
          <w:bCs/>
        </w:rPr>
        <w:t xml:space="preserve">Valor terminal.</w:t>
      </w:r>
    </w:p>
    <w:p>
      <w:pPr>
        <w:spacing w:after="100"/>
      </w:pPr>
      <w:r>
        <w:t xml:space="preserve">Gordon con crecimiento del 2,5 %, inflación del euro del 2 % más medio punto real, por debajo de la tasa libre del 3,51 %; el mercado de biológicos crecerá más que el PIB, pero a 2033 SSB ya tendrá 5.000 M de ventas. El valor terminal pesa un 69 % del valor. El múltiplo de salida de contraste (18 veces el EBITDA) queda por debajo de los 22,6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(hoy: 11,0 %)</w:t>
            </w:r>
          </w:p>
        </w:tc>
      </w:tr>
    </w:tbl>
    <w:p>
      <w:pPr>
        <w:spacing w:after="160" w:before="0"/>
      </w:pPr>
    </w:p>
    <w:p>
      <w:pPr>
        <w:spacing w:after="100"/>
      </w:pPr>
      <w:r>
        <w:t xml:space="preserve">La proyección apenas necesita inversión neta de la amortización (reinversión acumulada de 458 M, el 8 % del NOPAT, con un capex bruto medio del 10,0 % de las ventas). En un negocio de activos ligeros, el crecimiento medio del 6,9 % tiene que salir de subir precios y de ganar volumen sin capital nuevo, y la prueba es el poder de precios y la cuota (10,0 % del mercado en 2033e,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consumibles +6 %, precio y aranceles +2 % y divisa −3,2 puntos (dólar), con la compensación de aranceles de hasta 35 M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plan a medio plazo: volumen +6,5 % (consumibles y equipos en recuperación), precio +2 %, mezcla +0,5 %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 con nueva capacidad (Songdo, Gotinga) y equipos para plantas en EE. UU.;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+6,5 %;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+6 %; precio +2 %; el crecimiento converge al del mercado.</w:t>
            </w:r>
          </w:p>
        </w:tc>
      </w:tr>
    </w:tbl>
    <w:p>
      <w:pPr>
        <w:spacing w:after="160" w:before="0"/>
      </w:pPr>
    </w:p>
    <w:p>
      <w:pPr>
        <w:spacing w:after="100"/>
      </w:pPr>
      <w:r>
        <w:t xml:space="preserve">La prueba del motor no se aplica bien: dice que la reinversión es solo el 8 % del NOPAT porque la amortización incluye 112,6 M anuales de intangibles comprados que no se reponen. Hecha a mano, la inversión neta real (capex menos amortización sin compras, más circulante) es ≈3-4 % de las ventas, un 20-25 % del NOPAT. Con el ROIC del grupo (6,0 %) solo financiaría un crecimiento del 1,5 %; con el ROIC del capital tangible (más del 20 %, estimación propia) financia un 5-6 %. Proyectamos un 7,2 % medio, apoyados en la capacidad ociosa que dejó el capex del 13-17 % de 2023-2025. Cuota final del 10,0 % frente al 11,0 % de hoy: no exige ganar cuota. Veredicto «En parte»: el crecimiento es financiable con el capital orgánico y la capacidad ya construida, pero el ROIC total sigue por debajo del WACC y el historial de cumplir objetivos a medio plazo es malo; no rebajamos el base porque ya está en el extremo bajo del plan de la empresa y 2 puntos por debajo del consenso.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 (base: 7,2 %)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59,0 % (base: 33,5 %)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8,9 %)</w:t>
            </w:r>
          </w:p>
        </w:tc>
      </w:tr>
    </w:tbl>
    <w:p>
      <w:pPr>
        <w:spacing w:after="160" w:before="0"/>
      </w:pPr>
    </w:p>
    <w:p>
      <w:pPr>
        <w:spacing w:after="100"/>
      </w:pPr>
      <w:r>
        <w:t xml:space="preserve">El DCF da 90,07 EUR por acción, un 58,4 % por debajo del precio, con el valor terminal en el 69 % del total. No es un error de cálculo: con un WACC del 8,93 % y un crecimiento medio del 7,2 % hasta 2033, Sartorius Stedim vale menos de la mitad de lo que cotiza. El DCF inverso dice que el precio de 216,40 EUR necesita un crecimiento de ventas del 22,8 % anual en 2027-2033 (nosotros, 7,2 %) o un margen EBITDA del 59 % (nosotros, 33,5 %), o bien aceptar una rentabilidad del 5,7 % anual, por debajo del WACC. Incluso con la prima implícita del mercado (4,2 %) el valor sube solo a 120,81 EUR. El mercado está pagando la vuelta a la empresa de 2021 (crecimiento de dos dígitos y ROIC del 27 %) o una operación corporativa; nuestras cifras no la justifican. Lo mismo pasa con Thermo Fisher, Danaher o Mettler-Toledo en sus análisis del repositorio: el sector entero cotiza por encima de su DCF, y la decisión a 12 meses la toma el múltiplo, no el DCF.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vuelven a caer en 2027 y los consumibles crecen al 6 %: ventas 3 puntos por debajo del base cada año y margen 1,5 puntos menor (como en 2023-2024). El mercado deja de pagar la recuperación.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ordenada: 4,8 % en 2026 y 9,0-9,5 % en 2027-2028, el extremo bajo del plan, con +75 pb de margen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 inversión de las farmacéuticas en EE. UU. y la recuperación de China llevan el crecimiento al 11 % en 2027-2028 y el margen al 34,3 % al final de la proyección, como pide el consenso.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16,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86,85 EUR (-59,9 %).</w:t>
      </w:r>
    </w:p>
    <w:p>
      <w:pPr>
        <w:spacing w:after="100"/>
      </w:pPr>
      <w:r>
        <w:t xml:space="preserve">Los tres escenarios del DCF quedan muy por debajo del precio (60,94 / 90,07 / 106,33 EUR; ponderado 86,85): el DCF no sirve para decidir a 12 meses en este sector y lo usamos como referencia de valor real. A 12 meses, con la regla de múltiplos, el alcista gana un 19,3 % y el bajista pierde un 33,7 %: asimetría de 0,56, desfavorable. El bajista es verosímil: ya ocurrió en 2023-2024 (ventas −18,7 % y margen −6,7 puntos) [2].</w:t>
      </w:r>
    </w:p>
    <w:p>
      <w:pPr>
        <w:pStyle w:val="Heading1"/>
      </w:pPr>
      <w:r>
        <w:t xml:space="preserve">22. Suma de partes</w:t>
      </w:r>
    </w:p>
    <w:p>
      <w:pPr>
        <w:pStyle w:val="Confianza"/>
        <w:spacing w:after="100"/>
      </w:pPr>
      <w:r>
        <w:t xml:space="preserve">Confianza: Media</w:t>
      </w:r>
    </w:p>
    <w:p>
      <w:pPr>
        <w:spacing w:after="100"/>
      </w:pPr>
      <w:r>
        <w:t xml:space="preserve">No aplica: Sartorius Stedim Biotech tiene un solo segmento (Biopharm) y consumibles y equipos comparten clientes, fábricas y fuerza de ventas; la empresa no publica el resultado de cada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16,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96,08 EUR (-55,6 % sobre 216,40).</w:t>
      </w:r>
    </w:p>
    <w:p>
      <w:pPr>
        <w:spacing w:after="100"/>
      </w:pPr>
      <w:r>
        <w:t xml:space="preserve">Pesos: DCF 40, escenarios 40 y comparables 20; transacciones 0 (solo dos con múltiplo y prima de control). El valor intrínseco resultante, 96,08 EUR, queda un 55,6 % por debajo del precio, y todos los métodos de fundamentales (DCF 76-109, comparables por PER 119-147, escenarios 61-106) quedan por debajo; solo la cotización de 52 semanas y los objetivos de los analistas (208-262 EUR) cubren el precio. La dispersión es la propia del sector: los análisis de Thermo Fisher, Danaher y Mettler-Toledo del repositorio dan valores intrínsecos un 30-45 % bajo el precio. La rentabilidad a 12 meses, que manda, sale del múltiplo histórico de la propia empresa.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(38.6x) a mitad de camino hacia abajo, hacia la mediana de 5 años (35.5x)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spacing w:after="100"/>
      </w:pPr>
      <w:r>
        <w:rPr>
          <w:b/>
          <w:bCs/>
        </w:rPr>
        <w:t xml:space="preserve">Objetivo a 12 meses (ponderado):</w:t>
      </w:r>
      <w:r>
        <w:t xml:space="preserve"> 219,19 EUR · rentabilidad +1,6 % (base +10,4 %) · señal Mantener.</w:t>
      </w:r>
    </w:p>
    <w:p>
      <w:pPr>
        <w:spacing w:after="100"/>
      </w:pPr>
      <w:r>
        <w:t xml:space="preserve">Para comparar, con la regla v2 (historia al cierre, mismo precio): 36,7x / 38,6x / 45,4x, 18,2 %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El consenso de MarketScreener es de BPA publicado: 3,90 EUR en 2026, 5,06 en 2027 y 6,13 en 2028 [27]. En base subyacente (sumando ≈0,85-1,0 EUR de amortización de compras y extraordinarias netas de impuestos, estimación propia) equivale a ≈4,9, ≈6,0 y ≈7,0 EUR: nuestro 2028e (6,44) queda ≈8 % por debajo porque proyectamos 2-2,5 puntos menos de crecimiento de ventas (9,0-9,5 % frente al 11 %) y un margen algo menor. Nuestro precio base (238,28) coincide con el objetivo medio de 14 analistas (237,29; rango 208-262), que ha subido tras la mejora de UBS (260) [27, 28]: la diferencia no es de precio sino de riesgo, porque nuestro bajista toma el mínimo histórico del múltiplo.</w:t>
      </w:r>
    </w:p>
    <w:p>
      <w:pPr>
        <w:keepNext/>
        <w:spacing w:after="100"/>
      </w:pPr>
      <w:r>
        <w:rPr>
          <w:b/>
          <w:bCs/>
        </w:rPr>
        <w:t xml:space="preserve">Del valor intrínseco al objetivo a 12 meses.</w:t>
      </w:r>
    </w:p>
    <w:p>
      <w:pPr>
        <w:spacing w:after="100"/>
      </w:pPr>
      <w:r>
        <w:t xml:space="preserve">El objetivo a 12 meses (219,19 EUR, +1,6 % con dividendo) está un 128 % por encima del valor intrínseco (96,08): la tesis del valor real no existe a 12 meses ni a varios años con nuestras cifras; el precio solo se sostiene si el mercado sigue pagando 37-39 veces el beneficio. El crecimiento del BPA que pedimos (13,5 % anual en base subyacente, de 4,40 en 2025 a 6,44 en 2028) sale de la guía de ventas y margen, no de rebotes contables; frente al BPA publicado (2,73) el salto parece mayor por la amortización de compras y las extraordinarias. El riesgo está en el múltiplo: con el mínimo de 2017 (25,3x) la acción caería a 142,69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los equipos siguen creciendo y de que el margen del 2T (32,1 %) se sostiene sin el efecto técnico de los aranceles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del plan a medio plazo (9-12 % orgánico, +60-85 pb de margen); por debajo del 9 % sería una decepción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en Sartorius AG y Bio-Rad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para simplificar el grupo; una compra de los minoritarios de SSB llevaría prima; una venta de activos de la matriz, no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equipos y nuevas plantas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relocalización anunciada por las farmacéuticas exige biorreactores y sistemas; es la palanca del alcista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BIOSECURE Act y aranceles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Restricciones a proveedores chinos favorecen a los occidentales; nuevos aranceles sectoriales a farmacia podrían frenar la inversión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múltiplo vuelve a su mínimo de cinco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(bajista a 12 meses: 25,3x × 5,64)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BPA del 13 %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33x con el BPA estable.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recuperación de equipos se frena (nuevo ciclo de prudencia de los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las ventas es recurrente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en negativo en el 3T26 o en el 4T26; caída de pedidos de Danaher o Thermo.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desestocaje o competencia china en consumibles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regulatorios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por debajo del 5 % de crecimiento; Asia-Pacífico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de interés con Sartorius AG (canon de marca, servicios,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a coste más margen auditados; cinco independientes de nueve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subida del canon de marca o de los servicios centrales por encima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por debajo de la guía (mezcla, aranceles,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consumibles de margen alto.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del 3T26 por debajo del 30,5 %.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 de Polyplus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caja; sí en el BPA publicado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Terapias génicas en recuperación lenta.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deterioro de 2026 con márgenes de holgura menores.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IA abarata el desarrollo de procesos o reduce lotes de prueba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consumibles se gastan en la producción comercial, que la IA no sustituye; Sartorius vende datos y software (Ambr, analítica)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ventas de Ambr y de consumibles de desarrollo.</w:t>
            </w:r>
          </w:p>
        </w:tc>
      </w:tr>
    </w:tbl>
    <w:p>
      <w:pPr>
        <w:spacing w:after="160" w:before="0"/>
      </w:pPr>
    </w:p>
    <w:p>
      <w:pPr>
        <w:pStyle w:val="Heading2"/>
      </w:pPr>
      <w:r>
        <w:t xml:space="preserve">Pre-mortem</w:t>
      </w:r>
    </w:p>
    <w:p>
      <w:pPr>
        <w:spacing w:after="100"/>
      </w:pPr>
      <w:r>
        <w:t xml:space="preserve">Octubre de 2029: la acción ha perdido un 40 %. En 2027 los clientes, que habían vuelto a pedir equipos en 2026, frenaron otra vez: los grandes proyectos de capacidad en EE. UU. se retrasaron por la incertidumbre de aranceles y precios de los medicamentos, y las ventas de equipos cayeron un 15 %. Los consumibles siguieron creciendo, pero al 6-7 % y no al 10 %, porque los fabricantes chinos ganaron cuota en Asia y los biosimilares bajaron el precio por lote. La empresa se quedó en el 6-7 % orgánico frente al 9-12 % prometido, por segunda vez después de 2022 (4.400 M para 2025, que se quedaron en 2.967 M). Con el margen estancado en el 31 % y un ROIC del 6 %, el mercado dejó de pagar 38 veces el beneficio y volvió al mínimo de 25 veces; con un BPA de 5,6 en 2028, la acción bajó a 140 EUR. Indicador que lo habría anticipado: el crecimiento de equipos y la guía de 2027 de febrero.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materiales son la huella de plástico de un solo uso (bolsas y filtros), el CO2 de la fabricación y los PFAS de las membranas. La empresa tiene objetivo de reducir un 42 % las emisiones de alcance 1 y 2 y liga una parte de la remuneración variable a largo plazo al CO2; en 2025 lanzó un filtro sin PFAS y bolsas con materias primas renovables certificadas [1, 6]. La restricción europea de PFAS es el único que puede mover cifras (reformulación de membranas).</w:t>
      </w:r>
    </w:p>
    <w:p>
      <w:pPr>
        <w:pStyle w:val="Heading2"/>
      </w:pPr>
      <w:r>
        <w:t xml:space="preserve">Controversias</w:t>
      </w:r>
    </w:p>
    <w:p>
      <w:pPr>
        <w:spacing w:after="100"/>
      </w:pPr>
      <w:r>
        <w:t xml:space="preserve">Sin sanciones, litigios ni incidentes relevantes en los últimos tres años en el URD 2025 [1]. La controversia es de gobierno (tamaño de las operaciones con la matriz y votos en contra de los minoritarios en la junta de 2026), recogida en la sección de gobierno.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cartera de pedidos de equipos frente a hace un año y qué parte son plantas nuevas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del crecimiento del 9-12 % y la parte cíclica del negocio.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extraordinarias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cada año del EBITDA subyacente entre 26 y 107 M de «extraordinarias»? ¿Cuándo dejarán de existir?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BPA subyacente con el que el mercado valora la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canon de marca a Sartorius AG subió un 63 % en 2025 y qué contrato lo fija?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Transfiere valor de los minoritarios a la matriz.</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Estructura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Sartorius AG una fusión o una oferta por el 28,5 % de SSB tras la entrada de Elliott?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el catalizador con prima para los minoritarios.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Polyplus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tiene hoy Polyplus frente al plan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la mitad del fondo de comercio y el bajo ROIC.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crece la venta de clientes (307,8 M) y qué coste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deuda económica fuera del balance y mejora la caja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no hay métricas de rendimiento sobre el capital en el variable a largo plazo, tras el 66 % de votos libres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 la dirección con el ROIC, el punto débil.</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buenos resultados y no entienden la caída; otros esperan bajar a 160 y comprar ahí; se repite que «el PER sigue un poco alto»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«chute brutale» y «Danaher!!»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Sorpresa por el −10 % por contagio de Danaher; varios recuerdan que la acción cotiza a 40-60 veces el beneficio y que «toda decepción se paga cara»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septiembre (UBS, «+20 %»)</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Celebran la subida desde 160 tras la mejora de UBS (objetivo 260); otros avisan de una vuelta a 200-202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«long sur la valeur»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con objetivos técnicos de 250-320 EUR en 2027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Boursorama, «Lonza» y «Merci Elliott»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Extrañeza porque Lonza sube y SSB no; la entrada de Elliott en Sartorius AG se vio como un efecto breve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38,6 veces nuestro BPA subyacente de 2027 y ≈79 veces el publicado de los últimos 12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Contagio de Danaher y del sector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resultados de SSB del 1S26 fueron en línea; la acción se mueve con el sector (beta semanal de 2 años 1,38).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equipos y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+12,5 % en 1S26; equipos solo «ligero crecimiento».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Análisis técnico y objetivos de 250-320 EUR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base en cifras: nuestro objetivo a 12 meses queda muy por debajo.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Elliott y la matriz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propuesta sobre los minoritarios de SSB.</w:t>
            </w:r>
          </w:p>
        </w:tc>
      </w:tr>
    </w:tbl>
    <w:p>
      <w:pPr>
        <w:spacing w:after="160" w:before="0"/>
      </w:pPr>
    </w:p>
    <w:p>
      <w:pPr>
        <w:spacing w:after="100"/>
      </w:pPr>
      <w:r>
        <w:t xml:space="preserve">El foro francés de referencia está dividido: tras la subida del 44 % desde abril domina el optimismo técnico (objetivos de 250-320 EUR), pero una minoría recuerda que cualquier decepción se castiga con caídas del 10-15 % en un día, como en abril y julio. No hay euforia ni capitulación, y casi nadie habla del gobierno (votos en contra de los minoritarios, canon de marca) ni de la IA. El sentimiento no cambia la tesis; confirma que el precio ya refleja la recuperación y que los resultados del 22-oct son el riesgo inmediato.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41 (21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10,0 % en 2033e frente al 11,0 %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15,5 % frente a 14,8 % real: genera una variación de circulante de 44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431 M de flujo libre medio en sus tres primeros años, frente a 185 M de media real en los tres últimos: justifica el salto (circulante, inversión, márgenes) o ajusta los supuestos. Explicación: No es la misma medida ni el mismo momento. La media real de 2023-2025 (185 M) es flujo libre después de intereses y arrendamientos, y recoge el pico de inversión en capacidad (capex del 17,1 % de las ventas en 2023 y del 13,3 % en 2025) con ventas hundidas por el desestocaje. El DCF usa flujo libre antes de intereses (≈90 M al año de diferencia con la deuda actual), ventas un 14 % mayores en 2027e y un capex que baja del 13 % al 10,5 % porque la capacidad ya está construida. El primer año proyectado (2026e, 331 M) queda cerca de lo real ajustado por intereses; el salto llega en 2027-2028 y es el supuesto más sensible del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(6,44) supone un 33,1 % anual desde 2,73 (2025): explícalo en valoracion.objetivo_12m.comentario o la confianza es baja. Explicación: El control compara nuestro BPA subyacente de 2028e (6,44) con el BPA publicado de 2025 (2,73), que lleva 112,6 M de amortización de compras y 70 M de extraordinarias. En la misma base subyacente (4,40 en 2025) el crecimiento exigido es del 13,5 % anual, en línea con la guía de margen y de ventas.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24,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arrendamientos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Excel FY2024 (no separa la devolución de arrendamientos); 2) URD 2025 (solo 2024 y 2025); 3) estimación por diferencia de los movimientos de arrendamientos (no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 (vs_consenso)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lo citan); 2) prensa (Boursorama, Reuters por buscador, sin cifra fiable); 3) MarketScreener (solo consenso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las publica); 2) web de la empresa (sin página de ratings de SSB); 3) búsqueda en MSCI y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 mercado con dos fuentes independientes en el mismo perímetro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da tamaño del mercado de bioprocesado); 2) GMI, Next Move, Meticulous (perímetros de 48.000-67.000 M USD, no comparables); 3) estimación ascendente con los ingresos de los cinco grandes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ratio_salario_medio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(ratio de equidad de la sociedad matriz, no del grupo); 2) informe de remuneraciones (no da el coste medio por empleado del grupo); 3) cálculo con gastos de personal ÷ empleados (no publicado por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registrada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 la AMF (sin posiciones &gt; 0,5 % publicadas encontradas); 2) prensa (sin dato); 3) proveedores de datos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del BPA subyacente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BPA publicado y número de analistas); 2) web de inversores de Sartorius (sin consenso publicado); 3) Simply Wall St / Webull (BPA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o más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las compras (Polyplus, Cytiva: sin EBITDA); 2) análisis del repositorio (solo Bio-Techne con EBITDA); 3) prensa (múltiplos estimados, no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Registration Document 2025 (cuentas consolidadas y notas: deuda, arrendamientos, factoring, partes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https://www.sartorius.com/download/1796564/fy-2025-download-urd-ssb-en-data.pdf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Data FY 2025 (Excel: resumen de 5 años 2021-2025, cuenta, balance, flujos, conciliación del BPA subyacente)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https://www.sartorius.com/download/1796602/fy-2025-download-financial-data-ssb-data.xlsx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First-Half Financial Report January to June 2026 (cuentas intermedias, deuda, partes vinculadas,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https://www.sartorius.com/download/1845890/h1-2026-download-half-year-report-ssb-en-data.pdf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results: «Sartorius Stedim Biotech reports robust first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https://www.sartorius.com/en/company/newsroom/corporate-news/2026-first-quarter-results-sartorius-stedim-biotech-1817704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9M 2025 (cifras del 3T25 y guía de 2025 afinada)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https://www.sartorius.com/download/1754002/9m-2025-download-earnings-report-ssb-en-data.pdf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full-year results 2025 (BPA subyacente 4,40, deuda bruta 2.599 M,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https://www.sartorius.com/en/company/newsroom/corporate-news/preliminary-full-year-results-2025-sartorius-stedim-biotech-1793966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2022 (cifras clave 2018-2022, flujos 2021-2022, proveedores y anticipos)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https://www.sartorius.com/download/1379314/ssb-annual-report-2022-e-data.pdf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(balance y flujos de 2020: clientes, proveedores, anticipos, capex, arrendamientos)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https://www.sartorius.com/download/1138890/ssb-annual-report-2021-e-data.pdf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2020-2025 en xBRL-JSON (LEI 52990006IVXY7GCSSR39)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https://filings.xbrl.org/52990006IVXY7GCSSR39/2025-12-31/ESEF/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FY 2024 (Excel: balance y flujos de 2023 y 2024, conciliación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https://www.sartorius.com/download/1662022/fy-2024-download-ssb-financial-data-data.xlsx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2024 (comparación guía-real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https://www.sartorius.com/download/1662024/fy-2024-download-ssb-annual-report-en-data.pdf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24 mars 2026: résultat des votes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https://www.sartorius.com/download/1809240/ssb-resultat-des-votes-asm-2026-fr-data.pdf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Fourth Quarter and Full Year 2025 Results (Biotecnología: crecimiento básico 6,5 %, margen operativo 25,6 %)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https://investors.danaher.com/2026-01-28-Danaher-Reports-Fourth-Quarter-and-Full-Year-2025-Results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completes acquisition of Solventum’s Purification &amp; Filtration business (≈4.000 M USD; ≈750 M USD de ventas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https://www.businesswire.com/news/home/20250902757637/en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Bioprocessing Equipment Market size (≈48.100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https://www.gminsights.com/industry-analysis/bioprocessing-equipment-market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Bioprocessing Market Global Industry Analysis and Forecast 2026-2035 (≈48.680 M USD en 2025; consumibles y reactivos ≈44 %)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Move Strategy Consulting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https://www.nextmsc.com/report/bioprocessing-market-hc5951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Repligen (RGEN): estadísticas (ventas 785 M USD LTM, EBITDA 144 M, caja neta, PER adelantado 77,8x)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https://stockanalysis.com/stocks/rgen/statistics/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to acquire Polyplus (≈2.400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https://www.sartorius.com/en/company/newsroom/corporate-news/sartorius-stedim-biotech-to-acquire-polyplus-1410678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Pour la Bourse, Sartorius Stedim Biotech paye trop cher l’acquisition de Polyplus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https://www.tradingsat.com/sartorius-sted-bio-FR0013154002/actualites/sartorius-sted-bio-pour-la-bourse-sartorius-stedim-biotech-paye-trop-cher-l-acquisition-de-polyplus-1063183.html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«Herramientas y consumibles de bioproducción»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(sectores/bioproduccion-2026-10-14.md)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sectores/bioproduccion-2026-10-14.md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Life Science 9.000 M EUR de ventas y 2.600 M de EBITDA pre en 2025 (vía el análisis de Merck KGaA del repositorio,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https://www.merckgroup.com/en/investors/reports-and-financials.html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segmento Life Sciences Solutions 10.374 M USD en 2025 (vía el análisis de Thermo Fisher del repositorio,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https://ir.thermofisher.com/investors/financials/annual-reports/default.aspx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n° 3: Sartorius Stedim Biotech, assemblée de 2026 (comités, recompra,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Association française de la gestion financière (AFG)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https://www.afg.asso.fr/app/uploads/2026/03/Div-n°-6458_03_Alerte-n°-3-SARTORIUS-STEDIM-BIOTECH.pdf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de operaciones de directivos de Sartorius Stedim Biotech (última: 15-dic-2025)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https://bdif.amf-france.org/back/api/v1/informations?RechercheTexte=SARTORIUS%20STEDIM&amp;TypesInformation=DD&amp;From=0&amp;Size=20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shares rise after report of Elliott investment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https://www.stockopedia.com/share-prices/sartorius-ag-FRA:SRT3/news/sartorius-shares-rise-after-report-of-elliott-investment-019e6dd3-e4de-70ae-a5c3-ad2c47e5b5f8/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DIM.PA, ^FCHI y EXV4.DE: históricos diarios hasta el 14-oct-2026 (precio, rango, volumen,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https://finance.yahoo.com/quote/DIM.PA/history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(DIM): estimaciones anuales 2026-2028, 14 analistas, objetivo medio 237,29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https://uk.marketscreener.com/quote/stock/SARTORIUS-STEDIM-BIOTECH-27471609/finances/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Sartorius Stedim Biotech exceeded expectations and the consensus has updated its estimates (13 analistas; BPA 2026 3,83; objetivo 232 EUR, rango 208-262)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https://www.webull.ca/news-detail/15292621215376384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1,1195; CHF 0,9330)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la deuda federal alemana, 10 años (3,51 %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Thermo Fisher, Danaher, Mettler-Toledo, Merck KGaA y Lonza del repositorio (cifras de mercado del 7 al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propios (informes/*-2026-10-14)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AG (SRT3): estadísticas (capitalización 16.010 M, valor empresa 20.950 M, PER adelantado 62,8x)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https://stockanalysis.com/quote/etr/SRT3/statistics/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compra de Bio-Techne (≈26,5 veces el EBITDA, prima del 25 %), vía el análisis de Merck KGaA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https://www.merckgroup.com/en/news.html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completes acquisition of the Biopharma business of GE Life Sciences (Cytiva, 21.100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https://investors.danaher.com/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hilo «Resultats»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https://www.boursorama.com/bourse/forum/1rPDIM/detail/468250763/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«chute brutale -10 % à 12h05» y «Danaher!!»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https://www.boursorama.com/bourse/forum/1rPDIM/detail/468244454/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«Un petit +20 % serait-il possible ?» y «Effet....» (mejora de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https://www.boursorama.com/bourse/forum/1rPDIM/detail/468504047/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«Bonjour, long sur la valeur»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https://www.boursorama.com/bourse/forum/1rPDIM/detail/468487382/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«Lonza» y «Merci Elliott»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https://www.boursorama.com/bourse/forum/1rPDIM/detail/468246888/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Lonza (14-oct-2026): PER core 27,3x, ROIC 9,3 %, rentabilidad a 12 meses v2 15,6 %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(informes/lonza-2026-10-14)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informes/lonza-2026-10-14/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88,7 %</w:t>
      </w:r>
      <w:r>
        <w:t xml:space="preserve"> · Secciones con menos del 60 % de campos cubiertos: </w:t>
      </w:r>
      <w:r>
        <w:rPr>
          <w:b/>
          <w:bCs/>
        </w:rPr>
        <w:t xml:space="preserve">ninguna</w:t>
      </w:r>
      <w:r>
        <w:t xml:space="preserve"> · Generado el 14 oct 2026.</w:t>
      </w:r>
    </w:p>
    <w:p>
      <w:pPr>
        <w:pStyle w:val="Nota"/>
        <w:spacing w:after="100"/>
      </w:pPr>
      <w:r>
        <w:t xml:space="preserve">Cuentas de 2020-2025 del XBRL ESEF comprobadas contra el URD 2025, el URD 2022, el informe anual 2021 y los Excel de datos financieros de la empresa; 1S26 del informe semestral. El EBITDA de la cuenta es el publicado (EBIT + amortizaciones); el subyacente de la empresa va en el texto. El PER a 12 meses usa el BPA subyacente (el que guía la empresa y mira el mercado), con la historia en la misma base. Comparables del 7 al 13-oct tomados de los análisis del repositorio y pasados a euros con el BCE del 14-oct (Repligen, del 14-oct). Consenso de una sola fuente con estimaciones completas (MarketScreener, BPA publicado). El tamaño del mercado de bioprocesado es una estimación propia ascendente (los estudios publicados usan perímetros muy distintos). Sin transcripciones literales de las conferencias. Línea cotizada única: Euronext París (DIM).</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Sartorius Stedim Biotech S.A. (DIM)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216,40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(150,00 – 225,00)</c:v>
                </c:pt>
                <c:pt idx="1">
                  <c:v>Precio objetivo de los analistas (208,00 – 262,00)</c:v>
                </c:pt>
                <c:pt idx="2">
                  <c:v>Comparables: PER NTM (119,22 – 146,89)</c:v>
                </c:pt>
                <c:pt idx="3">
                  <c:v>DCF (WACC y g ± 0,5) (76,06 – 109,17)</c:v>
                </c:pt>
                <c:pt idx="4">
                  <c:v>Escenarios (bajista – alcista) (60,94 – 106,33)</c:v>
                </c:pt>
                <c:pt idx="5">
                  <c:v>DCF con la prima implícita del mercado (4,2 %)</c:v>
                </c:pt>
                <c:pt idx="6">
                  <c:v>Precio actual (216,40)</c:v>
                </c:pt>
              </c:strCache>
            </c:strRef>
          </c:cat>
          <c:val>
            <c:numRef>
              <c:f>Hoja1!$B$2:$B$8</c:f>
              <c:numCache>
                <c:formatCode>#,##0</c:formatCode>
                <c:ptCount val="7"/>
                <c:pt idx="0">
                  <c:v>150</c:v>
                </c:pt>
                <c:pt idx="1">
                  <c:v>208</c:v>
                </c:pt>
                <c:pt idx="2">
                  <c:v>119.22</c:v>
                </c:pt>
                <c:pt idx="3">
                  <c:v>76.06</c:v>
                </c:pt>
                <c:pt idx="4">
                  <c:v>60.94</c:v>
                </c:pt>
                <c:pt idx="5">
                  <c:v>107.18</c:v>
                </c:pt>
                <c:pt idx="6">
                  <c:v>215.32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(150,00 – 225,00)</c:v>
                </c:pt>
                <c:pt idx="1">
                  <c:v>Precio objetivo de los analistas (208,00 – 262,00)</c:v>
                </c:pt>
                <c:pt idx="2">
                  <c:v>Comparables: PER NTM (119,22 – 146,89)</c:v>
                </c:pt>
                <c:pt idx="3">
                  <c:v>DCF (WACC y g ± 0,5) (76,06 – 109,17)</c:v>
                </c:pt>
                <c:pt idx="4">
                  <c:v>Escenarios (bajista – alcista) (60,94 – 106,33)</c:v>
                </c:pt>
                <c:pt idx="5">
                  <c:v>DCF con la prima implícita del mercado (4,2 %)</c:v>
                </c:pt>
                <c:pt idx="6">
                  <c:v>Precio actual (216,40)</c:v>
                </c:pt>
              </c:strCache>
            </c:strRef>
          </c:cat>
          <c:val>
            <c:numRef>
              <c:f>Hoja1!$C$2:$C$8</c:f>
              <c:numCache>
                <c:formatCode>#,##0</c:formatCode>
                <c:ptCount val="7"/>
                <c:pt idx="0">
                  <c:v>75</c:v>
                </c:pt>
                <c:pt idx="1">
                  <c:v>54</c:v>
                </c:pt>
                <c:pt idx="2">
                  <c:v>27.669999999999987</c:v>
                </c:pt>
                <c:pt idx="3">
                  <c:v>33.11</c:v>
                </c:pt>
                <c:pt idx="4">
                  <c:v>45.39</c:v>
                </c:pt>
                <c:pt idx="5">
                  <c:v>30.22</c:v>
                </c:pt>
                <c:pt idx="6">
                  <c:v>2.1599999999999966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Consumibles y servicios (recurrente)</c:v>
                </c:pt>
              </c:strCache>
            </c:strRef>
          </c:tx>
          <c:spPr>
            <a:solidFill>
              <a:srgbClr val="2A78D6"/>
            </a:solidFill>
            <a:ln w="12700">
              <a:solidFill>
                <a:srgbClr val="FFFFFF"/>
              </a:solidFill>
            </a:ln>
          </c:spPr>
          <c:invertIfNegative val="0"/>
          <c:cat>
            <c:strRef>
              <c:f>Hoja1!$A$2:$A$3</c:f>
              <c:strCache>
                <c:ptCount val="2"/>
                <c:pt idx="0">
                  <c:v>1S25</c:v>
                </c:pt>
                <c:pt idx="1">
                  <c:v>1S26</c:v>
                </c:pt>
              </c:strCache>
            </c:strRef>
          </c:cat>
          <c:val>
            <c:numRef>
              <c:f>Hoja1!$B$2:$B$3</c:f>
              <c:numCache>
                <c:formatCode>#,##0</c:formatCode>
                <c:ptCount val="2"/>
                <c:pt idx="0">
                  <c:v>1274.3</c:v>
                </c:pt>
                <c:pt idx="1">
                  <c:v>1317.3</c:v>
                </c:pt>
              </c:numCache>
            </c:numRef>
          </c:val>
        </c:ser>
        <c:ser>
          <c:idx val="1"/>
          <c:order val="1"/>
          <c:tx>
            <c:strRef>
              <c:f>Hoja1!$C$1</c:f>
              <c:strCache>
                <c:ptCount val="1"/>
                <c:pt idx="0">
                  <c:v>Equipos (no recurrente)</c:v>
                </c:pt>
              </c:strCache>
            </c:strRef>
          </c:tx>
          <c:spPr>
            <a:solidFill>
              <a:srgbClr val="EB6834"/>
            </a:solidFill>
            <a:ln w="12700">
              <a:solidFill>
                <a:srgbClr val="FFFFFF"/>
              </a:solidFill>
            </a:ln>
          </c:spPr>
          <c:invertIfNegative val="0"/>
          <c:cat>
            <c:strRef>
              <c:f>Hoja1!$A$2:$A$3</c:f>
              <c:strCache>
                <c:ptCount val="2"/>
                <c:pt idx="0">
                  <c:v>1S25</c:v>
                </c:pt>
                <c:pt idx="1">
                  <c:v>1S26</c:v>
                </c:pt>
              </c:strCache>
            </c:strRef>
          </c:cat>
          <c:val>
            <c:numRef>
              <c:f>Hoja1!$C$2:$C$3</c:f>
              <c:numCache>
                <c:formatCode>#,##0</c:formatCode>
                <c:ptCount val="2"/>
                <c:pt idx="0">
                  <c:v>215.3</c:v>
                </c:pt>
                <c:pt idx="1">
                  <c:v>209.9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(1S26)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Consumibles y servicios (recurrente)</c:v>
                </c:pt>
                <c:pt idx="1">
                  <c:v>Equipos (no recurrente)</c:v>
                </c:pt>
              </c:strCache>
            </c:strRef>
          </c:cat>
          <c:val>
            <c:numRef>
              <c:f>Hoja1!$B$2:$B$3</c:f>
              <c:numCache>
                <c:formatCode>General</c:formatCode>
                <c:ptCount val="2"/>
                <c:pt idx="0">
                  <c:v>86.3</c:v>
                </c:pt>
                <c:pt idx="1">
                  <c:v>13.7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Américas</c:v>
                </c:pt>
                <c:pt idx="2">
                  <c:v>Asia-Pacífico</c:v>
                </c:pt>
              </c:strCache>
            </c:strRef>
          </c:cat>
          <c:val>
            <c:numRef>
              <c:f>Hoja1!$B$2:$B$4</c:f>
              <c:numCache>
                <c:formatCode>0"%"</c:formatCode>
                <c:ptCount val="3"/>
                <c:pt idx="0">
                  <c:v>41.8</c:v>
                </c:pt>
                <c:pt idx="1">
                  <c:v>35.5</c:v>
                </c:pt>
                <c:pt idx="2">
                  <c:v>22.7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2023</c:v>
                </c:pt>
                <c:pt idx="2">
                  <c:v>2024</c:v>
                </c:pt>
                <c:pt idx="3">
                  <c:v>2025</c:v>
                </c:pt>
                <c:pt idx="4">
                  <c:v>2026e</c:v>
                </c:pt>
                <c:pt idx="5">
                  <c:v>2028e</c:v>
                </c:pt>
                <c:pt idx="6">
                  <c:v>2030e</c:v>
                </c:pt>
              </c:strCache>
            </c:strRef>
          </c:cat>
          <c:val>
            <c:numRef>
              <c:f>Hoja1!$B$2:$B$8</c:f>
              <c:numCache>
                <c:formatCode>#,##0</c:formatCode>
                <c:ptCount val="7"/>
                <c:pt idx="0">
                  <c:v>27000</c:v>
                </c:pt>
                <c:pt idx="1">
                  <c:v>23500</c:v>
                </c:pt>
                <c:pt idx="2">
                  <c:v>24000</c:v>
                </c:pt>
                <c:pt idx="3">
                  <c:v>26500</c:v>
                </c:pt>
                <c:pt idx="4">
                  <c:v>28500</c:v>
                </c:pt>
                <c:pt idx="5">
                  <c:v>33500</c:v>
                </c:pt>
                <c:pt idx="6">
                  <c:v>39000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Sartorius Stedim</c:v>
                </c:pt>
                <c:pt idx="1">
                  <c:v>Danaher (Cytiva, Pall): segmento Biotecnología</c:v>
                </c:pt>
                <c:pt idx="2">
                  <c:v>Thermo Fisher: Life Sciences Solutions</c:v>
                </c:pt>
                <c:pt idx="3">
                  <c:v>Merck KGaA: Life Science (Process Solutions)</c:v>
                </c:pt>
                <c:pt idx="4">
                  <c:v>Repligen</c:v>
                </c:pt>
                <c:pt idx="5">
                  <c:v>Avantor y fabricantes chinos (Tofflon, Bioengine)</c:v>
                </c:pt>
              </c:strCache>
            </c:strRef>
          </c:cat>
          <c:val>
            <c:numRef>
              <c:f>Hoja1!$B$2:$B$7</c:f>
              <c:numCache>
                <c:formatCode>0.0"%"</c:formatCode>
                <c:ptCount val="6"/>
                <c:pt idx="0">
                  <c:v>17.7</c:v>
                </c:pt>
                <c:pt idx="1">
                  <c:v>25.6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5</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1910.1</c:v>
                </c:pt>
                <c:pt idx="1">
                  <c:v>2887</c:v>
                </c:pt>
                <c:pt idx="2">
                  <c:v>3492.7</c:v>
                </c:pt>
                <c:pt idx="3">
                  <c:v>2775.5</c:v>
                </c:pt>
                <c:pt idx="4">
                  <c:v>2780</c:v>
                </c:pt>
                <c:pt idx="5">
                  <c:v>2967.5</c:v>
                </c:pt>
                <c:pt idx="6">
                  <c:v>3110</c:v>
                </c:pt>
                <c:pt idx="7">
                  <c:v>3390</c:v>
                </c:pt>
                <c:pt idx="8">
                  <c:v>3712</c:v>
                </c:pt>
                <c:pt idx="9">
                  <c:v>4046</c:v>
                </c:pt>
                <c:pt idx="10">
                  <c:v>4370</c:v>
                </c:pt>
                <c:pt idx="11">
                  <c:v>4654</c:v>
                </c:pt>
                <c:pt idx="12">
                  <c:v>4886</c:v>
                </c:pt>
                <c:pt idx="13">
                  <c:v>5057</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572</c:v>
                </c:pt>
                <c:pt idx="1">
                  <c:v>1006.9</c:v>
                </c:pt>
                <c:pt idx="2">
                  <c:v>1174.9</c:v>
                </c:pt>
                <c:pt idx="3">
                  <c:v>686.8</c:v>
                </c:pt>
                <c:pt idx="4">
                  <c:v>672.3</c:v>
                </c:pt>
                <c:pt idx="5">
                  <c:v>843.8</c:v>
                </c:pt>
                <c:pt idx="6">
                  <c:v>939</c:v>
                </c:pt>
                <c:pt idx="7">
                  <c:v>1051</c:v>
                </c:pt>
                <c:pt idx="8">
                  <c:v>1177</c:v>
                </c:pt>
                <c:pt idx="9">
                  <c:v>1307</c:v>
                </c:pt>
                <c:pt idx="10">
                  <c:v>1433</c:v>
                </c:pt>
                <c:pt idx="11">
                  <c:v>1545</c:v>
                </c:pt>
                <c:pt idx="12">
                  <c:v>1637</c:v>
                </c:pt>
                <c:pt idx="13">
                  <c:v>1694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52.5</c:v>
                </c:pt>
                <c:pt idx="1">
                  <c:v>53.8</c:v>
                </c:pt>
                <c:pt idx="2">
                  <c:v>52</c:v>
                </c:pt>
                <c:pt idx="3">
                  <c:v>44.4</c:v>
                </c:pt>
                <c:pt idx="4">
                  <c:v>43.4</c:v>
                </c:pt>
                <c:pt idx="5">
                  <c:v>45.3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29.9</c:v>
                </c:pt>
                <c:pt idx="1">
                  <c:v>34.9</c:v>
                </c:pt>
                <c:pt idx="2">
                  <c:v>33.6</c:v>
                </c:pt>
                <c:pt idx="3">
                  <c:v>24.7</c:v>
                </c:pt>
                <c:pt idx="4">
                  <c:v>24.2</c:v>
                </c:pt>
                <c:pt idx="5">
                  <c:v>28.4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24.7</c:v>
                </c:pt>
                <c:pt idx="1">
                  <c:v>30</c:v>
                </c:pt>
                <c:pt idx="2">
                  <c:v>28.5</c:v>
                </c:pt>
                <c:pt idx="3">
                  <c:v>16.2</c:v>
                </c:pt>
                <c:pt idx="4">
                  <c:v>13.3</c:v>
                </c:pt>
                <c:pt idx="5">
                  <c:v>17.7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17.6</c:v>
                </c:pt>
                <c:pt idx="1">
                  <c:v>14.4</c:v>
                </c:pt>
                <c:pt idx="2">
                  <c:v>25.1</c:v>
                </c:pt>
                <c:pt idx="3">
                  <c:v>11.2</c:v>
                </c:pt>
                <c:pt idx="4">
                  <c:v>6.3</c:v>
                </c:pt>
                <c:pt idx="5">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2">
                  <c:v>7.7</c:v>
                </c:pt>
                <c:pt idx="3">
                  <c:v>2.8</c:v>
                </c:pt>
                <c:pt idx="4">
                  <c:v>2.3</c:v>
                </c:pt>
                <c:pt idx="5">
                  <c:v>2.8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12</c:v>
                </c:pt>
                <c:pt idx="4">
                  <c:v>7.9</c:v>
                </c:pt>
                <c:pt idx="5">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c:v>
                </c:pt>
                <c:pt idx="1">
                  <c:v>45</c:v>
                </c:pt>
                <c:pt idx="2">
                  <c:v>42</c:v>
                </c:pt>
                <c:pt idx="3">
                  <c:v>39</c:v>
                </c:pt>
                <c:pt idx="4">
                  <c:v>35</c:v>
                </c:pt>
                <c:pt idx="5">
                  <c:v>24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190</c:v>
                </c:pt>
                <c:pt idx="1">
                  <c:v>214</c:v>
                </c:pt>
                <c:pt idx="2">
                  <c:v>223</c:v>
                </c:pt>
                <c:pt idx="3">
                  <c:v>209</c:v>
                </c:pt>
                <c:pt idx="4">
                  <c:v>159</c:v>
                </c:pt>
                <c:pt idx="5">
                  <c:v>155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70</c:v>
                </c:pt>
                <c:pt idx="1">
                  <c:v>69</c:v>
                </c:pt>
                <c:pt idx="2">
                  <c:v>55</c:v>
                </c:pt>
                <c:pt idx="3">
                  <c:v>61</c:v>
                </c:pt>
                <c:pt idx="4">
                  <c:v>72</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238.4</c:v>
                </c:pt>
                <c:pt idx="1">
                  <c:v>355.99999999999994</c:v>
                </c:pt>
                <c:pt idx="2">
                  <c:v>153.29999999999993</c:v>
                </c:pt>
                <c:pt idx="3">
                  <c:v>155.79999999999995</c:v>
                </c:pt>
                <c:pt idx="4">
                  <c:v>274.6</c:v>
                </c:pt>
                <c:pt idx="5">
                  <c:v>124.50000000000009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335.9</c:v>
                </c:pt>
                <c:pt idx="1">
                  <c:v>414.4</c:v>
                </c:pt>
                <c:pt idx="2">
                  <c:v>876.1</c:v>
                </c:pt>
                <c:pt idx="3">
                  <c:v>310.3</c:v>
                </c:pt>
                <c:pt idx="4">
                  <c:v>175.1</c:v>
                </c:pt>
                <c:pt idx="5">
                  <c:v>265.6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17.4</c:v>
                </c:pt>
                <c:pt idx="1">
                  <c:v>26.9</c:v>
                </c:pt>
                <c:pt idx="2">
                  <c:v>27.3</c:v>
                </c:pt>
                <c:pt idx="3">
                  <c:v>7.2</c:v>
                </c:pt>
                <c:pt idx="4">
                  <c:v>4.8</c:v>
                </c:pt>
                <c:pt idx="5">
                  <c:v>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8.9</c:v>
                </c:pt>
                <c:pt idx="1">
                  <c:v>8.9</c:v>
                </c:pt>
                <c:pt idx="2">
                  <c:v>8.9</c:v>
                </c:pt>
                <c:pt idx="3">
                  <c:v>8.9</c:v>
                </c:pt>
                <c:pt idx="4">
                  <c:v>8.9</c:v>
                </c:pt>
                <c:pt idx="5">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23.4</c:v>
                </c:pt>
                <c:pt idx="1">
                  <c:v>26.8</c:v>
                </c:pt>
                <c:pt idx="2">
                  <c:v>42.7</c:v>
                </c:pt>
                <c:pt idx="3">
                  <c:v>12.2</c:v>
                </c:pt>
                <c:pt idx="4">
                  <c:v>5.3</c:v>
                </c:pt>
                <c:pt idx="5">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0.92</c:v>
                </c:pt>
                <c:pt idx="1">
                  <c:v>0.4</c:v>
                </c:pt>
                <c:pt idx="2">
                  <c:v>0.88</c:v>
                </c:pt>
                <c:pt idx="3">
                  <c:v>5.19</c:v>
                </c:pt>
                <c:pt idx="4">
                  <c:v>3.26</c:v>
                </c:pt>
                <c:pt idx="5">
                  <c:v>2.58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2032</c:v>
                </c:pt>
                <c:pt idx="5">
                  <c:v>2033+</c:v>
                </c:pt>
              </c:strCache>
            </c:strRef>
          </c:cat>
          <c:val>
            <c:numRef>
              <c:f>Hoja1!$B$2:$B$7</c:f>
              <c:numCache>
                <c:formatCode>#,##0</c:formatCode>
                <c:ptCount val="6"/>
                <c:pt idx="0">
                  <c:v>0</c:v>
                </c:pt>
                <c:pt idx="1">
                  <c:v>0</c:v>
                </c:pt>
                <c:pt idx="2">
                  <c:v>0</c:v>
                </c:pt>
                <c:pt idx="3">
                  <c:v>520</c:v>
                </c:pt>
                <c:pt idx="4">
                  <c:v>680</c:v>
                </c:pt>
                <c:pt idx="5">
                  <c:v>975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471</c:v>
                </c:pt>
                <c:pt idx="1">
                  <c:v>141.7</c:v>
                </c:pt>
                <c:pt idx="2">
                  <c:v>515.6</c:v>
                </c:pt>
                <c:pt idx="3">
                  <c:v>2241</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31.3</c:v>
                </c:pt>
                <c:pt idx="1">
                  <c:v>62.7</c:v>
                </c:pt>
                <c:pt idx="2">
                  <c:v>116.1</c:v>
                </c:pt>
                <c:pt idx="3">
                  <c:v>133</c:v>
                </c:pt>
                <c:pt idx="4">
                  <c:v>67.1</c:v>
                </c:pt>
                <c:pt idx="5">
                  <c:v>67.1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3.2</c:v>
                </c:pt>
                <c:pt idx="3">
                  <c:v>0</c:v>
                </c:pt>
                <c:pt idx="4">
                  <c:v>1.9</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Independiente</c:v>
                </c:pt>
                <c:pt idx="3">
                  <c:v>Otro externo</c:v>
                </c:pt>
              </c:strCache>
            </c:strRef>
          </c:cat>
          <c:val>
            <c:numRef>
              <c:f>Hoja1!$B$2:$B$5</c:f>
              <c:numCache>
                <c:formatCode>0</c:formatCode>
                <c:ptCount val="4"/>
                <c:pt idx="0">
                  <c:v>2</c:v>
                </c:pt>
                <c:pt idx="1">
                  <c:v>1</c:v>
                </c:pt>
                <c:pt idx="2">
                  <c:v>5</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Sartorius AG (directa)</c:v>
                </c:pt>
                <c:pt idx="1">
                  <c:v>Sartorius Lab Holding GmbH (100 % de Sartorius AG)</c:v>
                </c:pt>
                <c:pt idx="2">
                  <c:v>Capital flotante</c:v>
                </c:pt>
                <c:pt idx="3">
                  <c:v>Autocartera</c:v>
                </c:pt>
              </c:strCache>
            </c:strRef>
          </c:cat>
          <c:val>
            <c:numRef>
              <c:f>Hoja1!$B$2:$B$5</c:f>
              <c:numCache>
                <c:formatCode>0.0"%"</c:formatCode>
                <c:ptCount val="4"/>
                <c:pt idx="0">
                  <c:v>70.7</c:v>
                </c:pt>
                <c:pt idx="1">
                  <c:v>0.8</c:v>
                </c:pt>
                <c:pt idx="2">
                  <c:v>28.5</c:v>
                </c:pt>
                <c:pt idx="3">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0.5</c:v>
                </c:pt>
                <c:pt idx="1">
                  <c:v>44.9</c:v>
                </c:pt>
                <c:pt idx="2">
                  <c:v>69.1</c:v>
                </c:pt>
                <c:pt idx="3">
                  <c:v>97.2</c:v>
                </c:pt>
                <c:pt idx="4">
                  <c:v>65.7</c:v>
                </c:pt>
                <c:pt idx="5">
                  <c:v>-37.3</c:v>
                </c:pt>
                <c:pt idx="6">
                  <c:v>-20.8</c:v>
                </c:pt>
                <c:pt idx="7">
                  <c:v>-21.2</c:v>
                </c:pt>
                <c:pt idx="8">
                  <c:v>11.3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9.3</c:v>
                </c:pt>
                <c:pt idx="1">
                  <c:v>-11</c:v>
                </c:pt>
                <c:pt idx="2">
                  <c:v>26.4</c:v>
                </c:pt>
                <c:pt idx="3">
                  <c:v>-7.1</c:v>
                </c:pt>
                <c:pt idx="4">
                  <c:v>28.9</c:v>
                </c:pt>
                <c:pt idx="5">
                  <c:v>-9.5</c:v>
                </c:pt>
                <c:pt idx="6">
                  <c:v>16.5</c:v>
                </c:pt>
                <c:pt idx="7">
                  <c:v>-2.2</c:v>
                </c:pt>
                <c:pt idx="8">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47.9</c:v>
                </c:pt>
                <c:pt idx="1">
                  <c:v>44.6</c:v>
                </c:pt>
                <c:pt idx="2">
                  <c:v>24.7</c:v>
                </c:pt>
                <c:pt idx="3">
                  <c:v>37.4</c:v>
                </c:pt>
                <c:pt idx="4">
                  <c:v>30.4</c:v>
                </c:pt>
                <c:pt idx="5">
                  <c:v>26.8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30.4</c:v>
                </c:pt>
                <c:pt idx="1">
                  <c:v>30.4</c:v>
                </c:pt>
                <c:pt idx="2">
                  <c:v>30.4</c:v>
                </c:pt>
                <c:pt idx="3">
                  <c:v>30.4</c:v>
                </c:pt>
                <c:pt idx="4">
                  <c:v>30.4</c:v>
                </c:pt>
                <c:pt idx="5">
                  <c:v>30.4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Sartorius Stedim</c:v>
                </c:pt>
                <c:pt idx="1">
                  <c:v>Thermo Fisher</c:v>
                </c:pt>
                <c:pt idx="2">
                  <c:v>Danaher</c:v>
                </c:pt>
                <c:pt idx="3">
                  <c:v>Merck KGaA</c:v>
                </c:pt>
                <c:pt idx="4">
                  <c:v>Mettler-Toledo</c:v>
                </c:pt>
                <c:pt idx="5">
                  <c:v>Lonza</c:v>
                </c:pt>
                <c:pt idx="6">
                  <c:v>Repligen</c:v>
                </c:pt>
              </c:strCache>
            </c:strRef>
          </c:cat>
          <c:val>
            <c:numRef>
              <c:f>Hoja1!$B$2:$B$8</c:f>
              <c:numCache>
                <c:formatCode>0.0"x"</c:formatCode>
                <c:ptCount val="7"/>
                <c:pt idx="0">
                  <c:v>22.6</c:v>
                </c:pt>
                <c:pt idx="3">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Sartorius Stedim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10.2</c:v>
                </c:pt>
              </c:numCache>
            </c:numRef>
          </c:xVal>
          <c:yVal>
            <c:numRef>
              <c:f>Hoja1!$C$2</c:f>
              <c:numCache>
                <c:formatCode>0.0"x"</c:formatCode>
                <c:ptCount val="1"/>
                <c:pt idx="0">
                  <c:v>22.6</c:v>
                </c:pt>
              </c:numCache>
            </c:numRef>
          </c:yVal>
          <c:smooth val="0"/>
        </c:ser>
        <c:ser>
          <c:idx val="1"/>
          <c:order val="1"/>
          <c:tx>
            <c:strRef>
              <c:f>Hoja1!$A$3</c:f>
              <c:strCache>
                <c:ptCount val="1"/>
                <c:pt idx="0">
                  <c:v>Merck KGaA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3.4</c:v>
                </c:pt>
              </c:numCache>
            </c:numRef>
          </c:xVal>
          <c:yVal>
            <c:numRef>
              <c:f>Hoja1!$C$3</c:f>
              <c:numCache>
                <c:formatCode>0.0"x"</c:formatCode>
                <c:ptCount val="1"/>
                <c:pt idx="0">
                  <c:v>11.7</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Bio-Techne</c:v>
                </c:pt>
                <c:pt idx="1">
                  <c:v>Filtración y purificación de Solventum</c:v>
                </c:pt>
                <c:pt idx="2">
                  <c:v>Polyplus</c:v>
                </c:pt>
                <c:pt idx="3">
                  <c:v>Cytiva (biofarma de GE)</c:v>
                </c:pt>
              </c:strCache>
            </c:strRef>
          </c:cat>
          <c:val>
            <c:numRef>
              <c:f>Hoja1!$B$2:$B$5</c:f>
              <c:numCache>
                <c:formatCode>0.0"x"</c:formatCode>
                <c:ptCount val="4"/>
                <c:pt idx="0">
                  <c:v>26.5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331</c:v>
                </c:pt>
                <c:pt idx="1">
                  <c:v>434</c:v>
                </c:pt>
                <c:pt idx="2">
                  <c:v>528</c:v>
                </c:pt>
                <c:pt idx="3">
                  <c:v>622</c:v>
                </c:pt>
                <c:pt idx="4">
                  <c:v>716</c:v>
                </c:pt>
                <c:pt idx="5">
                  <c:v>796</c:v>
                </c:pt>
                <c:pt idx="6">
                  <c:v>863</c:v>
                </c:pt>
                <c:pt idx="7">
                  <c:v>908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3520</c:v>
                </c:pt>
                <c:pt idx="1">
                  <c:v>7808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216,40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60.94</c:v>
                </c:pt>
                <c:pt idx="1">
                  <c:v>90.07</c:v>
                </c:pt>
                <c:pt idx="2">
                  <c:v>106.33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216,40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(150,00 – 225,00)</c:v>
                </c:pt>
                <c:pt idx="1">
                  <c:v>Precio objetivo de los analistas (208,00 – 262,00)</c:v>
                </c:pt>
                <c:pt idx="2">
                  <c:v>Comparables: PER NTM (119,22 – 146,89)</c:v>
                </c:pt>
                <c:pt idx="3">
                  <c:v>DCF (WACC y g ± 0,5) (76,06 – 109,17)</c:v>
                </c:pt>
                <c:pt idx="4">
                  <c:v>Escenarios (bajista – alcista) (60,94 – 106,33)</c:v>
                </c:pt>
                <c:pt idx="5">
                  <c:v>DCF con la prima implícita del mercado (4,2 %)</c:v>
                </c:pt>
                <c:pt idx="6">
                  <c:v>Precio actual (216,40)</c:v>
                </c:pt>
              </c:strCache>
            </c:strRef>
          </c:cat>
          <c:val>
            <c:numRef>
              <c:f>Hoja1!$B$2:$B$8</c:f>
              <c:numCache>
                <c:formatCode>#,##0</c:formatCode>
                <c:ptCount val="7"/>
                <c:pt idx="0">
                  <c:v>150</c:v>
                </c:pt>
                <c:pt idx="1">
                  <c:v>208</c:v>
                </c:pt>
                <c:pt idx="2">
                  <c:v>119.22</c:v>
                </c:pt>
                <c:pt idx="3">
                  <c:v>76.06</c:v>
                </c:pt>
                <c:pt idx="4">
                  <c:v>60.94</c:v>
                </c:pt>
                <c:pt idx="5">
                  <c:v>107.18</c:v>
                </c:pt>
                <c:pt idx="6">
                  <c:v>215.32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(150,00 – 225,00)</c:v>
                </c:pt>
                <c:pt idx="1">
                  <c:v>Precio objetivo de los analistas (208,00 – 262,00)</c:v>
                </c:pt>
                <c:pt idx="2">
                  <c:v>Comparables: PER NTM (119,22 – 146,89)</c:v>
                </c:pt>
                <c:pt idx="3">
                  <c:v>DCF (WACC y g ± 0,5) (76,06 – 109,17)</c:v>
                </c:pt>
                <c:pt idx="4">
                  <c:v>Escenarios (bajista – alcista) (60,94 – 106,33)</c:v>
                </c:pt>
                <c:pt idx="5">
                  <c:v>DCF con la prima implícita del mercado (4,2 %)</c:v>
                </c:pt>
                <c:pt idx="6">
                  <c:v>Precio actual (216,40)</c:v>
                </c:pt>
              </c:strCache>
            </c:strRef>
          </c:cat>
          <c:val>
            <c:numRef>
              <c:f>Hoja1!$C$2:$C$8</c:f>
              <c:numCache>
                <c:formatCode>#,##0</c:formatCode>
                <c:ptCount val="7"/>
                <c:pt idx="0">
                  <c:v>75</c:v>
                </c:pt>
                <c:pt idx="1">
                  <c:v>54</c:v>
                </c:pt>
                <c:pt idx="2">
                  <c:v>27.669999999999987</c:v>
                </c:pt>
                <c:pt idx="3">
                  <c:v>33.11</c:v>
                </c:pt>
                <c:pt idx="4">
                  <c:v>45.39</c:v>
                </c:pt>
                <c:pt idx="5">
                  <c:v>30.22</c:v>
                </c:pt>
                <c:pt idx="6">
                  <c:v>2.1599999999999966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