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Diploma PLC</w:t>
      </w:r>
    </w:p>
    <w:p>
      <w:pPr>
        <w:spacing w:after="60"/>
        <w:rPr>
          <w:color w:val="52514E"/>
          <w:sz w:val="22"/>
          <w:szCs w:val="22"/>
        </w:rPr>
      </w:pPr>
      <w:r>
        <w:rPr>
          <w:color w:val="52514E"/>
          <w:sz w:val="22"/>
          <w:szCs w:val="22"/>
        </w:rPr>
        <w:t xml:space="preserve">DPLM · London Stock Exchange (Main Market) · ISIN GB0001826634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79,30 GBP (7.930,00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72,25 GBP (7.225,00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-8,1 % (base -0,1 %)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38,65 GBP (3.865,00 GBp) · mercado 42,96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10.690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Diploma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DPLM / GB0001826634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Distribuidores de comercio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www.diplomaplc.com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79,30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49,70 – 79,80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10.690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11.174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 M GBP/día (695.000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72,25 GBP (7.225,00 GBp)</w:t>
      </w:r>
      <w:r>
        <w:t xml:space="preserve"> frente a 79,30 (7.930,00 GBp) · Rentabilidad a 12 meses </w:t>
      </w:r>
      <w:r>
        <w:rPr>
          <w:b/>
          <w:bCs/>
        </w:rPr>
        <w:t xml:space="preserve">-8,1 % (base -0,1 %)</w:t>
      </w:r>
      <w:r>
        <w:t xml:space="preserve"> · Valor intrínseco 38,65 GBP (3.865,00 GBp) · con la prima implícita del mercado: 42,96 (4.296,00 GBp) (-45,8 %) · Alcista / bajista -58,2 % / -73,6 %</w:t>
      </w:r>
    </w:p>
    <w:p>
      <w:pPr>
        <w:spacing w:after="100"/>
      </w:pPr>
      <w:r>
        <w:rPr>
          <w:b/>
        </w:rPr>
        <w:t xml:space="preserve">La recomendación y por qué.</w:t>
      </w:r>
      <w:r>
        <w:t xml:space="preserve"> Mantener, con convicción baja. A 79,30 GBP (cierre del 14-oct-2026), el objetivo a 12 meses es de 72,25 GBP: rentabilidad ponderada del −8,1 % y del −0,1 % en el caso base, con el dividendo del 0,8 %. El valor intrínseco (38,65 GBP) queda un 51,3 % por debajo del precio y el objetivo medio de 16 analistas (83,29) por encima de nuestro base (78,59) [27]. A 12 meses el bajista pierde un 41 % y el alcista gana un 8 %. La convicción es baja porque la ponderada está a 1,9 puntos del umbral de venta (−10 %): la acción pasa a Vender por encima de 80,98 GBP, un 2 % sobre el precio; la subiría (hacia Vender) una guía de FY2027 el 17-nov con margen ajustado por debajo del 24 %.</w:t>
      </w:r>
    </w:p>
    <w:p>
      <w:pPr>
        <w:spacing w:after="100"/>
      </w:pPr>
      <w:r>
        <w:rPr>
          <w:b/>
        </w:rPr>
        <w:t xml:space="preserve">El negocio.</w:t>
      </w:r>
      <w:r>
        <w:t xml:space="preserve"> Un grupo de unas 70 distribuidoras de componentes críticos con un margen operativo ajustado del 22,5 % en FY2025 y c. 26,5 % en FY2026, frente al 7-16 % de los distribuidores generalistas [1, 8, 17, 19]. El ROIC estatutario es del 14,4 % frente a un WACC del 10,35 % (4 puntos); sin el fondo de comercio de las compras sube al 24,3 %: el negocio es excelente y lo que diluye es el precio de las compras. La sostenibilidad del crecimiento es «En parte»: el 6-7 % anual se financia con holgura (ROIC incremental del 20,1 %), pero el margen de partida es un pico.</w:t>
      </w:r>
    </w:p>
    <w:p>
      <w:pPr>
        <w:spacing w:after="100"/>
      </w:pPr>
      <w:r>
        <w:rPr>
          <w:b/>
        </w:rPr>
        <w:t xml:space="preserve">Sector y ciclo.</w:t>
      </w:r>
      <w:r>
        <w:t xml:space="preserve"> FY2026 es un año excepcional: orgánico del 14 % frente a un modelo del 5 %, por Peerless (sujeciones aeroespaciales con la cadena de suministro tensionada), defensa y centros de datos [8]. La dirección dijo en julio que FY2027 vuelve al modelo y que el margen se moderará [9].</w:t>
      </w:r>
    </w:p>
    <w:p>
      <w:pPr>
        <w:spacing w:after="100"/>
      </w:pPr>
      <w:r>
        <w:rPr>
          <w:b/>
        </w:rPr>
        <w:t xml:space="preserve">Finanzas.</w:t>
      </w:r>
      <w:r>
        <w:t xml:space="preserve"> Caja libre de 247 M en FY2025 (105 % de conversión) y deuda neta de 0,8 veces el EBITDA [1, 7]. Las cifras son limpias (Beneish −2,55, Piotroski 8), pero el BPA ajustado que comunica la empresa es un 28 % mayor que el estatutario por la amortización de lo comprado.</w:t>
      </w:r>
    </w:p>
    <w:p>
      <w:pPr>
        <w:spacing w:after="100"/>
      </w:pPr>
      <w:r>
        <w:rPr>
          <w:b/>
        </w:rPr>
        <w:t xml:space="preserve">Valoración.</w:t>
      </w:r>
      <w:r>
        <w:t xml:space="preserve"> A 38,9 veces nuestro BPA estatutario de FY2027 (unas 30 veces el ajustado), en el máximo de su historia adelantada (mediana de 31,3 veces) y por encima de los comparables (25,8 veces). El precio implica una rentabilidad del 5,9 % anual; el motor no encuentra un crecimiento razonable que lo justifique. Discrepamos del mercado en la duración del margen de 2026, no en la calidad.</w:t>
      </w:r>
    </w:p>
    <w:p>
      <w:pPr>
        <w:spacing w:after="100"/>
      </w:pPr>
      <w:r>
        <w:rPr>
          <w:b/>
        </w:rPr>
        <w:t xml:space="preserve">Riesgos y catalizadores.</w:t>
      </w:r>
      <w:r>
        <w:t xml:space="preserve"> El primero, la normalización de Peerless (bajista −41 % a 12 meses); el segundo, la vuelta del múltiplo a 31 veces (−20 %). Catalizador: resultados y guía del 17-nov-2026. El riesgo de que la IA se coma el negocio es bajo: vende piezas físicas certificadas y servicio técnico en pedidos pequeños; la IA ayuda a cotizar y gestionar inventario. Los foros y la prensa de inversión son positivos y siguen al precio [33, 34].</w:t>
      </w:r>
    </w:p>
    <w:p>
      <w:pPr>
        <w:spacing w:after="100"/>
      </w:pPr>
      <w:r>
        <w:rPr>
          <w:b/>
        </w:rPr>
        <w:t xml:space="preserve">Qué cambiaría la decisión.</w:t>
      </w:r>
      <w:r>
        <w:t xml:space="preserve"> Vender por encima de 80,98 GBP; comprar solo por debajo de 38,65 GBP. Pasaríamos a Vender también si la guía de FY2027 implica un BPA estatutario por debajo de 1,95 GBP, y reconsideraríamos con una caída a 60 GBP con el margen confirmado.</w:t>
      </w:r>
    </w:p>
    <w:p>
      <w:r>
        <w:br w:type="page"/>
      </w:r>
    </w:p>
    <w:p>
      <w:pPr>
        <w:pStyle w:val="Heading1"/>
      </w:pPr>
      <w:r>
        <w:t xml:space="preserve">Resumen ejecutivo</w:t>
      </w:r>
    </w:p>
    <w:p>
      <w:pPr>
        <w:pStyle w:val="Confianza"/>
        <w:spacing w:after="100"/>
      </w:pPr>
      <w:r>
        <w:t xml:space="preserve">Confianza: Alta</w:t>
      </w:r>
    </w:p>
    <w:p>
      <w:pPr>
        <w:spacing w:after="100"/>
      </w:pPr>
      <w:r>
        <w:rPr>
          <w:b/>
          <w:bCs/>
        </w:rPr>
        <w:t xml:space="preserve">Recomendación: Mantener</w:t>
      </w:r>
      <w:r>
        <w:t xml:space="preserve"> · Convicción: Baja · Horizonte: 12 meses · Objetivo a 12 meses: </w:t>
      </w:r>
      <w:r>
        <w:rPr>
          <w:b/>
          <w:bCs/>
        </w:rPr>
        <w:t xml:space="preserve">72,25 GBP (7.225,00 GBp)</w:t>
      </w:r>
      <w:r>
        <w:t xml:space="preserve"> (rentabilidad -8,1 % (base -0,1 %)) · Valor intrínseco: 38,65 GBP (3.865,00 GBp) (-51,3 % sobre 79,30) · con la prima implícita del mercado: 42,96 (4.296,00 GBp) (-45,8 %)</w:t>
      </w:r>
    </w:p>
    <w:p>
      <w:pPr>
        <w:spacing w:after="100"/>
      </w:pPr>
      <w:r>
        <w:t xml:space="preserve">Diploma es un compuesto británico de distribución especializada: compra empresas pequeñas a 5-9 veces el EBIT, les da capital y autonomía y obtiene márgenes operativos ajustados del 22-27 % y una conversión de caja superior al 100 % [1, 7]. En FY2026 vivió un año excepcional (orgánico del 14 %, margen de c. 26,5 %) gracias a Peerless, la defensa y los centros de datos [8].</w:t>
      </w:r>
    </w:p>
    <w:p>
      <w:pPr>
        <w:spacing w:after="100"/>
      </w:pPr>
      <w:r>
        <w:t xml:space="preserve">A 79,30 GBP cotiza a 38,9 veces nuestro BPA estatutario de FY2027 y a 27,5 veces el EBITDA de los últimos 12 meses; el precio implica una rentabilidad anual del 5,9 %, muy por debajo de su coste de capital (10,35 %). El DCF da 29,51 GBP y el valor intrínseco ponderado 38,65.</w:t>
      </w:r>
    </w:p>
    <w:p>
      <w:pPr>
        <w:spacing w:after="100"/>
      </w:pPr>
      <w:r>
        <w:t xml:space="preserve">El mercado acierta en la calidad y en la capacidad de componer con compras, pero paga como permanente un margen que la propia dirección llama «la parte alta» [9]. Para invertir hay que creer que FY2027 no devolverá margen y que el PER de 38 veces se sostiene; nosotros vemos una rentabilidad a 12 meses ligeramente negativa.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72,25 GBP (7.225,00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 × 1,81 = 46,52 · 35,4x × 2,22 = 78,59 · 35,4x × 2,41 = 85,31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 -0,1 %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83,29 (nuestro base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38,65 GBP (3.865,00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0,0100 GBP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79,30 GBP (7.930,00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 / -73,6 %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10,3 %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42,96 GBP (4.296,00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38,65 (3.865,00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38,65 y 80,98 (3.865,00 y 8.098,00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80,98 (8.098,00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80,98 GBP (8.098 GBp): la ponderada a 12 meses baja del −10 % y pasaríamos a Vender.</w:t>
      </w:r>
    </w:p>
    <w:p>
      <w:pPr>
        <w:pStyle w:val="ListParagraph"/>
        <w:numPr>
          <w:ilvl w:val="0"/>
          <w:numId w:val="2"/>
        </w:numPr>
        <w:spacing w:after="60"/>
      </w:pPr>
      <w:r>
        <w:t xml:space="preserve">Guía de FY2027 (17-nov-2026) con margen operativo ajustado por debajo del 24 %: Vender.</w:t>
      </w:r>
    </w:p>
    <w:p>
      <w:pPr>
        <w:pStyle w:val="ListParagraph"/>
        <w:numPr>
          <w:ilvl w:val="0"/>
          <w:numId w:val="2"/>
        </w:numPr>
        <w:spacing w:after="60"/>
      </w:pPr>
      <w:r>
        <w:t xml:space="preserve">Precio por debajo de 38,65 GBP con el negocio intacto: Comprar.</w:t>
      </w:r>
    </w:p>
    <w:p>
      <w:pPr>
        <w:pStyle w:val="ListParagraph"/>
        <w:numPr>
          <w:ilvl w:val="0"/>
          <w:numId w:val="2"/>
        </w:numPr>
        <w:spacing w:after="60"/>
      </w:pPr>
      <w:r>
        <w:t xml:space="preserve">BPA estatutario de FY2026 (publicado el 17-nov) por encima de 2,10 GBP y guía de margen ≥ 26 %: revisaríamos el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Diploma mantendrá el margen ajustado cerca del 25-26 % y un crecimiento del BPA de dos dígitos durante años, y que merece el múltiplo de los mejores compuestos (más de 30 veces el BPA ajustado) [26, 28].</w:t>
      </w:r>
    </w:p>
    <w:p>
      <w:pPr>
        <w:keepNext/>
        <w:spacing w:after="100"/>
      </w:pPr>
      <w:r>
        <w:rPr>
          <w:b/>
          <w:bCs/>
        </w:rPr>
        <w:t xml:space="preserve">Lo que creemos nosotros.</w:t>
      </w:r>
    </w:p>
    <w:p>
      <w:pPr>
        <w:spacing w:after="100"/>
      </w:pPr>
      <w:r>
        <w:t xml:space="preserve">FY2026 es un pico: el margen ajustado bajará hacia el 24,5-25 %, el orgánico volverá al 5 % y el BPA estatutario crecerá un 8-9 % al año en FY2027-28. A 38,9 veces, eso no deja rentabilidad a 12 meses.</w:t>
      </w:r>
    </w:p>
    <w:p>
      <w:pPr>
        <w:keepNext/>
        <w:spacing w:after="100"/>
      </w:pPr>
      <w:r>
        <w:rPr>
          <w:b/>
          <w:bCs/>
        </w:rPr>
        <w:t xml:space="preserve">Por qué podemos tener razón.</w:t>
      </w:r>
    </w:p>
    <w:p>
      <w:pPr>
        <w:spacing w:after="100"/>
      </w:pPr>
      <w:r>
        <w:t xml:space="preserve">La propia dirección lo dijo en julio («demasiadas subidas», «volveremos al modelo», el margen «se moderará») y el consenso ya lo refleja en FY2027 (+4 % de EBIT ajustado) [9, 26]. El mercado, en cambio, ha subido la acción un 50 % en 2026.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muy superior al sector</w:t>
      </w:r>
      <w:r>
        <w:t xml:space="preserve">: 22,5 % ajustado en FY2025 y c. 26,5 % en FY2026, frente al 7-16 % de Grainger, MSC o Bunzl [1, 8, 17, 18, 19].</w:t>
      </w:r>
    </w:p>
    <w:p>
      <w:pPr>
        <w:pStyle w:val="ListParagraph"/>
        <w:numPr>
          <w:ilvl w:val="0"/>
          <w:numId w:val="2"/>
        </w:numPr>
        <w:spacing w:after="60"/>
      </w:pPr>
      <w:r>
        <w:rPr>
          <w:b/>
        </w:rPr>
        <w:t xml:space="preserve">Compras baratas que crean valor</w:t>
      </w:r>
      <w:r>
        <w:t xml:space="preserve">: 57 compras desde 2019 por 1.600 M a 5-9 veces el EBIT, ROIC incremental del 20,1 % [7].</w:t>
      </w:r>
    </w:p>
    <w:p>
      <w:pPr>
        <w:pStyle w:val="ListParagraph"/>
        <w:numPr>
          <w:ilvl w:val="0"/>
          <w:numId w:val="2"/>
        </w:numPr>
        <w:spacing w:after="60"/>
      </w:pPr>
      <w:r>
        <w:rPr>
          <w:b/>
        </w:rPr>
        <w:t xml:space="preserve">Caja y balance</w:t>
      </w:r>
      <w:r>
        <w:t xml:space="preserve">: conversión del 105 % y deuda neta de 0,8 veces el EBITDA con 640 M de liquidez [1, 7].</w:t>
      </w:r>
    </w:p>
    <w:p>
      <w:pPr>
        <w:pStyle w:val="ListParagraph"/>
        <w:numPr>
          <w:ilvl w:val="0"/>
          <w:numId w:val="2"/>
        </w:numPr>
        <w:spacing w:after="60"/>
      </w:pPr>
      <w:r>
        <w:rPr>
          <w:b/>
        </w:rPr>
        <w:t xml:space="preserve">Exposición a tendencias</w:t>
      </w:r>
      <w:r>
        <w:t xml:space="preserve">: defensa (6-7 % de las ventas), centros de datos y aeroespacial [9].</w:t>
      </w:r>
    </w:p>
    <w:p>
      <w:pPr>
        <w:pStyle w:val="ListParagraph"/>
        <w:numPr>
          <w:ilvl w:val="0"/>
          <w:numId w:val="2"/>
        </w:numPr>
        <w:spacing w:after="60"/>
      </w:pPr>
      <w:r>
        <w:rPr>
          <w:b/>
        </w:rPr>
        <w:t xml:space="preserve">Dirección que cumple</w:t>
      </w:r>
      <w:r>
        <w:t xml:space="preserve">: ha batido la guía tres años seguidos [1, 2, 8].</w:t>
      </w:r>
    </w:p>
    <w:p>
      <w:pPr>
        <w:pStyle w:val="Heading2"/>
      </w:pPr>
      <w:r>
        <w:t xml:space="preserve">En contra</w:t>
      </w:r>
    </w:p>
    <w:p>
      <w:pPr>
        <w:pStyle w:val="ListParagraph"/>
        <w:numPr>
          <w:ilvl w:val="0"/>
          <w:numId w:val="2"/>
        </w:numPr>
        <w:spacing w:after="60"/>
      </w:pPr>
      <w:r>
        <w:rPr>
          <w:b/>
        </w:rPr>
        <w:t xml:space="preserve">Precio exigente</w:t>
      </w:r>
      <w:r>
        <w:t xml:space="preserve">: 38,9 veces el BPA estatutario de FY2027, rentabilidad implícita del 5,9 % [25].</w:t>
      </w:r>
    </w:p>
    <w:p>
      <w:pPr>
        <w:pStyle w:val="ListParagraph"/>
        <w:numPr>
          <w:ilvl w:val="0"/>
          <w:numId w:val="2"/>
        </w:numPr>
        <w:spacing w:after="60"/>
      </w:pPr>
      <w:r>
        <w:rPr>
          <w:b/>
        </w:rPr>
        <w:t xml:space="preserve">Margen de pico</w:t>
      </w:r>
      <w:r>
        <w:t xml:space="preserve">: la dirección anuncia moderación en FY2027 [9].</w:t>
      </w:r>
    </w:p>
    <w:p>
      <w:pPr>
        <w:pStyle w:val="ListParagraph"/>
        <w:numPr>
          <w:ilvl w:val="0"/>
          <w:numId w:val="2"/>
        </w:numPr>
        <w:spacing w:after="60"/>
      </w:pPr>
      <w:r>
        <w:rPr>
          <w:b/>
        </w:rPr>
        <w:t xml:space="preserve">ROIC estatutario de solo el 14,4 %</w:t>
      </w:r>
      <w:r>
        <w:t xml:space="preserve">, 4 puntos sobre el WACC, por el fondo de comercio de las compras [1].</w:t>
      </w:r>
    </w:p>
    <w:p>
      <w:pPr>
        <w:pStyle w:val="ListParagraph"/>
        <w:numPr>
          <w:ilvl w:val="0"/>
          <w:numId w:val="2"/>
        </w:numPr>
        <w:spacing w:after="60"/>
      </w:pPr>
      <w:r>
        <w:rPr>
          <w:b/>
        </w:rPr>
        <w:t xml:space="preserve">Rentabilidad a 12 meses negativa</w:t>
      </w:r>
      <w:r>
        <w:t xml:space="preserve">: −8,1 % ponderada; a 2 % del nivel de venta.</w:t>
      </w:r>
    </w:p>
    <w:p>
      <w:pPr>
        <w:pStyle w:val="ListParagraph"/>
        <w:numPr>
          <w:ilvl w:val="0"/>
          <w:numId w:val="2"/>
        </w:numPr>
        <w:spacing w:after="60"/>
      </w:pPr>
      <w:r>
        <w:rPr>
          <w:b/>
        </w:rPr>
        <w:t xml:space="preserve">Dependencia de las compras</w:t>
      </w:r>
      <w:r>
        <w:t xml:space="preserve">: dos tercios del crecimiento de FY2021-FY2025 fue comprado [1, 2, 3, 4, 5].</w:t>
      </w:r>
    </w:p>
    <w:p>
      <w:pPr>
        <w:pStyle w:val="Heading2"/>
      </w:pPr>
      <w:r>
        <w:t xml:space="preserve">Qué tiene que pasar para que la tesis funcione</w:t>
      </w:r>
    </w:p>
    <w:p>
      <w:pPr>
        <w:spacing w:after="100"/>
      </w:pPr>
      <w:r>
        <w:t xml:space="preserve">La tesis depende del margen de FY2027: que la guía del 17-nov-2026 deje el margen ajustado en el 24-25 % y el orgánico en el 5 %. La señal de que nos equivocamos al alza (y hay que vender): un margen guiado por debajo del 24 % o un crecimiento de Peerless que se frena antes. La señal contraria: un margen guiado del 26 % o más, que sostendría el BPA por encima del consenso.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 26,5 %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y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(9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el 1T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vuelta al modelo es del 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estatutario diluido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 p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195 p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PER y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compras más caras o grandes.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(H1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80 %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Acopio de existencias.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27,5x / 21,6x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56,4x / 33,4x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Diploma nació en 1931 como fabricante de equipos eléctricos y se transformó en las décadas de 1990-2000 en un grupo de distribuidores especializados del Reino Unido. Con Johnny Thomson (consejero delegado desde 2019, antes director financiero de Compass) dio el salto a EE. UU. con Windy City Wire (2020) y Peerless (2024), simplificó la estructura en tres sectores y aceleró las compras: 57 desde 2019 por 1.600 M GBP [7, 12]. Entró en el FTSE 100 en 2023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Johnny Thomson,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Windy City Wire (EE. UU.) por 449,6 M USD, financiada con una ampliación de 193,7 M GBP.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R&amp;G Fluid Power y Accuscience.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DICSA (España) y T.I.E. (EE. UU.); colocación de acciones; entrada en el FTSE 100.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Peerless Aerospace Fastener (EE. UU.) por 243 M GBP a 7 veces el EBIT; ventas de Kubo, Pennine y Gremtek.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22,5 %; dimite el director financiero Chris Davies (agosto).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subidas de la guía (orgánico 6 → 14 %, margen 22,5 → 26,5 %); 15 compras en 12 meses, incluida CDM (defensa, EE. UU.).</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Diploma es un grupo de unas 70 empresas especializadas que venden componentes y consumibles críticos con valor añadido: juntas y retenes para maquinaria pesada (Seals), cables, conectores, sujeciones aeroespaciales, adhesivos y cable de baja tensión (Controls) y consumibles y equipos para diagnóstico y quirófano (Life Sciences) [12]. No fabrica en serie: compra a fabricantes, mantiene existencias, corta a medida, ensambla kits, certifica y entrega rápido a miles de clientes industriales, sobre todo para reparación y mantenimiento. Opera en EE. UU. (53 % de las ventas por origen), Reino Unido, resto de Europa, Canadá y Australia, con c. 3.400 empleados [1, 7]. Es un comprador en serie: 57 compras desde 2019 por 1.600 M GBP [7].</w:t>
      </w:r>
    </w:p>
    <w:p>
      <w:pPr>
        <w:pStyle w:val="Heading2"/>
      </w:pPr>
      <w:r>
        <w:t xml:space="preserve">Cómo gana dinero</w:t>
      </w:r>
    </w:p>
    <w:p>
      <w:pPr>
        <w:spacing w:after="100"/>
      </w:pPr>
      <w:r>
        <w:t xml:space="preserve">Gana un margen bruto de c. 46 % (FY2025: coste de existencias vendidas de 818 M sobre 1.525 M de ventas) por el servicio: disponibilidad, personalización y conocimiento técnico en pedidos pequeños y urgentes donde el componente vale poco frente al coste de una parada [1]. Los gastos son personal y almacenes; el margen operativo ajustado fue del 22,5 % en FY2025 y la guía de FY2026 es c. 26,5 %, con apalancamiento operativo alto cuando crece el volumen [1, 9]. Necesita poco inmovilizado (capex &lt; 1 % de las ventas) pero inmoviliza existencias (c. 20 % de las ventas en circulante) [1]. Reinvierte la caja libre en compras pequeñas a 6-9 veces el EBIT y las deja gestionar con autonomía.</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Seals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Life Sciences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Seals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Life Sciences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Miles de clientes industriales y sanitarios, sin concentración relevante publicada: la empresa no da el peso del primer cliente y describe una base muy diversificada [12]. Los pedidos son pequeños y repetitivos (reparación y mantenimiento), sin contratos largos salvo acuerdos marco en aeroespacial y sanidad. El poder de precios se ve en el margen: el operativo ajustado subió de 20,9 % a 22,5 % en FY2025 y a 24,5 % en el H1 2026 con un crecimiento orgánico guiado por volumen [1, 7]; en Peerless la dirección admite que está bajando algo los precios al contado para ganar volumen y mantener un margen sostenible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(FY2025); 15 % (H1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FY2026: 14 % [1,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(FY2025); 24,5 % (H1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FY2026: c. 26,5 %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ROATCE (rentabilidad sobre capital de explotación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(FY2025); 22,7 % (H1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fondo de comercio y los cargos de compras históricos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(FY2025); 76 % (H1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H1 2026 acumula existencias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 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 p (FY2025); 109,2 p (H1 2026, +36 %)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amortización de intangibles comprados y cargos de compras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(deuda neta/EBITDA de covenants)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(FY2025 y H1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&lt; 2,0x; covenant 3,5x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Distribución especializada de componentes técnicos y consumibles con valor añadido (juntas, sujeciones, cables, conectores, adhesivos, componentes de fluido, consumibles sanitarios) para reparación, mantenimiento y fabricación de bajo volumen, en Norteamérica, Europa y Australia. Es un subconjunto del mercado de suministros industriales y MRO, que Fastenal estima en más de 140.000 M USD solo en Norteamérica [14]. Diploma compite en decenas de nichos que no tienen estadística propia; no hay una cifra fiable del mercado agregado de sus nichos, por lo que usamos la de suministros industriales como referencia de tamaño y no calculamos cuota del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 140.000 M USD (≈ 105.500 M GBP) el mercado norteamericano de suministros industriales, estimación de Fastenal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Aeroespacial civil: cadena de suministro tensionada y cartera de aviones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Peerless crece muy por encima de su historia; la dirección prevé que vuelva a c. 10 % y baja algo los precios al contado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defensa en Europa y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 6-7 % de las ventas con CDM; nuevo almacén en Chequia para Alemania y los nórdicos [7,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 3 % del grupo (15 % de Windy City Wire); crecimiento de dos dígitos en WCW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y reparación de maquinaria pesada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Seals solo +2 % orgánico en FY2025 y H1 2026 por el Reino Unido débil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sanitario y ciclos de producto en diagnóstico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Life Sciences +4 % en el H1 2026 en «mercados sanitarios difíciles»; la dirección espera un dígito bajo en FY2026 [7,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 un mercado fragmentado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describe un sector «grande y fragmentado» que se consolida lentamente [14]; Diploma hizo 15 compras en 12 meses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locales y fabricantes con venta directa, pero en nichos pequeños donde el servicio pesa más que el precio; márgenes EBITDA de los grandes entre el 8 % (Bunzl, RS) y el 24 % (Halma, Diploma) [19, 20,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pedidos pequeños y urgentes; el componente es un coste mínimo frente a una parada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Algunos fabricantes de marca (Parker, Trelleborg, grandes de sujeciones aeroespaciales) tienen poder; la escasez de sujeciones aeroespaciales favorece hoy al distribuidor con existencias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certificación (aeroespacial, sanidad), existencias y relaciones técnicas; los marketplaces digitales entran en lo estándar, no en lo personalizado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 directa del fabricante y el comercio electrónico sustituyen la parte estándar; la de valor añadido (corte, kits, certificación) es menos sustituible [12].</w:t>
            </w:r>
          </w:p>
        </w:tc>
      </w:tr>
    </w:tbl>
    <w:p>
      <w:pPr>
        <w:spacing w:after="160" w:before="0"/>
      </w:pPr>
    </w:p>
    <w:p>
      <w:pPr>
        <w:pStyle w:val="Heading2"/>
      </w:pPr>
      <w:r>
        <w:t xml:space="preserve">Ciclo</w:t>
      </w:r>
    </w:p>
    <w:p>
      <w:pPr>
        <w:spacing w:after="100"/>
      </w:pPr>
      <w:r>
        <w:t xml:space="preserve">Los nichos de Diploma están en un pico: crecimiento orgánico del 15 % en nueve meses frente a un modelo del 5 % y una media de cinco años del 10 % [1, 7]. En 2020 los ingresos cayeron un 1 % y el margen bajó a 16,2 % con reestructuración; en 2022-23 la inflación se trasladó a precios y el orgánico fue de dos dígitos [1, 19]. La propia dirección dice que FY2026 «no es un año normal» y que FY2027 volverá hacia el modelo financiero [9]. Seals y Life Sciences están en la parte baja.</w:t>
      </w:r>
    </w:p>
    <w:p>
      <w:pPr>
        <w:pStyle w:val="Heading2"/>
      </w:pPr>
      <w:r>
        <w:t xml:space="preserve">Regulación</w:t>
      </w:r>
    </w:p>
    <w:p>
      <w:pPr>
        <w:spacing w:after="100"/>
      </w:pPr>
      <w:r>
        <w:t xml:space="preserve">Aranceles de EE. UU. sobre componentes importados: Diploma vende sobre todo dentro de cada país (el 53 % de las ventas se origina en EE. UU.) y traslada precios [1]. En aeroespacial y defensa rigen certificaciones de calidad y controles de exportación que actúan como barrera de entrada; en Life Sciences, el reglamento europeo de diagnóstico in vitro (IVDR) encarece el cumplimiento de los fabricantes y favorece a los distribuidores con servicio técnico (juicio propio, sin cifra). Sin cambios regulatorios con fecha que muevan las cifras a 12 meses.</w:t>
      </w:r>
    </w:p>
    <w:p>
      <w:pPr>
        <w:pStyle w:val="Heading2"/>
      </w:pPr>
      <w:r>
        <w:t xml:space="preserve">Tendencias y disrupción</w:t>
      </w:r>
    </w:p>
    <w:p>
      <w:pPr>
        <w:spacing w:after="100"/>
      </w:pPr>
      <w:r>
        <w:t xml:space="preserve">Los fabricantes reducen su red comercial y externalizan el servicio en pedidos pequeños: favorece a distribuidores especializados. El comercio electrónico (Amazon Business, marketplaces) presiona la parte estándar del MRO, más que los nichos técnicos de Diploma [14, 15]. La inteligencia artificial ayuda en precios, inventario y cotización, y la usan también los grandes (Grainger, Fastenal) [14, 15]. Diploma gana con la relocalización industrial en EE. UU., la defensa europea y los centros de datos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o número dos en muchos nichos (cable de baja tensión en EE. UU., sujeciones aeroespaciales de categoría C, juntas para maquinaria pesada en Norteamérica), pero con una cuota menor del 2 % de los suministros industriales norteamericanos [12,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MRO generalista con catálogo amplio y logística propia; ROIC del 33 % [15,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Sujeciones y MRO con máquinas expendedoras en planta del cliente; ROIC del 33 % [14,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Herramientas de corte y MRO de metalurgia; margen en caída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Rodamientos, transmisión y fluidos: el más parecido a Seals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componentes electrónicos e industriales por catálogo; compite con Controls en el Reino Unido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Bunzl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BNZL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consumibles no críticos; comprador en serie con margen bajo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Würth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distribuidor privado de sujeciones y montaje del mundo; no cotiza y no se usan sus cifras.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no es una plataforma.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certificados y especificados en el diseño o el mantenimiento del cliente (aeroespacial, sanidad); pedidos pequeños donde cambiar de proveedor no compensa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y acuerdos de distribución con fabricantes; sin patentes relevantes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el más barato: su margen bruto (c. 46 %) es alto porque cobra el servicio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un líder con existencias y conocimiento técnico deja poco sitio a un segundo; margen operativo ajustado del 22,5 % frente al 7-16 % de los grandes generalistas [13, 4, 5, 6, 7].</w:t>
            </w:r>
          </w:p>
        </w:tc>
      </w:tr>
    </w:tbl>
    <w:p>
      <w:pPr>
        <w:spacing w:after="160" w:before="0"/>
      </w:pPr>
    </w:p>
    <w:p>
      <w:pPr>
        <w:pStyle w:val="Heading2"/>
      </w:pPr>
      <w:r>
        <w:t xml:space="preserve">Amenazas</w:t>
      </w:r>
    </w:p>
    <w:p>
      <w:pPr>
        <w:spacing w:after="100"/>
      </w:pPr>
      <w:r>
        <w:t xml:space="preserve">La principal es cíclica, no estructural: que el margen de Peerless y de Controls vuelva a niveles normales (la dirección ya lo anuncia) [9]. Estructuralmente, la venta directa de fabricantes y los marketplaces digitales en la parte estándar del catálogo, y la competencia de grandes como Grainger o Würth si entran en nichos rentables. Probabilidad media a cinco años; el efecto sería sobre el margen, no sobre el volumen.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FY2021-FY2025: ingresos </w:t>
      </w:r>
      <w:r>
        <w:rPr>
          <w:b/>
          <w:bCs/>
        </w:rPr>
        <w:t xml:space="preserve">18,0 %</w:t>
      </w:r>
      <w:r>
        <w:t xml:space="preserve">, EBITDA </w:t>
      </w:r>
      <w:r>
        <w:rPr>
          <w:b/>
          <w:bCs/>
        </w:rPr>
        <w:t xml:space="preserve">22,4 %</w:t>
      </w:r>
      <w:r>
        <w:t xml:space="preserve">, BPA </w:t>
      </w:r>
      <w:r>
        <w:rPr>
          <w:b/>
          <w:bCs/>
        </w:rPr>
        <w:t xml:space="preserve">25,2 %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787 M en FY2021 a 1.525 M en FY2025, un 18 % anual, pero dos tercios del crecimiento fueron comprados: Windy City Wire (FY2021), R&amp;G y Accuscience (FY2022), DICSA y T.I.E. (FY2023) y Peerless (FY2024) [2, 3, 4, 5]. El orgánico fue del 6 % en FY2024 y del 11 % en FY2025, y del 15 % en el H1 2026 [1, 2, 7]. El margen operativo ajustado subió de 18,9 % en FY2021 a 22,5 % en FY2025 por mezcla (Controls, con un 30 % de margen, pasó del 44 % al 55 % de las ventas) y apalancamiento operativo [1]. El EBIT estatutario es menor (283,7 M en FY2025, el 18,6 %) porque descuenta 61,7 M de amortización de intangibles comprados [1]. FY2026 cierra con un orgánico del 14 %, compras +6 % y margen ajustado de c. 26,5 % según la guía de julio [8].</w:t>
      </w:r>
    </w:p>
    <w:p>
      <w:pPr>
        <w:pStyle w:val="Heading2"/>
      </w:pPr>
      <w:r>
        <w:t xml:space="preserve">Ajustes y partidas no recurrentes</w:t>
      </w:r>
    </w:p>
    <w:p>
      <w:pPr>
        <w:spacing w:after="100"/>
      </w:pPr>
      <w:r>
        <w:t xml:space="preserve">Diploma publica un resultado «ajustado» que excluye la amortización de intangibles comprados (61,7 M en FY2025, 59,4 M en FY2024), el ajuste a valor razonable de existencias compradas, la remuneración diferida de vendedores, los gastos de compras y las plusvalías por venta de negocios; en financieros, las revaluaciones de pagos aplazados [1]. El BPA ajustado de FY2025 fue de 176,0 p frente a 137,9 p estatutario [1]. En el EBITDA marcamos como no recurrentes las plusvalías por ventas (17,3 M en FY2025, 12,2 M en FY2023 por Hawco, 7,3 M en FY2022) y la reestructuración (3,6 M en FY2024) [1, 2, 3, 4]. Los gastos de compras (4-10 M al año) se repiten y se dejan dentro.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16-jul-2026 la dirección subió por tercera vez la guía (orgánico 14 %, margen c. 26,5 %) pero cambió el tono: «hemos tenido demasiadas subidas este año», «no os acostumbréis» y FY2027 volverá «hacia el modelo financiero», que está «más o menos donde está el consenso» [8, 9]. Morgan Stanley preguntó por FY2027 y por un nuevo modelo a medio plazo: no lo habrá. Deutsche Numis y Stifel preguntaron por Peerless y el margen: la empresa está bajando algo los precios al contado para ganar volumen, el margen de Peerless quedará «estructuralmente por encima» del de la compra pero por debajo del actual, y el del grupo «se moderará un poco» por inversiones, Peerless y compras dilutivas [9]. En mayo el mensaje era de aceleración (orgánico del 15 %, 15 compras en 12 meses) y de riesgos de suministro por Oriente Medio, que explican la subida de existencias del semestre [7]. La dirección evitó cuantificar el margen de FY2027 y el peso de Peerless en el beneficio.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Windy City Wire (EE. UU.), comprada el 16-oct-2020 por 347,7 M GBP: entra casi todo el año; el crecimiento de FY2021 (+46 %) es sobre todo comprado.; FY2024: Peerless Aerospace Fastener (EE. UU.), comprada a finales de marzo de 2024 por 243,3 M GBP: medio año en la cuenta y todo en el balance.).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(sin arrendamientos) bajó de 419,6 M en FY2024 a 299,4 M en FY2025 por la caja libre (247 M) y las ventas de negocios, y volvió a 343,9 M en marzo de 2026 tras seis compras y la acumulación de existencias (+59 M de circulante en el semestre) [1, 7]. Estimamos unos 353 M en septiembre de 2026 tras pagar CDM (170 M USD) y otras cuatro compras, en línea con los 349 M del consenso [26]. El circulante comercial es el 18 % de las ventas en FY2025 y el 21 % de las ventas de los últimos 12 meses en marzo: crecer consume caja. La deuda está a tipo fijo en un 75 % (colocaciones privadas en EUR y USD al 4,2-5,5 % hasta 2036)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FY2021-FY2025: FCF </w:t>
      </w:r>
      <w:r>
        <w:rPr>
          <w:b/>
          <w:bCs/>
        </w:rPr>
        <w:t xml:space="preserve">752</w:t>
      </w:r>
      <w:r>
        <w:t xml:space="preserve">, conversión </w:t>
      </w:r>
      <w:r>
        <w:rPr>
          <w:b/>
          <w:bCs/>
        </w:rPr>
        <w:t xml:space="preserve">126 %</w:t>
      </w:r>
      <w:r>
        <w:t xml:space="preserve"> del beneficio neto; adquisiciones 1.212, dividendos 337, recompras 4.</w:t>
      </w:r>
    </w:p>
    <w:p>
      <w:pPr>
        <w:spacing w:after="100"/>
      </w:pPr>
      <w:r>
        <w:t xml:space="preserve">La conversión de beneficio en caja es alta: caja libre de 247,2 M en FY2025 (105 % del resultado operativo ajustado después de impuestos e intereses) y 197,9 M en FY2024 [1]. El capex es mínimo (14,4 M, el 0,9 % de las ventas) y los arrendamientos añaden c. 15 M al año [1]. El gran uso de la caja son las compras: 451 M en FY2021, 259 M en FY2023 y 271 M en FY2024, financiadas también con ampliaciones (236 M en FY2023) [13]. En el H1 2026 la conversión bajó al 76 % por existencias [7]. El capex de mantenimiento ≈ la amortización de inmovilizado y derechos de uso (c. 30 M); el resto del «capex» de un comprador en serie son las compras: estimación propia de c. 1,6 veces las ventas compradas a 8 veces el EBIT.</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ni párrafos de énfasis) [1,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[1]. Las cifras son fiables pero el lector debe separar tres capas: el resultado ajustado que comunica la empresa, el estatutario y la caja. La diferencia entre ajustado y estatutario (59-78 M al año) es sobre todo amortización de intangibles comprados, que es real en un comprador en serie: por eso usamos el estatutario [1, 2]. Las plusvalías por ventas de negocios (17,3 M en FY2025) entran en el estatutario y las excluimos del EBITDA. Los pagos en acciones son pequeños (6,2 M en FY2025, 2 % del beneficio) [1]. No hay capitalización de gastos relevante. Los indicadores del motor son buenos: Altman Z de 9,86 (sin riesgo financiero), Piotroski F de 8 sobre 9 y Beneish M de −2,55 (por debajo del umbral de manipulación de −1,78). Lo único a vigilar son las revaluaciones de pagos aplazados (11,3 M de cargo en el H1 2026), que crecen cuando las compradas superan su plan [7].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ajustado-estatutario de 59-78 M al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lo comprado, recurrente: usar el estatutario para el PER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Revaluación de pagos aplazados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M en el H1 2026: las compradas van mejor que lo previsto, pero cuesta caja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+62 M en seis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Acopio por riesgos de suministro; vigilar rotación en FY2026 [7].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20,1 % · </w:t>
      </w:r>
      <w:r>
        <w:rPr>
          <w:b/>
          <w:bCs/>
        </w:rPr>
        <w:t xml:space="preserve">WACC</w:t>
      </w:r>
      <w:r>
        <w:t xml:space="preserve">: 10,3 %.</w:t>
      </w:r>
    </w:p>
    <w:p>
      <w:pPr>
        <w:spacing w:after="100"/>
      </w:pPr>
      <w:r>
        <w:t xml:space="preserve">Con el beneficio estatutario y todo el capital invertido, el ROIC de FY2025 es del 14,4 % frente a un WACC del 10,35 %: crea valor por 4 puntos, menos de lo que sugiere la empresa (ROATCE del 20,9 % sobre el resultado ajustado y anualizado) [1]. El ROIC cae por el fondo de comercio: sin los 563,5 M de fondo de comercio, el mismo NOPAT (199 M) rinde un 24,3 % sobre unos 820 M de capital (estimación propia), y sin los intangibles comprados pasaría del 50 %. Es decir, el negocio operativo es excelente y lo que diluye el ROIC es el precio pagado por las compras (6-9 veces el EBIT) [2, 3]. Sube desde el 9,9 % de FY2021 por margen (el EBIT estatutario pasó del 13,2 % al 18,6 % de las ventas) con rotación estable de 0,8-0,85 veces. El ROIC incremental histórico es del 20,1 %: el crecimiento reciente ha creado valor. Grainger y Fastenal rinden un 33 % sin apenas compras [16, 17].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68,7 M + 571,0 M sin disponer de las líneas (RCF sindicado de 555 M hasta julio de 2030 y bilateral de 100 M hasta diciembre de 2028): margen de 639,7 M a 31-mar-2026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(financiación con colocaciones privadas en EE. UU. y créditos bancarios)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Pasivos por compras (pagos aplazados y opciones de compra de minoritarios) de 38,5 M a 31-mar-2026 (11,3 M corrientes y 27,2 M no corrientes), que van al puente [7]. Covenant de deuda neta/EBITDA de 3,5x frente a 0,8x; política propia &lt; 2,0x [7]. El plan de pensiones de prestación definida está asegurado al 100 % (buy-in) y tiene un superávit de 1,7 M: no hay déficit [7]. Arrendamientos (NIIF 16) de 88,8 M. No hay factoring ni confirming declarados.</w:t>
      </w:r>
    </w:p>
    <w:p>
      <w:pPr>
        <w:pStyle w:val="Heading1"/>
      </w:pPr>
      <w:r>
        <w:t xml:space="preserve">12. Asignación de capital</w:t>
      </w:r>
    </w:p>
    <w:p>
      <w:pPr>
        <w:pStyle w:val="Confianza"/>
        <w:spacing w:after="100"/>
      </w:pPr>
      <w:r>
        <w:t xml:space="preserve">Confianza: Alta</w:t>
      </w:r>
    </w:p>
    <w:p>
      <w:pPr>
        <w:spacing w:after="100"/>
      </w:pPr>
      <w:r>
        <w:t xml:space="preserve">Prioridades: invertir en las empresas (inventario, almacenes, personal comercial), compras de 5-9 veces el EBIT con rentabilidad del 20 % a medio plazo, dividendo progresivo (+5 % anual: 62,3 p en FY2025) y apalancamiento por debajo de 2,0x [1, 12]. No recompra acciones: amplía capital cuando hace una compra grande (2020 y 2023) [3, 5]. La guía de FY2026 incluye solo las compras anunciadas; la dirección dice tener «mucho balance» y una cartera de compras «fuerte y diversificada»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Windy City Wire (cable de baja tensión,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193,7 M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del 17 % anual desde la compra; hoy un 30 % de Controls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R&amp;G Fluid Power y Accuscience (y otras cinco)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Seals FY2025 +2 % orgánico; R&amp;G dentro de International Seals, que sigue débil en el Reino Unido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DICSA (España) y T.I.E.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acciones (236,1 M)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Pagadas a 9 veces el EBIT conjunto; la empresa espera el 20 % de rentabilidad a medio plazo; cambio de director general en DICSA en 2026 [3,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Peerless Aerospace Fastener (EE. UU.) y seis más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Peerless pagada a 7 veces el EBIT; crecimiento muy por encima de su historia y principal motor del margen de 2025-26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compras en 12 meses, incluida CDM (interconexión para defensa, EE. UU., c. 80 M USD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de 8 veces el EBIT; c. 40 M de EBIT anual esperado [7, 9].</w:t>
            </w:r>
          </w:p>
        </w:tc>
      </w:tr>
    </w:tbl>
    <w:p>
      <w:pPr>
        <w:spacing w:after="160" w:before="0"/>
      </w:pPr>
    </w:p>
    <w:p>
      <w:pPr>
        <w:spacing w:after="100"/>
      </w:pPr>
      <w:r>
        <w:t xml:space="preserve">La dirección asigna bien el capital: 57 compras desde 2019 por 1.600 M con una rentabilidad conjunta «por encima del 20 %» según la empresa, sin deterioros de fondo de comercio [7]. Nuestro ROIC incremental (20,1 %) lo confirma. Peerless (7 veces el EBIT) es la mejor operación: ha disparado el margen del grupo [9]. Las compras grandes se financiaron con ampliaciones (dilución del 4 % en 2023) y la plantilla de acciones apenas ha crecido desde entonces (134,7 M) [1]. El riesgo es de tamaño: a 8 veces el EBIT, mantener un 5 % de crecimiento comprado exige ya unos 150 M al año.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Johnny Thomson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del grupo Compass y director regional de Latinoamérica. Desde 2019 el BPA ajustado pasó de 64,3 p (FY2019) a 176,0 p (FY2025) y la empresa entró en el FTSE 100 [1, 12]. Tiene 208.500 acciones tras vender 30.000 en enero de 2026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Wilson 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2022; antes director financiero de división en Spirax y vicepresidente financiero en GKN. Interino desde agosto de 2025 y titular en 2026 [10,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Lowden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Capita y consejero independiente coordinador de Morgan Sindall; antes presidente de PageGroup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Anna Lawrence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Incorporada en mayo de 2025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línea con el modelo (orgánico c. 5 %) y márgenes altos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6 %, margen 20,9 %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c. 6 %, compras +2 %, margen c. 21 %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11 %, margen 22,5 %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(nov-25)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6 %, compras +2 %, margen c. 22,5 %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en marzo (9 %, 25 %), mayo (12 %, 25 %) y julio (14 %, 26,5 %) [7, 8,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la dirección ha batido su guía en FY2024, FY2025 y FY2026, y la de FY2026 la subió tres veces [1, 2, 7, 8, 10]. Johnny Thomson lleva siete años y es la cara de la estrategia; su participación vale unos 16,5 M GBP (208.500 acciones) [24]. El cambio de director financiero en agosto de 2025 se resolvió con un interno (Wilson Ng) [12]. Sucesión: la empresa trabaja en un modelo de «cantera propia» para los directores de las filiales, pero no hay un sucesor visible del consejero delegado [9]. La venta de 30.000 acciones del consejero delegado en enero de 2026 (1,7 M GBP) es pequeña frente a su participación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Lowden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Johnny Thomson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Wilson 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Katie Bickerstaffe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Janice Stipp</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Ward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Dean Finch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Geraldine Huse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Ian El-Mokadem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ni párrafos de énfasis) [1, 12]</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1,70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encima del 5 % (nov-25)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Johnny Thomson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7,15 M GBP en FY2025 (4,58 M en FY2024): 0,99 M fijos, 1,84 M de bonus anual (máximo 200 % del salario) y 4,33 M del plan a largo plazo, inflado por la subida de la acción [12]. El plan de acciones por rendimiento (300 % del salario) se mide con crecimiento del BPA ajustado, rentabilidad total para el accionista frente al índice y ROATCE, con malus y clawback [12]. La ratio frente al empleado mediano del Reino Unido es de 191 a 1 [12]. Exige mantener el 300 % del salario en acciones; tenía el 1.389 % [12]. El BPA ajustado excluye la amortización de lo comprado, lo que premia comprar; el ROATCE lo compensa al incluir el fondo de comercio.</w:t>
      </w:r>
    </w:p>
    <w:p>
      <w:pPr>
        <w:pStyle w:val="Heading2"/>
      </w:pPr>
      <w:r>
        <w:t xml:space="preserve">Operaciones vinculadas, estructura de control y defensas</w:t>
      </w:r>
    </w:p>
    <w:p>
      <w:pPr>
        <w:spacing w:after="100"/>
      </w:pPr>
      <w:r>
        <w:t xml:space="preserve">Sin accionista de control: el mayor es Capital Group con el 12,96 % y el capital está repartido entre institucionales [12]. Una acción, un voto; sin blindajes estatutarios ni pactos conocidos. Presidente independiente separado del consejero delegado, consejera coordinadora y comisiones de auditoría y remuneración solo con independientes [12]. No hay operaciones vinculadas relevantes.</w:t>
      </w:r>
    </w:p>
    <w:p>
      <w:pPr>
        <w:pStyle w:val="Heading2"/>
      </w:pPr>
      <w:r>
        <w:t xml:space="preserve">Señales de alerta</w:t>
      </w:r>
    </w:p>
    <w:p>
      <w:pPr>
        <w:pStyle w:val="ListParagraph"/>
        <w:numPr>
          <w:ilvl w:val="0"/>
          <w:numId w:val="2"/>
        </w:numPr>
        <w:spacing w:after="60"/>
      </w:pPr>
      <w:r>
        <w:t xml:space="preserve">Rotación del director financiero en agosto de 2025 (Chris Davies dimite por motivos no relacionados con la empresa; Wilson Ng, interino y después titular) [12].</w:t>
      </w:r>
    </w:p>
    <w:p>
      <w:pPr>
        <w:pStyle w:val="ListParagraph"/>
        <w:numPr>
          <w:ilvl w:val="0"/>
          <w:numId w:val="2"/>
        </w:numPr>
        <w:spacing w:after="60"/>
      </w:pPr>
      <w:r>
        <w:t xml:space="preserve">Venta de 1,7 M GBP del consejero delegado en enero de 2026, tras ventas para impuestos en noviembre de 2025 [24].</w:t>
      </w:r>
    </w:p>
    <w:p>
      <w:r>
        <w:br w:type="page"/>
      </w:r>
    </w:p>
    <w:p>
      <w:pPr>
        <w:pStyle w:val="Parte"/>
      </w:pPr>
      <w:r>
        <w:t xml:space="preserve">Parte IV — Mercado y valoración</w:t>
      </w:r>
    </w:p>
    <w:p>
      <w:pPr>
        <w:pStyle w:val="Heading1"/>
      </w:pPr>
      <w:r>
        <w:t xml:space="preserve">15. Previsiones de la compañía y consenso</w:t>
      </w:r>
    </w:p>
    <w:p>
      <w:pPr>
        <w:spacing w:after="100"/>
      </w:pPr>
      <w:r>
        <w:t xml:space="preserve">Guía de FY2026 (año cerrado el 30-sep-2026, resultados el 17-nov-2026), subida tres veces: orgánico del 14 % (6 % en noviembre de 2025), compras +6 % y margen operativo ajustado de c. 26,5 % (22,5 % en noviembre), lo que da un crecimiento del resultado operativo ajustado de c. 42 % a tipo constante, un 7 % por encima del consenso de 454 M de julio [8]. Para FY2027 la dirección no guía todavía: espera volver «hacia el modelo financiero» (orgánico del 5 %, compras del 5 %, margen ≥ 20 %, BPA de dos dígitos), con el margen bajando algo por Peerless, inversiones y compras dilutivas, «más o menos donde está el consenso»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90,00</w:t>
            </w:r>
          </w:p>
        </w:tc>
      </w:tr>
    </w:tbl>
    <w:p>
      <w:pPr>
        <w:spacing w:after="160" w:before="0"/>
      </w:pPr>
    </w:p>
    <w:p>
      <w:pPr>
        <w:pStyle w:val="Heading2"/>
      </w:pPr>
      <w:r>
        <w:t xml:space="preserve">Revisiones de estimaciones</w:t>
      </w:r>
    </w:p>
    <w:p>
      <w:pPr>
        <w:spacing w:after="100"/>
      </w:pPr>
      <w:r>
        <w:t xml:space="preserve">Las estimaciones han subido con cada actualización: el consenso de resultado operativo ajustado de FY2026 era de 377 M el 17-mar, 428 M el 18-may y 454 M el 15-jul; la guía de julio implica c. 486 M a tipo constante [7, 9]. El consenso de MarketScreener ya da 480,9 M para FY2026 y 500,7 M para FY2027 (+4 %) [26]: el mercado espera que el margen baje en FY2027. El EBIT del consenso es el ajustado (antes de la amortización de lo comprado) y el BPA mezcla criterios: 2,179 GBP en FY2026 frente a un BPA ajustado de unos 2,5 GBP; solo hay una fuente con estimaciones completas; el objetivo se contrasta con el PER adelantado de Stock Analysis (30,5 veces) [26, 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49,8 % en 2026 y un 49,1 % en 12 meses frente al 8,0 % y el 13,5 % del FTSE 100: tres subidas de la guía (marzo, mayo y julio) y un 15 % de crecimiento orgánico [25]. En tres años anualiza un 39,7 % y en diez un 23,8 %, frente al 4,3 % del índice. La peor caída de cinco años fue del 37,6 % (nov-21 a jun-22), con la subida de tipos que castigó a los compuestos de múltiplo alto. El mínimo de 52 semanas fue de 49,70 GBP el 17-mar-2026, la víspera de la primera subida de la guía; el máximo, 79,80 el 6-oct [25]. Beta mensual de 5 años de 1,09 frente al FTSE 100; semanal de 2 años, 0,76.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Diploma siempre ha cotizado caro: sobre el BPA estatutario del año siguiente, entre 25,7 veces (septiembre de 2022, con la subida de tipos) y 39,4 veces (septiembre de 2020) [1, 2, 3, 4, 5, 6, 25]. Hoy, a 38,9 veces nuestro BPA de FY2027, está en el extremo alto, por encima de la mediana de cinco años (31,3 veces) y de la media de ocho (33,7). El cambio estructural es real (más EE. UU., más aeroespacial y defensa, margen 4 puntos mayor), pero el precio ya paga un margen de pico: con el BPA ajustado el PER adelantado es de unas 30 veces [28].</w:t>
      </w:r>
    </w:p>
    <w:p>
      <w:pPr>
        <w:pStyle w:val="Heading1"/>
      </w:pPr>
      <w:r>
        <w:t xml:space="preserve">18. Comparables cotizados</w:t>
      </w:r>
    </w:p>
    <w:p>
      <w:pPr>
        <w:pStyle w:val="Confianza"/>
        <w:spacing w:after="100"/>
      </w:pPr>
      <w:r>
        <w:t xml:space="preserve">Confianza: Media</w:t>
      </w:r>
    </w:p>
    <w:p>
      <w:pPr>
        <w:spacing w:after="100"/>
      </w:pPr>
      <w:r>
        <w:t xml:space="preserve">Distribuidores industriales cotizados de Norteamérica y Reino Unido (Grainger, Fastenal, MSC, Applied Industrial, RS Group y Bunzl) más Halma, el otro compuesto británico de nichos con margen alto y compras pequeñas. Würth no cotiza. Ninguno replica el modelo de Diploma: los distribuidores generalistas tienen márgenes menores y Halma fabrica. Cifras de Stock Analysis del 14-oct-2026 (mismo proveedor y fecha para todos), pasadas a GBP con el BCE [16, 17, 18, 19, 20, 21, 22, 29]. El PER adelantado es el de consenso ajustado de cada empresa; el crecimiento esperado no está disponible en la misma fuente y se deja vacío.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Diploma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19,8x / 21,0x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25,8x / 27,6x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2,6x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Diploma cotiza a 33,4 veces el BPA de consenso de los próximos 12 meses y 21,6 veces el EBITDA, con prima frente a todos salvo Fastenal (37,4 veces, ROIC del 33 % sin compras) [16]. La mediana del PER de los comparables es de 25,8 veces. La prima frente a Grainger (27,4 veces) y Halma (25,8) se explica por un crecimiento mayor (orgánico del 14 % en FY2026) y un margen del 24,7 %, pero no por el ROIC (14,4 % frente al 33 % de Grainger) [17, 21]. Los distribuidores británicos generalistas (Bunzl 14,6 veces, RS 18,8) no son comparables en margen [19, 20]. Usamos la mediana con peso del 30 %: da 51,61-65,49 GBP por PER, por debajo del precio. No incluimos Würth (no cotiza).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Peerless Aerospace Fastener (sujeciones aeroespaciales,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publicado: 7 veces el EBIT de FY2024 [2]; con amortización operativa mínima, ≈ EV/EBITDA.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DICSA (fluidos, España) y T.I.E. (automatización,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veces el EBIT conjunto publicado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compras de FY2024 (Peerless, PAR y cinco bolt-ons)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6 veces el EBIT [2]; incluye Peerless (no se cuenta dos veces).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compras desde el 4T de FY2025</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8 veces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compras en 12 meses (incluida CDM, c. 80 M USD de ventas)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8 veces el EBIT; c. 40 M de EBIT anual esperado [7]. CDM costó 170 M USD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bolt-ons del 2S de FY2022</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de 5 veces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8,0x (7,0x – 8,0x)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 20,52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transacciones disponibles son las propias compras de Diploma: 5-9 veces el EBIT, muy por debajo de las 27,5 veces el EBITDA a las que cotiza ella misma [2, 3, 7]. Esa diferencia es el motor de su modelo (comprar barato empresas pequeñas y que el mercado las revalorice dentro del grupo), no una referencia de valor de control para Diploma. No las ponderamos. Diploma no es un objetivo probable: sin accionista de control, 10.700 M de capitalización y múltiplo alto.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+18,4 % (orgánico 14 %, compras +6 %, divisa −1,6 puntos), fijo con la guía de julio [8]. FY2027e +8 %: orgánico del 5 % (el modelo de la empresa, al que la dirección dice que volverá) y 3 puntos por las compras ya hechas (CDM y otras cuatro en el tercer trimestre) [7, 9]. Después 7 % → 4 %: orgánico del 4-5 % más un 2 % comprado al año. El consenso da +9,7 % en FY2027 y +6,1 % en FY2028 [26]; estamos un punto por debajo en FY2027. La historia de FY2021-FY2025 (18 % anual, dos tercios comprado) no se proyecta.</w:t>
      </w:r>
    </w:p>
    <w:p>
      <w:pPr>
        <w:keepNext/>
        <w:spacing w:after="100"/>
      </w:pPr>
      <w:r>
        <w:rPr>
          <w:b/>
          <w:bCs/>
        </w:rPr>
        <w:t xml:space="preserve">Márgenes.</w:t>
      </w:r>
    </w:p>
    <w:p>
      <w:pPr>
        <w:spacing w:after="100"/>
      </w:pPr>
      <w:r>
        <w:t xml:space="preserve">Margen EBITDA (estatutario + amortizaciones) del 27,4 % en FY2026e, equivalente a un margen ajustado de c. 26,5 % [8]; baja al 26,4 % en FY2027e (ajustado c. 25 %, la moderación que anuncia la dirección) y al 26,0 % a largo plazo (ajustado c. 24,5 %) [9]. Es el supuesto más exigente: el margen ajustado fue del 20,9 % en FY2024 y del 22,5 % en FY2025, y el modelo de la empresa pide solo un 20 % o más [1]. El consenso espera un 25,0 % ajustado en FY2027 y un 24,6 % en FY2028 [26].</w:t>
      </w:r>
    </w:p>
    <w:p>
      <w:pPr>
        <w:keepNext/>
        <w:spacing w:after="100"/>
      </w:pPr>
      <w:r>
        <w:rPr>
          <w:b/>
          <w:bCs/>
        </w:rPr>
        <w:t xml:space="preserve">Inversión y circulante.</w:t>
      </w:r>
    </w:p>
    <w:p>
      <w:pPr>
        <w:spacing w:after="100"/>
      </w:pPr>
      <w:r>
        <w:t xml:space="preserve">Capex del 2,2 % de las ventas en FY2027e (inmovilizado y altas de derechos de uso; las compras de CDM ya se pagaron en FY2026) y del 5,2-5,4 % después: un 2 % orgánico más las compras para crecer un 2 % al año a c. 1,6 veces las ventas compradas (8 veces el EBIT con un margen del 20 %) [7]. Circulante comercial del 19,5 % de las ventas, entre el 18 % de FY2025 y el 21 % de marzo [1, 7]. Tipo impositivo del 25,5 % (25,0 % ajustado en FY2025 y el H1 2026) [7].</w:t>
      </w:r>
    </w:p>
    <w:p>
      <w:pPr>
        <w:keepNext/>
        <w:spacing w:after="100"/>
      </w:pPr>
      <w:r>
        <w:rPr>
          <w:b/>
          <w:bCs/>
        </w:rPr>
        <w:t xml:space="preserve">Coste del capital.</w:t>
      </w:r>
    </w:p>
    <w:p>
      <w:pPr>
        <w:spacing w:after="100"/>
      </w:pPr>
      <w:r>
        <w:t xml:space="preserve">Tasa libre del 5,39 % (gilt a 10 años del 12-oct-2026) [30]; beta de 0,95, entre la mensual de 5 años frente al FTSE 100 (1,09) y la semanal de 2 años (0,76) [25]; prima de mercado del 5,5 %; coste de la deuda del 5,3 % (coste medio de la financiación) con un peso del 4 % [7]. WACC del 10,35 %. Con la prima implícita del mercado (4,2 %) [31] el WACC baja al 9,2 % y el DCF sube a 42,96 GBP: no cambia la conclusión.</w:t>
      </w:r>
    </w:p>
    <w:p>
      <w:pPr>
        <w:keepNext/>
        <w:spacing w:after="100"/>
      </w:pPr>
      <w:r>
        <w:rPr>
          <w:b/>
          <w:bCs/>
        </w:rPr>
        <w:t xml:space="preserve">Valor terminal.</w:t>
      </w:r>
    </w:p>
    <w:p>
      <w:pPr>
        <w:spacing w:after="100"/>
      </w:pPr>
      <w:r>
        <w:t xml:space="preserve">Gordon con un 3 % de crecimiento, por debajo de la tasa libre menos medio punto y coherente con la inflación británica más un 1 % real. El valor terminal es el 66 % del DCF. El múltiplo de salida de contraste es de 18 veces el EBITDA, por debajo de las 27,5 veces de hoy y cerca de la mediana de los distribuidores (19,8 de Grainger).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M (13 % del NOPAT)</w:t>
            </w:r>
          </w:p>
        </w:tc>
      </w:tr>
    </w:tbl>
    <w:p>
      <w:pPr>
        <w:spacing w:after="160" w:before="0"/>
      </w:pPr>
    </w:p>
    <w:p>
      <w:pPr>
        <w:spacing w:after="100"/>
      </w:pPr>
      <w:r>
        <w:t xml:space="preserve">La proyección apenas necesita inversión neta de la amortización (reinversión acumulada de 315 M, el 13 % del NOPAT, con un capex bruto medio del 6,2 % de las ventas). En un negocio de activos ligeros, el crecimiento medio del 7,8 %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orgánico del 14 % (volumen, sobre todo Controls) con algo de precio; +6 % de compras y −1,6 puntos de divisa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(modelo de la empresa) y 3 puntos de compras ya cerradas (CDM, c. 80 M USD de ventas)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y un 2 % de compras nuevas pagadas en el capex.</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compras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compras del 2 %.</w:t>
            </w:r>
          </w:p>
        </w:tc>
      </w:tr>
    </w:tbl>
    <w:p>
      <w:pPr>
        <w:spacing w:after="160" w:before="0"/>
      </w:pPr>
    </w:p>
    <w:p>
      <w:pPr>
        <w:spacing w:after="100"/>
      </w:pPr>
      <w:r>
        <w:t xml:space="preserve">La reinversión de la proyección es el 13 % del NOPAT: el motor no hace la prueba de reinversión, así que la hacemos a mano. El orgánico del 4-5 % solo necesita circulante (19,5 % de las ventas nuevas, c. 1 % de las ventas al año) y el crecimiento comprado del 2 % cuesta c. 3,2 % de las ventas en compras, que va en el capex; el ROIC incremental histórico del 20,1 % y el ROIC sin fondo de comercio del 24 % lo financian con holgura. Lo que no está asegurado es el margen de partida: el 26,5 % ajustado de FY2026 es un pico (Peerless y apalancamiento operativo) y la propia dirección anuncia moderación [9]. Por eso «En parte»: el crecimiento sí, el margen solo en parte. No falla ninguna prueba, así que no rebajamos el base; ya proyectamos un margen ajustado de c. 24,5 % a largo plazo.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(WACC: 10,3 %)</w:t>
            </w:r>
          </w:p>
        </w:tc>
      </w:tr>
    </w:tbl>
    <w:p>
      <w:pPr>
        <w:spacing w:after="160" w:before="0"/>
      </w:pPr>
    </w:p>
    <w:p>
      <w:pPr>
        <w:spacing w:after="100"/>
      </w:pPr>
      <w:r>
        <w:t xml:space="preserve">El DCF da 29,51 GBP por acción, un 62,8 % por debajo del precio, con el valor terminal en el 66 % del total; el valor intrínseco ponderado es de 38,65 GBP. A 79,30 GBP el precio implica una rentabilidad anual del 5,9 %, frente a un WACC del 10,35 % y al 9,2 % que pide hoy el mercado: es un precio que solo cuadra con un coste de capital de bono. El motor no encuentra un crecimiento razonable para 2027-2032 que lo justifique; por margen, haría falta un 55,9 % frente a nuestro 26 %. Dicho de otro modo, el mercado descuenta que Diploma siga componiendo al 15-20 % anual durante más de una década gracias a las compras, algo que el DCF no recoge porque las compras a 8 veces el EBIT crean valor que se reinvierte. Aun así, para justificar 79 GBP hay que creer que el crecimiento de dos dígitos y el margen del 26 % duran mucho más que nuestro horizonte. Es exigente frente a la historia (BPA estatutario +25 % anual en FY2021-FY2025, la mayor parte comprado).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Peerless se normaliza y el margen ajustado del grupo vuelve al 22,5 % de FY2025; el orgánico de FY2027-28 se queda en el 2-3 % con Seals y Life Sciences débiles. Ya le pasó en FY2020 (margen del 16,2 % y ventas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FY2027 vuelve al modelo (orgánico del 5 % y margen ajustado c. 25 %) con 3 puntos de compras ya hechas; después crecimiento del 6-7 % con un 2 % comprado y margen ajustado de c. 24,5 %.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Defensa, centros de datos y aeroespacial mantienen el orgánico cerca del 7 % y el margen ajustado en el 25,5-26 %; las compras se aceleran.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GBP) · precio actual 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28,27 GBP (-64,4 %).</w:t>
      </w:r>
    </w:p>
    <w:p>
      <w:pPr>
        <w:spacing w:after="100"/>
      </w:pPr>
      <w:r>
        <w:t xml:space="preserve">La asimetría del DCF es desfavorable en los tres casos: el bajista vale 20,91 GBP, el base 29,51 y el alcista 33,13, todos muy por debajo del precio, porque el problema es la tasa (rentabilidad implícita del 5,9 %), no las cifras. A 12 meses, con la regla de múltiplos, el bajista da 46,52 GBP (−41 %) y el alcista 85,31 (+8 %): se pierde mucho más de lo que se gana. El bajista no es cosmético: el margen ajustado del 22,5 % es el de hace un año.</w:t>
      </w:r>
    </w:p>
    <w:p>
      <w:pPr>
        <w:pStyle w:val="Heading1"/>
      </w:pPr>
      <w:r>
        <w:t xml:space="preserve">22. Suma de partes</w:t>
      </w:r>
    </w:p>
    <w:p>
      <w:pPr>
        <w:pStyle w:val="Confianza"/>
        <w:spacing w:after="100"/>
      </w:pPr>
      <w:r>
        <w:t xml:space="preserve">Confianza: Media</w:t>
      </w:r>
    </w:p>
    <w:p>
      <w:pPr>
        <w:spacing w:after="100"/>
      </w:pPr>
      <w:r>
        <w:t xml:space="preserve">No aplica: los tres sectores comparten modelo (distribución especializada con valor añadido), capital y compras; no hay comparables puros distintos para cada uno que cambien el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GBP) · precio actual 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38,65 GBP (-51,3 % sobre 79,30).</w:t>
      </w:r>
    </w:p>
    <w:p>
      <w:pPr>
        <w:spacing w:after="100"/>
      </w:pPr>
      <w:r>
        <w:t xml:space="preserve">El DCF pesa un 40 % porque es el único método que mide la rentabilidad sobre el capital; los comparables, un 30 % (PER de los próximos 12 meses: es el múltiplo que usa el mercado para los compuestos británicos), y los escenarios, un 30 %. Las transacciones no pesan: son las compras de la propia Diploma a 5-9 veces el EBIT, que no son un valor de control para ella. La dispersión es enorme: el DCF da 29,51 GBP, los comparables por PER 51,61-65,49 y el precio 79,30. Todos los métodos quedan por debajo: el valor intrínseco ponderado es de 38,65 GBP, un 51,3 % por debajo del precio. El método más fiable para Diploma es el PER relativo, porque el DCF penaliza la reinversión en compras; aun así, también da un valor menor que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(38.9x) ÷ 1.1 (tope: la mediana de 5 años, 31.3x,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spacing w:after="100"/>
      </w:pPr>
      <w:r>
        <w:rPr>
          <w:b/>
          <w:bCs/>
        </w:rPr>
        <w:t xml:space="preserve">Objetivo a 12 meses (ponderado):</w:t>
      </w:r>
      <w:r>
        <w:t xml:space="preserve"> 72,25 GBP (7.225,00 GBp) · rentabilidad -8,1 % (base -0,1 %) · señal Mantener.</w:t>
      </w:r>
    </w:p>
    <w:p>
      <w:pPr>
        <w:spacing w:after="100"/>
      </w:pPr>
      <w:r>
        <w:t xml:space="preserve">Para comparar, con la regla v2 (historia al cierre, mismo precio): 30,6x / 38,6x / 40,0x, 2,7 % Mantener; con el tope anterior del base (×1,3, 14-oct mediodía): -9,2 % Mantener. Decide la regla vigente (v3 con tope ×1,1; METODO-VIGENTE.md).</w:t>
      </w:r>
    </w:p>
    <w:p>
      <w:pPr>
        <w:keepNext/>
        <w:spacing w:after="100"/>
      </w:pPr>
      <w:r>
        <w:rPr>
          <w:b/>
          <w:bCs/>
        </w:rPr>
        <w:t xml:space="preserve">Frente al consenso (solo contraste).</w:t>
      </w:r>
    </w:p>
    <w:p>
      <w:pPr>
        <w:spacing w:after="100"/>
      </w:pPr>
      <w:r>
        <w:t xml:space="preserve">Nuestro BPA de FY2028e (2,22 GBP) queda un 11,7 % por debajo del consenso de MarketScreener (2,515) [26]: usamos el beneficio estatutario completo (unos 84 M de amortización de lo comprado y gastos de compras) y un margen ajustado del 24,8 % frente al 24,6 % del consenso; la diferencia es de base de BPA, no de negocio (nuestro EBIT ajustado de FY2028e, 517 M, coincide con los 522,9 M del consenso). Nuestro precio base (78,59 GBP) queda un 5,6 % por debajo del objetivo medio de 83,29 GBP de 16 analistas, dentro de su rango (70-90) [27].</w:t>
      </w:r>
    </w:p>
    <w:p>
      <w:pPr>
        <w:keepNext/>
        <w:spacing w:after="100"/>
      </w:pPr>
      <w:r>
        <w:rPr>
          <w:b/>
          <w:bCs/>
        </w:rPr>
        <w:t xml:space="preserve">Del valor intrínseco al objetivo a 12 meses.</w:t>
      </w:r>
    </w:p>
    <w:p>
      <w:pPr>
        <w:spacing w:after="100"/>
      </w:pPr>
      <w:r>
        <w:t xml:space="preserve">El objetivo a 12 meses (72,25 GBP) está un 87 % por encima del valor intrínseco (38,65): el mercado paga por Diploma un coste de capital del 5,9 %, muy por debajo del nuestro, y la regla de múltiplos parte del PER de hoy. Para cerrar la distancia haría falta que el mercado dejara de pagar el crecimiento compuesto o que Diploma mantuviera márgenes del 26 % y crecimientos de dos dígitos durante muchos años. Ningún catalizador con fecha lo fuerza. La tesis de valor es a varios años; a 12 meses la rentabilidad esperada es negativa (−8,1 % ponderada).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margen guiado para FY2027 baja de c. 25 % o el orgánico del 5 %, el consenso (500,7 M de EBIT ajustado) bajaría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primer trimestre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la «moderación» de Peerless frente a comparables muy altos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tamaño medio (como CDM)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150 M a 8 veces añade c. 1,5 %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H1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más fáciles en Seals y Life Sciences; prueba de que el resto del grupo crece al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 la cadena de suministro aeroespacial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los precios al contado de Peerless y el margen de Controls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margen de Peerless y de Controls tras un año excepcional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a 12 meses en el bajista (BPA 1,81 GBP a 25,7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ya lo anuncia y el consenso espera FY2027 casi plano en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guiado para FY2027 por debajo del 24 %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38,9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 si vuelve a la mediana de 31,3 veces sobre el BPA de FY2027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crecimiento compuesto y FTSE 100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a la baja tras el 17-nov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aeroespacial y de defensa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defensa 6-7 % y centros de datos 3 %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Cadencia de entregas de Airbus y Boeing; precios al contado de sujeciones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Error en una compra grande o pago excesivo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5-9 veces y sin deterioros históricos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por encima de 10 veces el EBIT o deterioros de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Seals en el Reino Unido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 American Seals crece a un dígito medio-alto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Seals &lt; 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80 % de las ventas está fuera del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un 10 % de la libra frente al dólar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en EUR y USD que cubre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GBP/USD por encima de 1,45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IA y por canales digitales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técnicos con personalización, certificación y existencias físicas que la IA no sustituye; la usa para precios y cotización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margen bruto en las líneas estándar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independiente y modelo descentralizado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de Johnny Thomson</w:t>
            </w:r>
          </w:p>
        </w:tc>
      </w:tr>
    </w:tbl>
    <w:p>
      <w:pPr>
        <w:spacing w:after="160" w:before="0"/>
      </w:pPr>
    </w:p>
    <w:p>
      <w:pPr>
        <w:pStyle w:val="Heading2"/>
      </w:pPr>
      <w:r>
        <w:t xml:space="preserve">Pre-mortem</w:t>
      </w:r>
    </w:p>
    <w:p>
      <w:pPr>
        <w:spacing w:after="100"/>
      </w:pPr>
      <w:r>
        <w:t xml:space="preserve">Octubre de 2029: la acción ha perdido un 40 % y cotiza a 47 GBP. Lo que pasó: FY2026 fue el pico. En FY2027 Peerless volvió a crecer al 5 % y bajó su margen varios puntos al normalizarse la cadena de suministro aeroespacial; el margen del grupo cayó del 26,5 % al 23 % y el BPA estatutario de FY2027 quedó plano frente a un consenso que esperaba +8 %. El mercado dejó de pagar 38 veces y volvió a las 26 veces de 2022, que fue el mínimo de la historia adelantada. Mientras, la libra subió frente al dólar y restó otro 5 % al beneficio. La dirección compró más para compensar, a 9-10 veces, y el ROIC estatutario no pasó del 14 %. Los indicadores que lo habrían anticipado: la frase de julio de 2026 («no os acostumbréis a estas subidas»), la caída de los precios al contado de sujeciones aeroespaciales y la guía de margen de noviembre de 2026.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seguridad del producto (componentes críticos en aviones, quirófanos y maquinaria) y la cadena de suministro: un fallo de calidad en sujeciones aeroespaciales o en consumibles sanitarios tendría coste reputacional y legal [12]. Las emisiones propias son pequeñas (distribución sin fabricación pesada) y la empresa publica objetivos de reducción [12].</w:t>
      </w:r>
    </w:p>
    <w:p>
      <w:pPr>
        <w:pStyle w:val="Heading2"/>
      </w:pPr>
      <w:r>
        <w:t xml:space="preserve">Controversias</w:t>
      </w:r>
    </w:p>
    <w:p>
      <w:pPr>
        <w:spacing w:after="100"/>
      </w:pPr>
      <w:r>
        <w:t xml:space="preserve">No hemos encontrado sanciones, litigios relevantes ni incidentes en los últimos tres años en el informe anual 2025 ni en las comunicaciones de 2026 [7, 12].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400 puntos básicos de mejora del margen de FY2026 viene de Peerless y cuánto devolverá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FY2027-28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Peerless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Peerless en el resultado operativo de FY2026 y cuál es su margen frente al de la compra (c. 30 %)?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capital al año necesita el 5 % de crecimiento comprado del modelo al tamaño actual, y a qué múltiplo se cierran las compras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revierte en FY2027 el acopio de existencias del H1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la caja libre de FY2027 en unos 50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la renovación de productos que frena Life Sciences?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15 % de las ventas y crece a un dígito 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del consejero delegado y candidatos internos?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modelo depende mucho de su liderazgo.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(columna Stockwatch)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acción a 56,70 GBP la consideraba «totalmente valorada» (PER adelantado de unas 28 veces, PEG de 1,8) y recomendaba mantener: dudaba de que un grupo de 7.600 M pueda sostener un BPA del 20 %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acción a punto de marcar máximos, con objetivos técnicos de 78-79 GBP, ya alcanzados en octubre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(resumen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 lideró el FTSE 100 el día de la tercera subida de la guía; los brókeres subieron objetivos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ValueInvesting.io y Simply Wall St (valoraciones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modelos DCF automáticos la ven muy por encima de su valor (4.405 p frente a 7.775 p)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subidas de guía y Peerless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Ciertas: orgánico del 15 % en nueve meses y margen del 26,5 % [34]. Pero la propia dirección dice que FY2027 volverá al modelo y que el margen bajará algo: el entusiasmo extrapola un año excepcional.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el precio pide más de lo que da el valor intrínseco; con el BPA estatutario cotiza a unas 38 veces el de FY2027 [32, 35].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de seguir componiendo al tamaño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pequeñas (15 en un año a 8 veces) sostienen el crecimiento, pero cada vez hace falta más para mover 2.000 M de ventas [32].</w:t>
            </w:r>
          </w:p>
        </w:tc>
      </w:tr>
    </w:tbl>
    <w:p>
      <w:pPr>
        <w:spacing w:after="160" w:before="0"/>
      </w:pPr>
    </w:p>
    <w:p>
      <w:pPr>
        <w:spacing w:after="100"/>
      </w:pPr>
      <w:r>
        <w:t xml:space="preserve">El sentimiento es positivo y sigue al precio: la prensa de inversión británica celebra las subidas de guía y el análisis técnico ve máximos, mientras los modelos automáticos de valoración la ven muy cara [33, 34, 35]. No hay euforia de foro (la conversación es escasa y de columnistas), pero el consenso de brókeres es de compra con objetivos que han seguido a la acción. El riesgo que el foro no ve y nosotros sí: que el mercado esté pagando el margen de un año excepcional;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36 (18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un WACC del 10,35 % y un terminal del 3 %, ningún crecimiento razonable de 2027-2032 lleva el DCF al precio: el motor da la rentabilidad implícita (5,9 %) y el margen implícito (55,9 %), que se comentan en la lectura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19,5 % frente a 18,4 %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23,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semestrales: solo dan resultado operativo ajustado; 2) presentaciones: igual; 3) derivarlo con amortizaciones semestrales: solo hay para H1; se deja el BPA estatutario.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financieros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5 de las notas de resultados FY2021 y FY2022; 2) XBRL ESEF: sin concepto de intereses de préstamos; 3) informe anual 2022: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las recoge; 2) búsqueda de MSCI y Sustainalytics: páginas con JavaScript; 3) agregadores: sin fecha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Fastenal y Grainger: solo tamaño sin serie; 2) MDM (Modern Distribution Management): 403, de pago; 3) Diploma no publica el tamaño de sus nichos.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terceros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compra de RS Group, Bunzl y Applied: sin EV/EBITDA publicado; 2) prensa: múltiplos sin nota oficial; 3) se usan las compras de la propia Diploma con el múltiplo de EBIT que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FCA: sin posiciones netas cortas ≥ 0,5 % publicadas para DPLM en la consulta; 2) Stock Analysis: n.d.; 3) sin otra fuente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for the year ended 30 September 2025 (cuenta, balance, flujos y notas FY25 y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https://www.diplomaplc.com/media/ejrpfglw/diploma-plc-fy25-preliminary-results-final-1.pdf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2024 (cuenta, balance y notas FY24 y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https://www.diplomaplc.com/media/1aajhnat/fy24-full-year-results.pdf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year ended 30 September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https://www.diplomaplc.com/media/2beds2ll/diploma-plc-preliminary-results-for-year-ended-30-september-2023.pdf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announcement of full year results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https://www.diplomaplc.com/media/zwlfmexp/diploma-plc-fy22-prelim.pdf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announcement of full year results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https://www.diplomaplc.com/media/rgzlescm/rns-fy-2021-final.pdf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announcement of final results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https://www.diplomaplc.com/media/euxlulo5/diploma-2020-prelim-announcement.pdf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for the six months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https://www.diplomaplc.com/media/5m0fmngw/diploma-plc-half-year-results-2026.pdf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trading update: Strong Q3. Further 7 % FY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https://www.diplomaplc.com/media/z4vpiw3u/diploma-plc-q3-trading-update.pdf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Trading Update 2026: transcripción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 BRR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https://www.diplomaplc.com/media/ym1ao0mc/diploma-q3-transcript-160726.pdf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Significant upgrade to FY26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https://www.diplomaplc.com/media/2badvq4n/diploma-trading-update-180326-final.pdf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https://www.diplomaplc.com/media/3wbn0p3a/diploma-plc-q1-2026-trading-update.pdf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https://www.diplomaplc.com/media/5s3fi0yk/diploma-plc-annual-report-and-accounts-2025.pdf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(xBRL) FY2021-FY2025 de Diploma PLC (LEI 2138008OGI7VYG8FGR19)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https://filings.xbrl.org/2138008OGI7VYG8FGR19/2025-09-30/ESEF/GB/0/2138008OGI7VYG8FGR19-2025-09-30/reports/2138008OGI7VYG8FGR19-2025-09-30-T01.xhtml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Form 10-K 2025 (mercado norteamericano de suministros industriales &gt; 140.000 M USD; sector grande y fragmentado)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https://www.sec.gov/Archives/edgar/data/815556/000081555626000009/fast-20251231.htm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Form 10-K 2025 (sector MRO grande y fragmentado; ingresos 17.900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https://www.sec.gov/Archives/edgar/data/277135/000027713526000011/gww-20251231.htm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(FAST)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(GWW)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https://stockanalysis.com/stocks/gww/statistics/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 Industrial Direct (MSM)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Bunzl plc (BNZL)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https://stockanalysis.com/quote/lon/BNZL/statistics/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RS Group plc (RS1)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https://stockanalysis.com/quote/lon/RS1/statistics/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https://stockanalysis.com/quote/lon/HLMA/statistics/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Industrial Technologies (AIT)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Distribución industrial especializada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(sectores/distribucion-industrial-2026-10-14.md)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sectores/distribucion-industrial-2026-10-14.md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venta de 30.000 acciones del consejero delegado a 56,68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(RNS, vía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https://www.ticker.app/lse/DPLM/rns/2026-01-16/DirectorPDMR-Shareholding/2954P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(DPLM.L, ^FTSE, EXH4.DE)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https://finance.yahoo.com/quote/DPLM.L/history/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finances (estimaciones FY2026-FY2028 de 16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https://uk.marketscreener.com/quote/stock/DIPLOMA-PLC-4001768/finances/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consensus (objetivo medio 83,29 GBP, máximo 90, mínimo 70, 16 analistas,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https://uk.marketscreener.com/quote/stock/DIPLOMA-PLC-4001768/consensus/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(DPLM) statistics (PER, PER adelantado 30,5, beta 0,87, posición corta 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https://stockanalysis.com/quote/lon/DPLM/statistics/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(USD 1,1195; GBP 0,84385)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nominal del gilt a 10 años (IUDMNPY), 12-oct-2026: 5,3868 %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further upside in this FTSE 100 growth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https://www.ii.co.uk/analysis-commentary/stockwatch-further-upside-ftse-100-growth-share-ii537832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FTSE 100 share about to hit record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https://www.ii.co.uk/analysis-commentary/ftse-100-share-about-hit-record-high-ii539879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FTSE 100 shares round-up: more upgrades plus a takeover trigger (16-jul-2026)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https://www.ii.co.uk/analysis-commentary/ftse-100-shares-round-more-upgrades-plus-takeover-trigger-ii539680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(DPLM.L) intrinsic value (DCF de 4.405 p a 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https://valueinvesting.io/DPLM.L/valuation/intrinsic-value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news and analysis feed (solo transcripciones, sin artículos de opinión en 3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https://seekingalpha.com/api/sa/combined/DPLMF.xml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14 oct 2026.</w:t>
      </w:r>
    </w:p>
    <w:p>
      <w:pPr>
        <w:pStyle w:val="Nota"/>
        <w:spacing w:after="100"/>
      </w:pPr>
      <w:r>
        <w:t xml:space="preserve">Cotiza en peniques (GBp) en la Bolsa de Londres; todo el informe va en GBP (precio 79,30 GBP = 7.930 GBp, tipo 0,01). Ejercicio a 30 de septiembre con etiqueta «fin» (FY2025 = oct-24 a sep-25). FY2026 ya cerró el 30-sep-2026 pero sus resultados se publican el 17-nov-2026: va como estimación fija con la guía de julio y el motor no cuenta su flujo. Cuenta, balance y flujos FY2021-FY2025 del XBRL ESEF comprobados contra las notas de resultados; el XBRL daba solo la deuda a largo plazo en FY2021, FY2022 y FY2025 (188, 340 y 380 M) y se ha corregido con la nota de deuda neta (206,2, 370,6 y 381,1 M) [1, 4, 5, 13]. Usamos el beneficio estatutario (con la amortización de los intangibles comprados, recurrente en un comprador en serie), como en el informe de Halma; la empresa y el consenso hablan del BPA ajustado. El coste de ventas de FY2021 es el «cost of sales» del XBRL (incluye algo más que existencias). Comparables de Stock Analysis del día pasados de USD a GBP con el BCE (1,3267 USD/GBP)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Diploma PLC (DPLM)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79,30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(49,70 – 79,80)</c:v>
                </c:pt>
                <c:pt idx="1">
                  <c:v>Precio objetivo de los analistas (70,00 – 90,00)</c:v>
                </c:pt>
                <c:pt idx="2">
                  <c:v>Comparables: PER NTM (51,61 – 65,49)</c:v>
                </c:pt>
                <c:pt idx="3">
                  <c:v>DCF (WACC y g ± 0,5) (26,15 – 33,93)</c:v>
                </c:pt>
                <c:pt idx="4">
                  <c:v>Escenarios (bajista – alcista) (20,91 – 33,13)</c:v>
                </c:pt>
                <c:pt idx="5">
                  <c:v>DCF con la prima implícita del mercado (4,2 %)</c:v>
                </c:pt>
                <c:pt idx="6">
                  <c:v>Precio actual (79,30)</c:v>
                </c:pt>
              </c:strCache>
            </c:strRef>
          </c:cat>
          <c:val>
            <c:numRef>
              <c:f>Hoja1!$B$2:$B$8</c:f>
              <c:numCache>
                <c:formatCode>#,##0.0</c:formatCode>
                <c:ptCount val="7"/>
                <c:pt idx="0">
                  <c:v>49.7</c:v>
                </c:pt>
                <c:pt idx="1">
                  <c:v>70</c:v>
                </c:pt>
                <c:pt idx="2">
                  <c:v>51.61</c:v>
                </c:pt>
                <c:pt idx="3">
                  <c:v>26.15</c:v>
                </c:pt>
                <c:pt idx="4">
                  <c:v>20.91</c:v>
                </c:pt>
                <c:pt idx="5">
                  <c:v>32.88</c:v>
                </c:pt>
                <c:pt idx="6">
                  <c:v>78.9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(49,70 – 79,80)</c:v>
                </c:pt>
                <c:pt idx="1">
                  <c:v>Precio objetivo de los analistas (70,00 – 90,00)</c:v>
                </c:pt>
                <c:pt idx="2">
                  <c:v>Comparables: PER NTM (51,61 – 65,49)</c:v>
                </c:pt>
                <c:pt idx="3">
                  <c:v>DCF (WACC y g ± 0,5) (26,15 – 33,93)</c:v>
                </c:pt>
                <c:pt idx="4">
                  <c:v>Escenarios (bajista – alcista) (20,91 – 33,13)</c:v>
                </c:pt>
                <c:pt idx="5">
                  <c:v>DCF con la prima implícita del mercado (4,2 %)</c:v>
                </c:pt>
                <c:pt idx="6">
                  <c:v>Precio actual (79,30)</c:v>
                </c:pt>
              </c:strCache>
            </c:strRef>
          </c:cat>
          <c:val>
            <c:numRef>
              <c:f>Hoja1!$C$2:$C$8</c:f>
              <c:numCache>
                <c:formatCode>#,##0.0</c:formatCode>
                <c:ptCount val="7"/>
                <c:pt idx="0">
                  <c:v>30.099999999999994</c:v>
                </c:pt>
                <c:pt idx="1">
                  <c:v>20</c:v>
                </c:pt>
                <c:pt idx="2">
                  <c:v>13.879999999999995</c:v>
                </c:pt>
                <c:pt idx="3">
                  <c:v>7.780000000000001</c:v>
                </c:pt>
                <c:pt idx="4">
                  <c:v>12.220000000000002</c:v>
                </c:pt>
                <c:pt idx="5">
                  <c:v>6.3799999999999955</c:v>
                </c:pt>
                <c:pt idx="6">
                  <c:v>0.7999999999999972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Controls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343.3</c:v>
                </c:pt>
                <c:pt idx="1">
                  <c:v>492.8</c:v>
                </c:pt>
                <c:pt idx="2">
                  <c:v>568.4</c:v>
                </c:pt>
                <c:pt idx="3">
                  <c:v>652.4</c:v>
                </c:pt>
                <c:pt idx="4">
                  <c:v>836.4</c:v>
                </c:pt>
              </c:numCache>
            </c:numRef>
          </c:val>
        </c:ser>
        <c:ser>
          <c:idx val="1"/>
          <c:order val="1"/>
          <c:tx>
            <c:strRef>
              <c:f>Hoja1!$C$1</c:f>
              <c:strCache>
                <c:ptCount val="1"/>
                <c:pt idx="0">
                  <c:v>Seals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263.7</c:v>
                </c:pt>
                <c:pt idx="1">
                  <c:v>331.4</c:v>
                </c:pt>
                <c:pt idx="2">
                  <c:v>419</c:v>
                </c:pt>
                <c:pt idx="3">
                  <c:v>489.1</c:v>
                </c:pt>
                <c:pt idx="4">
                  <c:v>456</c:v>
                </c:pt>
              </c:numCache>
            </c:numRef>
          </c:val>
        </c:ser>
        <c:ser>
          <c:idx val="2"/>
          <c:order val="2"/>
          <c:tx>
            <c:strRef>
              <c:f>Hoja1!$D$1</c:f>
              <c:strCache>
                <c:ptCount val="1"/>
                <c:pt idx="0">
                  <c:v>Life Sciences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180.4</c:v>
                </c:pt>
                <c:pt idx="1">
                  <c:v>188.6</c:v>
                </c:pt>
                <c:pt idx="2">
                  <c:v>212.9</c:v>
                </c:pt>
                <c:pt idx="3">
                  <c:v>221.9</c:v>
                </c:pt>
                <c:pt idx="4">
                  <c:v>232.1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Controls</c:v>
                </c:pt>
                <c:pt idx="1">
                  <c:v>Seals</c:v>
                </c:pt>
                <c:pt idx="2">
                  <c:v>Life Sciences</c:v>
                </c:pt>
              </c:strCache>
            </c:strRef>
          </c:cat>
          <c:val>
            <c:numRef>
              <c:f>Hoja1!$B$2:$B$4</c:f>
              <c:numCache>
                <c:formatCode>General</c:formatCode>
                <c:ptCount val="3"/>
                <c:pt idx="0">
                  <c:v>54.9</c:v>
                </c:pt>
                <c:pt idx="1">
                  <c:v>29.9</c:v>
                </c:pt>
                <c:pt idx="2">
                  <c:v>15.2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c:v>
                </c:pt>
                <c:pt idx="1">
                  <c:v>Reino Unido</c:v>
                </c:pt>
                <c:pt idx="2">
                  <c:v>Resto de Europa</c:v>
                </c:pt>
                <c:pt idx="3">
                  <c:v>Resto del mundo</c:v>
                </c:pt>
              </c:strCache>
            </c:strRef>
          </c:cat>
          <c:val>
            <c:numRef>
              <c:f>Hoja1!$B$2:$B$5</c:f>
              <c:numCache>
                <c:formatCode>0"%"</c:formatCode>
                <c:ptCount val="4"/>
                <c:pt idx="0">
                  <c:v>52.6</c:v>
                </c:pt>
                <c:pt idx="1">
                  <c:v>18.4</c:v>
                </c:pt>
                <c:pt idx="2">
                  <c:v>16.2</c:v>
                </c:pt>
                <c:pt idx="3">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Diploma</c:v>
                </c:pt>
                <c:pt idx="1">
                  <c:v>W.W. Grainger</c:v>
                </c:pt>
                <c:pt idx="2">
                  <c:v>Fastenal</c:v>
                </c:pt>
                <c:pt idx="3">
                  <c:v>MSC Industrial Direct</c:v>
                </c:pt>
                <c:pt idx="4">
                  <c:v>Applied Industrial Technologies</c:v>
                </c:pt>
                <c:pt idx="5">
                  <c:v>RS Group</c:v>
                </c:pt>
                <c:pt idx="6">
                  <c:v>Bunzl</c:v>
                </c:pt>
                <c:pt idx="7">
                  <c:v>Würth</c:v>
                </c:pt>
              </c:strCache>
            </c:strRef>
          </c:cat>
          <c:val>
            <c:numRef>
              <c:f>Hoja1!$B$2:$B$9</c:f>
              <c:numCache>
                <c:formatCode>0.0"%"</c:formatCode>
                <c:ptCount val="8"/>
                <c:pt idx="0">
                  <c:v>17.5</c:v>
                </c:pt>
                <c:pt idx="1">
                  <c:v>15.7</c:v>
                </c:pt>
                <c:pt idx="2">
                  <c:v>20.5</c:v>
                </c:pt>
                <c:pt idx="3">
                  <c:v>8.8</c:v>
                </c:pt>
                <c:pt idx="4">
                  <c:v>11.1</c:v>
                </c:pt>
                <c:pt idx="5">
                  <c:v>8</c:v>
                </c:pt>
                <c:pt idx="6">
                  <c:v>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strCache>
            </c:strRef>
          </c:cat>
          <c:val>
            <c:numRef>
              <c:f>Hoja1!$B$2:$B$13</c:f>
              <c:numCache>
                <c:formatCode>#,##0</c:formatCode>
                <c:ptCount val="12"/>
                <c:pt idx="0">
                  <c:v>787.4</c:v>
                </c:pt>
                <c:pt idx="1">
                  <c:v>1012.8</c:v>
                </c:pt>
                <c:pt idx="2">
                  <c:v>1200.3</c:v>
                </c:pt>
                <c:pt idx="3">
                  <c:v>1363.4</c:v>
                </c:pt>
                <c:pt idx="4">
                  <c:v>1524.5</c:v>
                </c:pt>
                <c:pt idx="5">
                  <c:v>1805</c:v>
                </c:pt>
                <c:pt idx="6">
                  <c:v>1949</c:v>
                </c:pt>
                <c:pt idx="7">
                  <c:v>2086</c:v>
                </c:pt>
                <c:pt idx="8">
                  <c:v>2221</c:v>
                </c:pt>
                <c:pt idx="9">
                  <c:v>2355</c:v>
                </c:pt>
                <c:pt idx="10">
                  <c:v>2472</c:v>
                </c:pt>
                <c:pt idx="11">
                  <c:v>2571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strCache>
            </c:strRef>
          </c:cat>
          <c:val>
            <c:numRef>
              <c:f>Hoja1!$C$2:$C$13</c:f>
              <c:numCache>
                <c:formatCode>#,##0</c:formatCode>
                <c:ptCount val="12"/>
                <c:pt idx="0">
                  <c:v>159.7</c:v>
                </c:pt>
                <c:pt idx="1">
                  <c:v>204.2</c:v>
                </c:pt>
                <c:pt idx="2">
                  <c:v>252.60000000000002</c:v>
                </c:pt>
                <c:pt idx="3">
                  <c:v>302.6</c:v>
                </c:pt>
                <c:pt idx="4">
                  <c:v>358.59999999999997</c:v>
                </c:pt>
                <c:pt idx="5">
                  <c:v>495</c:v>
                </c:pt>
                <c:pt idx="6">
                  <c:v>515</c:v>
                </c:pt>
                <c:pt idx="7">
                  <c:v>549</c:v>
                </c:pt>
                <c:pt idx="8">
                  <c:v>582</c:v>
                </c:pt>
                <c:pt idx="9">
                  <c:v>612</c:v>
                </c:pt>
                <c:pt idx="10">
                  <c:v>643</c:v>
                </c:pt>
                <c:pt idx="11">
                  <c:v>669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36.6</c:v>
                </c:pt>
                <c:pt idx="1">
                  <c:v>44.6</c:v>
                </c:pt>
                <c:pt idx="2">
                  <c:v>45.2</c:v>
                </c:pt>
                <c:pt idx="3">
                  <c:v>46.1</c:v>
                </c:pt>
                <c:pt idx="4">
                  <c:v>46.3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20.3</c:v>
                </c:pt>
                <c:pt idx="1">
                  <c:v>20.2</c:v>
                </c:pt>
                <c:pt idx="2">
                  <c:v>21</c:v>
                </c:pt>
                <c:pt idx="3">
                  <c:v>22.2</c:v>
                </c:pt>
                <c:pt idx="4">
                  <c:v>23.5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13.4</c:v>
                </c:pt>
                <c:pt idx="1">
                  <c:v>13.7</c:v>
                </c:pt>
                <c:pt idx="2">
                  <c:v>14.3</c:v>
                </c:pt>
                <c:pt idx="3">
                  <c:v>15.5</c:v>
                </c:pt>
                <c:pt idx="4">
                  <c:v>17.5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8.9</c:v>
                </c:pt>
                <c:pt idx="1">
                  <c:v>9.4</c:v>
                </c:pt>
                <c:pt idx="2">
                  <c:v>9.8</c:v>
                </c:pt>
                <c:pt idx="3">
                  <c:v>9.5</c:v>
                </c:pt>
                <c:pt idx="4">
                  <c:v>12.1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6</c:v>
                </c:pt>
                <c:pt idx="2">
                  <c:v>11.6</c:v>
                </c:pt>
                <c:pt idx="3">
                  <c:v>12</c:v>
                </c:pt>
                <c:pt idx="4">
                  <c:v>16.8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9</c:v>
                </c:pt>
                <c:pt idx="3">
                  <c:v>13</c:v>
                </c:pt>
                <c:pt idx="4">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55</c:v>
                </c:pt>
                <c:pt idx="1">
                  <c:v>61</c:v>
                </c:pt>
                <c:pt idx="2">
                  <c:v>59</c:v>
                </c:pt>
                <c:pt idx="3">
                  <c:v>55</c:v>
                </c:pt>
                <c:pt idx="4">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102</c:v>
                </c:pt>
                <c:pt idx="1">
                  <c:v>141</c:v>
                </c:pt>
                <c:pt idx="2">
                  <c:v>129</c:v>
                </c:pt>
                <c:pt idx="3">
                  <c:v>139</c:v>
                </c:pt>
                <c:pt idx="4">
                  <c:v>133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93</c:v>
                </c:pt>
                <c:pt idx="1">
                  <c:v>124</c:v>
                </c:pt>
                <c:pt idx="2">
                  <c:v>107</c:v>
                </c:pt>
                <c:pt idx="3">
                  <c:v>101</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100.39999999999999</c:v>
                </c:pt>
                <c:pt idx="1">
                  <c:v>98.69999999999999</c:v>
                </c:pt>
                <c:pt idx="2">
                  <c:v>152.2</c:v>
                </c:pt>
                <c:pt idx="3">
                  <c:v>162.4</c:v>
                </c:pt>
                <c:pt idx="4">
                  <c:v>238.60000000000002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69.8</c:v>
                </c:pt>
                <c:pt idx="1">
                  <c:v>94.7</c:v>
                </c:pt>
                <c:pt idx="2">
                  <c:v>117.7</c:v>
                </c:pt>
                <c:pt idx="3">
                  <c:v>129.3</c:v>
                </c:pt>
                <c:pt idx="4">
                  <c:v>184.9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9.9</c:v>
                </c:pt>
                <c:pt idx="1">
                  <c:v>11.1</c:v>
                </c:pt>
                <c:pt idx="2">
                  <c:v>11.3</c:v>
                </c:pt>
                <c:pt idx="3">
                  <c:v>11.8</c:v>
                </c:pt>
                <c:pt idx="4">
                  <c:v>14.4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10.3</c:v>
                </c:pt>
                <c:pt idx="1">
                  <c:v>10.3</c:v>
                </c:pt>
                <c:pt idx="2">
                  <c:v>10.3</c:v>
                </c:pt>
                <c:pt idx="3">
                  <c:v>10.3</c:v>
                </c:pt>
                <c:pt idx="4">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13</c:v>
                </c:pt>
                <c:pt idx="1">
                  <c:v>15.8</c:v>
                </c:pt>
                <c:pt idx="2">
                  <c:v>15.1</c:v>
                </c:pt>
                <c:pt idx="3">
                  <c:v>14.5</c:v>
                </c:pt>
                <c:pt idx="4">
                  <c:v>19.7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1.44</c:v>
                </c:pt>
                <c:pt idx="1">
                  <c:v>1.95</c:v>
                </c:pt>
                <c:pt idx="2">
                  <c:v>1.33</c:v>
                </c:pt>
                <c:pt idx="3">
                  <c:v>1.64</c:v>
                </c:pt>
                <c:pt idx="4">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2028</c:v>
                </c:pt>
                <c:pt idx="2">
                  <c:v>2030</c:v>
                </c:pt>
                <c:pt idx="3">
                  <c:v>2031</c:v>
                </c:pt>
                <c:pt idx="4">
                  <c:v>2032</c:v>
                </c:pt>
                <c:pt idx="5">
                  <c:v>2034</c:v>
                </c:pt>
                <c:pt idx="6">
                  <c:v>2035+</c:v>
                </c:pt>
              </c:strCache>
            </c:strRef>
          </c:cat>
          <c:val>
            <c:numRef>
              <c:f>Hoja1!$B$2:$B$8</c:f>
              <c:numCache>
                <c:formatCode>#,##0</c:formatCode>
                <c:ptCount val="7"/>
                <c:pt idx="0">
                  <c:v>1.2</c:v>
                </c:pt>
                <c:pt idx="1">
                  <c:v>0</c:v>
                </c:pt>
                <c:pt idx="2">
                  <c:v>84</c:v>
                </c:pt>
                <c:pt idx="3">
                  <c:v>65.5</c:v>
                </c:pt>
                <c:pt idx="4">
                  <c:v>75.9</c:v>
                </c:pt>
                <c:pt idx="5">
                  <c:v>87.4</c:v>
                </c:pt>
                <c:pt idx="6">
                  <c:v>103.4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451.4</c:v>
                </c:pt>
                <c:pt idx="1">
                  <c:v>173</c:v>
                </c:pt>
                <c:pt idx="2">
                  <c:v>258.5</c:v>
                </c:pt>
                <c:pt idx="3">
                  <c:v>270.5</c:v>
                </c:pt>
                <c:pt idx="4">
                  <c:v>58.5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52.9</c:v>
                </c:pt>
                <c:pt idx="1">
                  <c:v>56.2</c:v>
                </c:pt>
                <c:pt idx="2">
                  <c:v>70.5</c:v>
                </c:pt>
                <c:pt idx="3">
                  <c:v>76.8</c:v>
                </c:pt>
                <c:pt idx="4">
                  <c:v>80.9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0</c:v>
                </c:pt>
                <c:pt idx="4">
                  <c:v>4.1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Capital Group</c:v>
                </c:pt>
                <c:pt idx="1">
                  <c:v>FMR (Fidelity)</c:v>
                </c:pt>
                <c:pt idx="2">
                  <c:v>BlackRock</c:v>
                </c:pt>
                <c:pt idx="3">
                  <c:v>Norges Bank</c:v>
                </c:pt>
              </c:strCache>
            </c:strRef>
          </c:cat>
          <c:val>
            <c:numRef>
              <c:f>Hoja1!$B$2:$B$5</c:f>
              <c:numCache>
                <c:formatCode>0.0"%"</c:formatCode>
                <c:ptCount val="4"/>
                <c:pt idx="0">
                  <c:v>12.96</c:v>
                </c:pt>
                <c:pt idx="1">
                  <c:v>5.27</c:v>
                </c:pt>
                <c:pt idx="2">
                  <c:v>5.02</c:v>
                </c:pt>
                <c:pt idx="3">
                  <c:v>3.01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36.5</c:v>
                </c:pt>
                <c:pt idx="1">
                  <c:v>20</c:v>
                </c:pt>
                <c:pt idx="2">
                  <c:v>-3</c:v>
                </c:pt>
                <c:pt idx="3">
                  <c:v>67.3</c:v>
                </c:pt>
                <c:pt idx="4">
                  <c:v>8.3</c:v>
                </c:pt>
                <c:pt idx="5">
                  <c:v>53.9</c:v>
                </c:pt>
                <c:pt idx="6">
                  <c:v>-17.7</c:v>
                </c:pt>
                <c:pt idx="7">
                  <c:v>29</c:v>
                </c:pt>
                <c:pt idx="8">
                  <c:v>18.6</c:v>
                </c:pt>
                <c:pt idx="9">
                  <c:v>24.6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23.7</c:v>
                </c:pt>
                <c:pt idx="1">
                  <c:v>16.2</c:v>
                </c:pt>
                <c:pt idx="2">
                  <c:v>16.8</c:v>
                </c:pt>
                <c:pt idx="3">
                  <c:v>21.4</c:v>
                </c:pt>
                <c:pt idx="4">
                  <c:v>21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21</c:v>
                </c:pt>
                <c:pt idx="1">
                  <c:v>21</c:v>
                </c:pt>
                <c:pt idx="2">
                  <c:v>21</c:v>
                </c:pt>
                <c:pt idx="3">
                  <c:v>21</c:v>
                </c:pt>
                <c:pt idx="4">
                  <c:v>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Diploma</c:v>
                </c:pt>
                <c:pt idx="1">
                  <c:v>Fastenal</c:v>
                </c:pt>
                <c:pt idx="2">
                  <c:v>W.W. Grainger</c:v>
                </c:pt>
                <c:pt idx="3">
                  <c:v>MSC Industrial Direct</c:v>
                </c:pt>
                <c:pt idx="4">
                  <c:v>Applied Industrial Technologies</c:v>
                </c:pt>
                <c:pt idx="5">
                  <c:v>RS Group</c:v>
                </c:pt>
                <c:pt idx="6">
                  <c:v>Bunzl</c:v>
                </c:pt>
                <c:pt idx="7">
                  <c:v>Halma</c:v>
                </c:pt>
              </c:strCache>
            </c:strRef>
          </c:cat>
          <c:val>
            <c:numRef>
              <c:f>Hoja1!$B$2:$B$9</c:f>
              <c:numCache>
                <c:formatCode>0.0"x"</c:formatCode>
                <c:ptCount val="8"/>
                <c:pt idx="0">
                  <c:v>21.6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Peerless Aerospace Fastener (sujeciones aeroespaciales, EE. UU.)</c:v>
                </c:pt>
                <c:pt idx="1">
                  <c:v>DICSA (fluidos, España) y T.I.E. (automatización, EE. UU.)</c:v>
                </c:pt>
                <c:pt idx="2">
                  <c:v>Siete compras de FY2024 (Peerless, PAR y cinco bolt-ons)</c:v>
                </c:pt>
                <c:pt idx="3">
                  <c:v>Seis compras desde el 4T de FY2025</c:v>
                </c:pt>
                <c:pt idx="4">
                  <c:v>15 compras en 12 meses (incluida CDM, c. 80 M USD de ventas)</c:v>
                </c:pt>
                <c:pt idx="5">
                  <c:v>Seis bolt-ons del 2S de FY2022</c:v>
                </c:pt>
              </c:strCache>
            </c:strRef>
          </c:cat>
          <c:val>
            <c:numRef>
              <c:f>Hoja1!$B$2:$B$7</c:f>
              <c:numCache>
                <c:formatCode>0.0"x"</c:formatCode>
                <c:ptCount val="6"/>
                <c:pt idx="0">
                  <c:v>7</c:v>
                </c:pt>
                <c:pt idx="1">
                  <c:v>9</c:v>
                </c:pt>
                <c:pt idx="2">
                  <c:v>6</c:v>
                </c:pt>
                <c:pt idx="3">
                  <c:v>8</c:v>
                </c:pt>
                <c:pt idx="4">
                  <c:v>8</c:v>
                </c:pt>
                <c:pt idx="5">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FY2026e</c:v>
                </c:pt>
                <c:pt idx="1">
                  <c:v>FY2027e</c:v>
                </c:pt>
                <c:pt idx="2">
                  <c:v>FY2028e</c:v>
                </c:pt>
                <c:pt idx="3">
                  <c:v>FY2029e</c:v>
                </c:pt>
                <c:pt idx="4">
                  <c:v>FY2030e</c:v>
                </c:pt>
                <c:pt idx="5">
                  <c:v>FY2031e</c:v>
                </c:pt>
                <c:pt idx="6">
                  <c:v>FY2032e</c:v>
                </c:pt>
              </c:strCache>
            </c:strRef>
          </c:cat>
          <c:val>
            <c:numRef>
              <c:f>Hoja1!$B$2:$B$8</c:f>
              <c:numCache>
                <c:formatCode>#,##0</c:formatCode>
                <c:ptCount val="7"/>
                <c:pt idx="0">
                  <c:v>63</c:v>
                </c:pt>
                <c:pt idx="1">
                  <c:v>340</c:v>
                </c:pt>
                <c:pt idx="2">
                  <c:v>299</c:v>
                </c:pt>
                <c:pt idx="3">
                  <c:v>318</c:v>
                </c:pt>
                <c:pt idx="4">
                  <c:v>335</c:v>
                </c:pt>
                <c:pt idx="5">
                  <c:v>358</c:v>
                </c:pt>
                <c:pt idx="6">
                  <c:v>379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1509</c:v>
                </c:pt>
                <c:pt idx="1">
                  <c:v>2954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79,30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20.91</c:v>
                </c:pt>
                <c:pt idx="1">
                  <c:v>29.51</c:v>
                </c:pt>
                <c:pt idx="2">
                  <c:v>33.13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79,30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(49,70 – 79,80)</c:v>
                </c:pt>
                <c:pt idx="1">
                  <c:v>Precio objetivo de los analistas (70,00 – 90,00)</c:v>
                </c:pt>
                <c:pt idx="2">
                  <c:v>Comparables: PER NTM (51,61 – 65,49)</c:v>
                </c:pt>
                <c:pt idx="3">
                  <c:v>DCF (WACC y g ± 0,5) (26,15 – 33,93)</c:v>
                </c:pt>
                <c:pt idx="4">
                  <c:v>Escenarios (bajista – alcista) (20,91 – 33,13)</c:v>
                </c:pt>
                <c:pt idx="5">
                  <c:v>DCF con la prima implícita del mercado (4,2 %)</c:v>
                </c:pt>
                <c:pt idx="6">
                  <c:v>Precio actual (79,30)</c:v>
                </c:pt>
              </c:strCache>
            </c:strRef>
          </c:cat>
          <c:val>
            <c:numRef>
              <c:f>Hoja1!$B$2:$B$8</c:f>
              <c:numCache>
                <c:formatCode>#,##0.0</c:formatCode>
                <c:ptCount val="7"/>
                <c:pt idx="0">
                  <c:v>49.7</c:v>
                </c:pt>
                <c:pt idx="1">
                  <c:v>70</c:v>
                </c:pt>
                <c:pt idx="2">
                  <c:v>51.61</c:v>
                </c:pt>
                <c:pt idx="3">
                  <c:v>26.15</c:v>
                </c:pt>
                <c:pt idx="4">
                  <c:v>20.91</c:v>
                </c:pt>
                <c:pt idx="5">
                  <c:v>32.88</c:v>
                </c:pt>
                <c:pt idx="6">
                  <c:v>78.9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(49,70 – 79,80)</c:v>
                </c:pt>
                <c:pt idx="1">
                  <c:v>Precio objetivo de los analistas (70,00 – 90,00)</c:v>
                </c:pt>
                <c:pt idx="2">
                  <c:v>Comparables: PER NTM (51,61 – 65,49)</c:v>
                </c:pt>
                <c:pt idx="3">
                  <c:v>DCF (WACC y g ± 0,5) (26,15 – 33,93)</c:v>
                </c:pt>
                <c:pt idx="4">
                  <c:v>Escenarios (bajista – alcista) (20,91 – 33,13)</c:v>
                </c:pt>
                <c:pt idx="5">
                  <c:v>DCF con la prima implícita del mercado (4,2 %)</c:v>
                </c:pt>
                <c:pt idx="6">
                  <c:v>Precio actual (79,30)</c:v>
                </c:pt>
              </c:strCache>
            </c:strRef>
          </c:cat>
          <c:val>
            <c:numRef>
              <c:f>Hoja1!$C$2:$C$8</c:f>
              <c:numCache>
                <c:formatCode>#,##0.0</c:formatCode>
                <c:ptCount val="7"/>
                <c:pt idx="0">
                  <c:v>30.099999999999994</c:v>
                </c:pt>
                <c:pt idx="1">
                  <c:v>20</c:v>
                </c:pt>
                <c:pt idx="2">
                  <c:v>13.879999999999995</c:v>
                </c:pt>
                <c:pt idx="3">
                  <c:v>7.780000000000001</c:v>
                </c:pt>
                <c:pt idx="4">
                  <c:v>12.220000000000002</c:v>
                </c:pt>
                <c:pt idx="5">
                  <c:v>6.3799999999999955</c:v>
                </c:pt>
                <c:pt idx="6">
                  <c:v>0.7999999999999972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