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Jack Henry &amp; Associates, Inc.</w:t>
      </w:r>
    </w:p>
    <w:p>
      <w:pPr>
        <w:spacing w:after="60"/>
        <w:rPr>
          <w:color w:val="52514E"/>
          <w:sz w:val="22"/>
          <w:szCs w:val="22"/>
        </w:rPr>
      </w:pPr>
      <w:r>
        <w:rPr>
          <w:color w:val="52514E"/>
          <w:sz w:val="22"/>
          <w:szCs w:val="22"/>
        </w:rPr>
        <w:t xml:space="preserve">JKHY · Nasdaq Global Select · ISIN US4262811015 · Tecnologías de la información / Financieras (GICS: servicios de transacciones y pagos)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155,26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190,79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+24,4 % (base +19,2 %)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129,57 USD · mercado 152,73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10.930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Jack Henry &amp; Associates,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JKHY / US4262811015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Financieras (GICS: servicios de transacciones y pagos) / Tecnología para bancos y cooperativas de crédito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Monett (Misuri) · 1976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https://www.jackhenry.com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155,26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121,04 – 193,39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10.930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10.958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148,6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190,79 USD</w:t>
      </w:r>
      <w:r>
        <w:t xml:space="preserve"> frente a 155,26 · Rentabilidad a 12 meses </w:t>
      </w:r>
      <w:r>
        <w:rPr>
          <w:b/>
          <w:bCs/>
        </w:rPr>
        <w:t xml:space="preserve">+24,4 % (base +19,2 %)</w:t>
      </w:r>
      <w:r>
        <w:t xml:space="preserve"> · Valor intrínseco 129,57 USD · con la prima implícita del mercado: 152,73 (-1,6 %) · Alcista / bajista -0,3 % / -41,9 %</w:t>
      </w:r>
    </w:p>
    <w:p>
      <w:pPr>
        <w:spacing w:after="100"/>
      </w:pPr>
      <w:r>
        <w:rPr>
          <w:b/>
        </w:rPr>
        <w:t xml:space="preserve">La recomendación y por qué.</w:t>
      </w:r>
      <w:r>
        <w:t xml:space="preserve"> Mantener, convicción baja. La regla a 12 meses da una rentabilidad ponderada del 24,4 % y del 19,2 % en el base (objetivo de 190,79 USD frente a 155,26), pero el valor intrínseco (129,57 USD) queda un 16,5 % por debajo del precio, así que no pasa el filtro de valor real. El objetivo medio de los analistas (189,67) coincide con nuestro base a 12 meses. Las reglas del valor intrínseco discrepan (absoluta Vender, relativa Mantener) y por eso la convicción es baja; subiría si el bono bajara del 4,5 % o si el crecimiento del 1T27 (3-nov) supera el 8 %.</w:t>
      </w:r>
    </w:p>
    <w:p>
      <w:pPr>
        <w:spacing w:after="100"/>
      </w:pPr>
      <w:r>
        <w:rPr>
          <w:b/>
        </w:rPr>
        <w:t xml:space="preserve">El negocio.</w:t>
      </w:r>
      <w:r>
        <w:t xml:space="preserve"> Jack Henry lleva el core de más de 1.600 bancos y cooperativas de EE. UU., con contratos de seis años, retención superior al 99 % y un ROIC del 23,6 % (39,1 % sin fondo de comercio) frente a un WACC del 9,07 %: +14,5 puntos [10]. </w:t>
      </w:r>
      <w:r>
        <w:rPr>
          <w:b/>
        </w:rPr>
        <w:t xml:space="preserve">Veredicto de calidad: Sí.</w:t>
      </w:r>
      <w:r>
        <w:t xml:space="preserve"> Sostenibilidad del crecimiento: Sí; proyectamos un 5,8 % anual, menos que el 7,3 % de 2019-2026, casi sin capital nuevo, y el motor coincide.</w:t>
      </w:r>
    </w:p>
    <w:p>
      <w:pPr>
        <w:spacing w:after="100"/>
      </w:pPr>
      <w:r>
        <w:rPr>
          <w:b/>
        </w:rPr>
        <w:t xml:space="preserve">¿El castigo es temporal?</w:t>
      </w:r>
      <w:r>
        <w:t xml:space="preserve"> En parte. La caída (−13,9 % en 2026, PER de 22,2x frente a 34,8x de media) es sobre todo sectorial (software y pagos por la IA) y de tipos (bono al 5,21 %) [25]; las cifras baten la guía y el negocio gana cuota a Fiserv y FIS (58 victorias de core) [16]. Pero dos causas son estructurales: el bono alto, que no vuelve con la empresa, y las fusiones bancarias, que reducen clientes (42,8 M de desconversiones) [8].</w:t>
      </w:r>
    </w:p>
    <w:p>
      <w:pPr>
        <w:spacing w:after="100"/>
      </w:pPr>
      <w:r>
        <w:rPr>
          <w:b/>
        </w:rPr>
        <w:t xml:space="preserve">Finanzas.</w:t>
      </w:r>
      <w:r>
        <w:t xml:space="preserve"> Ventas de 2.544,3 M (+7,1 %), margen EBIT del 25,0 % y caja libre de 539 M, de la que 126 M son un efecto fiscal único [3]. Sin deuda neta relevante (28 M) tras recomprar 448 M.</w:t>
      </w:r>
    </w:p>
    <w:p>
      <w:pPr>
        <w:spacing w:after="100"/>
      </w:pPr>
      <w:r>
        <w:rPr>
          <w:b/>
        </w:rPr>
        <w:t xml:space="preserve">Equipo y gobierno.</w:t>
      </w:r>
      <w:r>
        <w:t xml:space="preserve"> Suma: presidente independiente, dirección que cumple la guía y que compró acciones en mayo; variable ligado a crecimiento orgánico, margen y rentabilidad para el accionista [17, 19].</w:t>
      </w:r>
    </w:p>
    <w:p>
      <w:pPr>
        <w:spacing w:after="100"/>
      </w:pPr>
      <w:r>
        <w:rPr>
          <w:b/>
        </w:rPr>
        <w:t xml:space="preserve">Valoración.</w:t>
      </w:r>
      <w:r>
        <w:t xml:space="preserve"> El DCF (131,92 USD) descuenta un 8,3 % de crecimiento anual frente a nuestro 5,8 %; con la prima implícita del mercado vale 152,73, casi el precio. La diferencia es de tasa: a un 8,2 % de rentabilidad implícita, Jack Henry rinde lo que pide el mercado, no más.</w:t>
      </w:r>
    </w:p>
    <w:p>
      <w:pPr>
        <w:spacing w:after="100"/>
      </w:pPr>
      <w:r>
        <w:rPr>
          <w:b/>
        </w:rPr>
        <w:t xml:space="preserve">Riesgos y catalizadores.</w:t>
      </w:r>
      <w:r>
        <w:t xml:space="preserve"> Guerra de precios de Fiserv y FIS (bajista del DCF: 90,13), fusiones bancarias aceleradas y la IA en banca digital (exposición media, efecto −5 %). Catalizadores: 1T27 el 3-nov y la autorización de recompra pendiente (≈ 8 % del capital). Los foros, divididos, lo ven como «valoración en mínimos»; no añaden riesgos nuevos.</w:t>
      </w:r>
    </w:p>
    <w:p>
      <w:pPr>
        <w:spacing w:after="100"/>
      </w:pPr>
      <w:r>
        <w:rPr>
          <w:b/>
        </w:rPr>
        <w:t xml:space="preserve">Qué cambiaría la decisión.</w:t>
      </w:r>
      <w:r>
        <w:t xml:space="preserve"> Compraríamos por debajo de 129,57 USD (valor intrínseco); venderíamos por encima de 214,63. Pasaría a Comprar con victorias de core por encima de 60 y margen ajustado +50 pb en el FY2027; a Vender con desconversiones por encima de 15 M por trimestre o una guía del FY2028 por debajo del 6,7 %.</w:t>
      </w:r>
    </w:p>
    <w:p>
      <w:r>
        <w:br w:type="page"/>
      </w:r>
    </w:p>
    <w:p>
      <w:pPr>
        <w:pStyle w:val="Heading1"/>
      </w:pPr>
      <w:r>
        <w:t xml:space="preserve">Resumen ejecutivo</w:t>
      </w:r>
    </w:p>
    <w:p>
      <w:pPr>
        <w:pStyle w:val="Confianza"/>
        <w:spacing w:after="100"/>
      </w:pPr>
      <w:r>
        <w:t xml:space="preserve">Confianza: Alta</w:t>
      </w:r>
    </w:p>
    <w:p>
      <w:pPr>
        <w:spacing w:after="100"/>
      </w:pPr>
      <w:r>
        <w:rPr>
          <w:b/>
          <w:bCs/>
        </w:rPr>
        <w:t xml:space="preserve">Recomendación: Mantener</w:t>
      </w:r>
      <w:r>
        <w:t xml:space="preserve"> · Convicción: Baja · Horizonte: 12 meses · Objetivo a 12 meses: </w:t>
      </w:r>
      <w:r>
        <w:rPr>
          <w:b/>
          <w:bCs/>
        </w:rPr>
        <w:t xml:space="preserve">190,79 USD</w:t>
      </w:r>
      <w:r>
        <w:t xml:space="preserve"> (rentabilidad +24,4 % (base +19,2 %)) · Valor intrínseco: 129,57 USD (-16,5 % sobre 155,26) · con la prima implícita del mercado: 152,73 (-1,6 %)</w:t>
      </w:r>
    </w:p>
    <w:p>
      <w:pPr>
        <w:spacing w:after="100"/>
      </w:pPr>
      <w:r>
        <w:t xml:space="preserve">Jack Henry es el tercer proveedor de core bancario de EE. UU. y el primero en cooperativas grandes: 2.544 M de ventas, más del 90 % recurrentes, contratos de seis años, retención superior al 99 % y un ROIC del 23,6 % sin deuda [3, 10]. Gana cuota a Fiserv y FIS, que atraviesan sus peores años (58 victorias de core en el FY2026) [16].</w:t>
      </w:r>
    </w:p>
    <w:p>
      <w:pPr>
        <w:spacing w:after="100"/>
      </w:pPr>
      <w:r>
        <w:t xml:space="preserve">El precio (155,26 USD, 20,9 veces el BPA de los próximos doce meses) descuenta un crecimiento del 8,3 % anual durante ocho años, o un margen EBITDA del 38,4 %, con un WACC del 9,07 %. Frente a su historia el múltiplo está en mínimos (−36 % sobre la media de ocho años).</w:t>
      </w:r>
    </w:p>
    <w:p>
      <w:pPr>
        <w:spacing w:after="100"/>
      </w:pPr>
      <w:r>
        <w:t xml:space="preserve">El mercado acierta en lo esencial: con el bono al 5,2 % un negocio que crece al 6-7 % no vale 30 veces beneficios. Se equivoca al meterlo en el mismo saco que el software expuesto a la IA: el core es un sistema de registro regulado. Para invertir hay que creer que la perspectiva del día del inversor (7-8 % de crecimiento en el FY2029) se cumple y que los tipos bajan.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 × 6,87 = 128,47 · 23,3x × 7,84 = 182,67 · 31,5x × 8,55 = 269,33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 / 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189,67 (nuestro base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 -41,9 %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9,1 %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129,57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129,57 y 214,63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214,63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129,57 USD (valor intrínseco): Comprar si siguen el resto de filtros.</w:t>
      </w:r>
    </w:p>
    <w:p>
      <w:pPr>
        <w:pStyle w:val="ListParagraph"/>
        <w:numPr>
          <w:ilvl w:val="0"/>
          <w:numId w:val="2"/>
        </w:numPr>
        <w:spacing w:after="60"/>
      </w:pPr>
      <w:r>
        <w:t xml:space="preserve">Precio por encima de 214,63 USD: Vender.</w:t>
      </w:r>
    </w:p>
    <w:p>
      <w:pPr>
        <w:pStyle w:val="ListParagraph"/>
        <w:numPr>
          <w:ilvl w:val="0"/>
          <w:numId w:val="2"/>
        </w:numPr>
        <w:spacing w:after="60"/>
      </w:pPr>
      <w:r>
        <w:t xml:space="preserve">Crecimiento ajustado del 1T27 (3-nov) por encima del 8 % con margen +50 pb: subiríamos el base y podría pasar a Comprar.</w:t>
      </w:r>
    </w:p>
    <w:p>
      <w:pPr>
        <w:pStyle w:val="ListParagraph"/>
        <w:numPr>
          <w:ilvl w:val="0"/>
          <w:numId w:val="2"/>
        </w:numPr>
        <w:spacing w:after="60"/>
      </w:pPr>
      <w:r>
        <w:t xml:space="preserve">Desconversiones por encima de 15 M dos trimestres seguidos o victorias de core por debajo de 45 al año: bajaríamos el base.</w:t>
      </w:r>
    </w:p>
    <w:p>
      <w:pPr>
        <w:pStyle w:val="ListParagraph"/>
        <w:numPr>
          <w:ilvl w:val="0"/>
          <w:numId w:val="2"/>
        </w:numPr>
        <w:spacing w:after="60"/>
      </w:pPr>
      <w:r>
        <w:t xml:space="preserve">Bono a 10 años por debajo del 4,5 %: el valor intrínseco superaría el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8,3 % anual con un WACC del 9,1 %, o una rentabilidad del 8,2 %, la misma que pide hoy el mercado. Los analistas esperan +25 % a 12 meses por vuelta del múltiplo.</w:t>
      </w:r>
    </w:p>
    <w:p>
      <w:pPr>
        <w:keepNext/>
        <w:spacing w:after="100"/>
      </w:pPr>
      <w:r>
        <w:rPr>
          <w:b/>
          <w:bCs/>
        </w:rPr>
        <w:t xml:space="preserve">Lo que creemos nosotros.</w:t>
      </w:r>
    </w:p>
    <w:p>
      <w:pPr>
        <w:spacing w:after="100"/>
      </w:pPr>
      <w:r>
        <w:t xml:space="preserve">Coincidimos con los analistas a 12 meses (objetivo 190,79 frente a 189,67), pero no vemos margen de seguridad en el valor intrínseco: con nuestro 5,8 % de crecimiento vale 129,57.</w:t>
      </w:r>
    </w:p>
    <w:p>
      <w:pPr>
        <w:keepNext/>
        <w:spacing w:after="100"/>
      </w:pPr>
      <w:r>
        <w:rPr>
          <w:b/>
          <w:bCs/>
        </w:rPr>
        <w:t xml:space="preserve">Por qué podemos tener razón.</w:t>
      </w:r>
    </w:p>
    <w:p>
      <w:pPr>
        <w:spacing w:after="100"/>
      </w:pPr>
      <w:r>
        <w:t xml:space="preserve">El crecimiento proyectado es menor que el histórico por las fusiones bancarias, y la tasa de descuento con el bono al 5,2 % pesa más que la vuelta del múltiplo. No tenemos una visión distinta de la del mercado en el negocio: la diferencia es de precio. La idea vino de la carta de Riverwater del 1T26, que ve el castigo como temporal [34]; en el negocio le damos la razón, en el precio todavía no.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5,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A favor</w:t>
      </w:r>
    </w:p>
    <w:p>
      <w:pPr>
        <w:pStyle w:val="ListParagraph"/>
        <w:numPr>
          <w:ilvl w:val="0"/>
          <w:numId w:val="2"/>
        </w:numPr>
        <w:spacing w:after="60"/>
      </w:pPr>
      <w:r>
        <w:rPr>
          <w:b/>
        </w:rPr>
        <w:t xml:space="preserve">Foso de costes de cambio</w:t>
      </w:r>
      <w:r>
        <w:t xml:space="preserve">: retención superior al 99 % y contratos de seis años [10].</w:t>
      </w:r>
    </w:p>
    <w:p>
      <w:pPr>
        <w:pStyle w:val="ListParagraph"/>
        <w:numPr>
          <w:ilvl w:val="0"/>
          <w:numId w:val="2"/>
        </w:numPr>
        <w:spacing w:after="60"/>
      </w:pPr>
      <w:r>
        <w:rPr>
          <w:b/>
        </w:rPr>
        <w:t xml:space="preserve">Gana cuota</w:t>
      </w:r>
      <w:r>
        <w:t xml:space="preserve">: 58 victorias de core en el FY2026 y 45 entidades de varios miles de millones en tres años [10].</w:t>
      </w:r>
    </w:p>
    <w:p>
      <w:pPr>
        <w:pStyle w:val="ListParagraph"/>
        <w:numPr>
          <w:ilvl w:val="0"/>
          <w:numId w:val="2"/>
        </w:numPr>
        <w:spacing w:after="60"/>
      </w:pPr>
      <w:r>
        <w:rPr>
          <w:b/>
        </w:rPr>
        <w:t xml:space="preserve">ROIC del 23,6 %</w:t>
      </w:r>
      <w:r>
        <w:t xml:space="preserve"> sin deuda y +14,5 puntos sobre el WACC.</w:t>
      </w:r>
    </w:p>
    <w:p>
      <w:pPr>
        <w:pStyle w:val="ListParagraph"/>
        <w:numPr>
          <w:ilvl w:val="0"/>
          <w:numId w:val="2"/>
        </w:numPr>
        <w:spacing w:after="60"/>
      </w:pPr>
      <w:r>
        <w:rPr>
          <w:b/>
        </w:rPr>
        <w:t xml:space="preserve">Múltiplo en mínimos</w:t>
      </w:r>
      <w:r>
        <w:t xml:space="preserve">: PER de 22,2x frente a 34,8x de media en ocho años.</w:t>
      </w:r>
    </w:p>
    <w:p>
      <w:pPr>
        <w:pStyle w:val="ListParagraph"/>
        <w:numPr>
          <w:ilvl w:val="0"/>
          <w:numId w:val="2"/>
        </w:numPr>
        <w:spacing w:after="60"/>
      </w:pPr>
      <w:r>
        <w:rPr>
          <w:b/>
        </w:rPr>
        <w:t xml:space="preserve">Dirección que cumple y compra acciones</w:t>
      </w:r>
      <w:r>
        <w:t xml:space="preserve">: BPA del FY2026 de 6,98 frente a una guía de 6,78-6,87 [21].</w:t>
      </w:r>
    </w:p>
    <w:p>
      <w:pPr>
        <w:pStyle w:val="Heading2"/>
      </w:pPr>
      <w:r>
        <w:t xml:space="preserve">En contra</w:t>
      </w:r>
    </w:p>
    <w:p>
      <w:pPr>
        <w:pStyle w:val="ListParagraph"/>
        <w:numPr>
          <w:ilvl w:val="0"/>
          <w:numId w:val="2"/>
        </w:numPr>
        <w:spacing w:after="60"/>
      </w:pPr>
      <w:r>
        <w:rPr>
          <w:b/>
        </w:rPr>
        <w:t xml:space="preserve">Valor intrínseco de 129,57 USD</w:t>
      </w:r>
      <w:r>
        <w:t xml:space="preserve">, un 16,5 % por debajo del precio.</w:t>
      </w:r>
    </w:p>
    <w:p>
      <w:pPr>
        <w:pStyle w:val="ListParagraph"/>
        <w:numPr>
          <w:ilvl w:val="0"/>
          <w:numId w:val="2"/>
        </w:numPr>
        <w:spacing w:after="60"/>
      </w:pPr>
      <w:r>
        <w:rPr>
          <w:b/>
        </w:rPr>
        <w:t xml:space="preserve">Fusiones bancarias</w:t>
      </w:r>
      <w:r>
        <w:t xml:space="preserve">: 42,8 M de desconversiones en FY2026, clientes que se van [8].</w:t>
      </w:r>
    </w:p>
    <w:p>
      <w:pPr>
        <w:pStyle w:val="ListParagraph"/>
        <w:numPr>
          <w:ilvl w:val="0"/>
          <w:numId w:val="2"/>
        </w:numPr>
        <w:spacing w:after="60"/>
      </w:pPr>
      <w:r>
        <w:rPr>
          <w:b/>
        </w:rPr>
        <w:t xml:space="preserve">Guía del FY2027 floja</w:t>
      </w:r>
      <w:r>
        <w:t xml:space="preserve">: BPA +5,0-5,7 % y margen +20-40 pb [3].</w:t>
      </w:r>
    </w:p>
    <w:p>
      <w:pPr>
        <w:pStyle w:val="ListParagraph"/>
        <w:numPr>
          <w:ilvl w:val="0"/>
          <w:numId w:val="2"/>
        </w:numPr>
        <w:spacing w:after="60"/>
      </w:pPr>
      <w:r>
        <w:rPr>
          <w:b/>
        </w:rPr>
        <w:t xml:space="preserve">Bono al 5,2 %</w:t>
      </w:r>
      <w:r>
        <w:t xml:space="preserve">: el DCF cae ≈ 15 % por cada punto de WACC.</w:t>
      </w:r>
    </w:p>
    <w:p>
      <w:pPr>
        <w:pStyle w:val="ListParagraph"/>
        <w:numPr>
          <w:ilvl w:val="0"/>
          <w:numId w:val="2"/>
        </w:numPr>
        <w:spacing w:after="60"/>
      </w:pPr>
      <w:r>
        <w:rPr>
          <w:b/>
        </w:rPr>
        <w:t xml:space="preserve">IA en banca digital</w:t>
      </w:r>
      <w:r>
        <w:t xml:space="preserve">: exposición media en ≈ 30 % de las ventas.</w:t>
      </w:r>
    </w:p>
    <w:p>
      <w:pPr>
        <w:pStyle w:val="Heading2"/>
      </w:pPr>
      <w:r>
        <w:t xml:space="preserve">Qué tiene que pasar para que la tesis funcione</w:t>
      </w:r>
    </w:p>
    <w:p>
      <w:pPr>
        <w:spacing w:after="100"/>
      </w:pPr>
      <w:r>
        <w:t xml:space="preserve">La tesis depende de que las victorias de core se conviertan en ingresos y el crecimiento ajustado suba del 6,6 % del 4T26 al 7-8 % en el FY2028-FY2029, como prometió el día del inversor. La señal de que no se cumple: crecimiento ajustado por debajo del 6 % en el 1T27 o el 2T27, o desconversiones por encima de 15 M por trimestre.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las victorias.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Desconversiones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M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fusiones de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Victorias competitivas de core al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frente a Fiserv y FIS.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o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 EE. UU.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y valor intrínseco.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22,2x / 20,9x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1976 en Monett (Misuri) por Jack Henry y Jerry Hall para vender software a bancos pequeños; salió a bolsa en 1985 y creció con un proveedor central para bancos (SilverLake, CIF 20/20, Core Director) y, desde 2000, con Symitar para cooperativas de crédito [1]. A partir de 2004 diversificó hacia pagos, tarjetas, banca digital y riesgo con compras pequeñas, vendidas también a entidades con otro proveedor central [1]. Desde 2018 apuesta por la nube privada propia y por la banca digital Banno; en 2023 compró Payrailz y en 2025 Victor [1]. Greg Adelson sustituyó a David Foss como consejero delegado en julio de 2024; Foss dejó la presidencia en julio de 2026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Monett (Misuri)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Symitar: entrada en cooperativas de crédito, hoy 700 clientes de proceso central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con compras de pagos, tarjetas, riesgo y banca digital (Banno en 2014).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BOLTS y Agiletics; ampliación de la nube privada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Payrailz (229,6 M) para pagos digitales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Adelson, consejero delegado; Foss pasa a presidente no ejecutivo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de 58 victorias de proceso central, la mayor con Woodforest (9.200 M de activos); día del inversor con perspectiva de crecimiento del 7-8 % hasta el FY2029 [10, 16].</w:t>
            </w:r>
          </w:p>
        </w:tc>
      </w:tr>
    </w:tbl>
    <w:p>
      <w:pPr>
        <w:spacing w:after="160" w:before="0"/>
      </w:pPr>
    </w:p>
    <w:p>
      <w:pPr>
        <w:pStyle w:val="Heading1"/>
      </w:pPr>
      <w:r>
        <w:t xml:space="preserve">2. Modelo de negocio</w:t>
      </w:r>
    </w:p>
    <w:p>
      <w:pPr>
        <w:spacing w:after="100"/>
      </w:pPr>
      <w:r>
        <w:t xml:space="preserve">Jack Henry da a bancos regionales y comunitarios y a cooperativas de crédito de EE. UU. el sistema central que lleva depósitos, préstamos y contabilidad (el «core»), y alrededor de él pagos, tarjetas, banca digital, riesgo y fraude [1]. Tiene más de 900 bancos y más de 700 cooperativas en su core y ≈ 5.600 clientes que solo compran productos complementarios; en total unas 7.400 entidades [1, 8]. Vende en la nube privada propia (lo más habitual: contratos de seis años) o instalado en el banco (licencia y mantenimiento anual) [1]. Su mercado natural son las ≈ 4.300 entidades bancarias de menos de 55.000 M de activos y las ≈ 4.400 cooperativas [1]. Todo el negocio está en EE. UU.</w:t>
      </w:r>
    </w:p>
    <w:p>
      <w:pPr>
        <w:pStyle w:val="Heading2"/>
      </w:pPr>
      <w:r>
        <w:t xml:space="preserve">Cómo gana dinero</w:t>
      </w:r>
    </w:p>
    <w:p>
      <w:pPr>
        <w:spacing w:after="100"/>
      </w:pPr>
      <w:r>
        <w:t xml:space="preserve">Dos líneas: «servicios y soporte» (56,9 % de las ventas del FY2026: nube con contratos de seis años, mantenimiento anual, implantación, licencias y desconversiones) y «proceso» (43,1 %: comisiones por tarjeta, pago instantáneo, ACH y usuario digital) [3]. Más del 90 % de los ingresos es recurrente (estimación propia: todo salvo licencias, hardware e implantación). El margen bruto por segmento es del 60 % en Core y Complementary y del 49 % en Payments [3]. El apalancamiento operativo es moderado: el coste es sobre todo personal y centros de datos; cada contrato nuevo exige meses de conversión antes de facturar, así que las victorias de un año suben las ventas uno o dos años después. Las desconversiones (penalización que paga un cliente que se fusiona con otro banco) añaden 20-45 M al año casi sin coste [8].</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Payments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Complementary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Payments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Complementary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pesa de forma material [1]. La retención es superior al 99 % sin contar las fusiones, con contratos de seis años de media [10]. La concentración es sectorial: todos los clientes son bancos y cooperativas de EE. UU. de menos de 55.000 M de activos, un universo que se reduce cada año por fusiones (≈ 4.300 bancos y 4.400 cooperativas a finales de 2025) [1]. Poder de precios: los contratos llevan escaladores anuales y el margen operativo subió 92 pb en el FY2026 con costes de personal al alza [3, 10]. La empresa gana cuota: 58 victorias competitivas de core en el FY2026 (51 el año anterior), 14 de ellas de más de 1.000 M de activos, y 45 entidades de varios miles de millones en FY2024-FY2026 frente a 23 en FY2021-FY2023 [10,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Core (ingresos − coste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segmento de la nota 14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Payments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pagos instantáneos (+49,5 % de ingresos)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Complementary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Banno y nube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desconversión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 de las fusiones de clientes; guía FY2027: 23 M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desempeño pendientes (cartera contratada)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8.441 M (3,3 años de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 en los próximos 12 meses y 18 % en los 12 siguientes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7.300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30-jun-2026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Tecnología para bancos y cooperativas de crédito: sistemas centrales (core), proceso de pagos y tarjetas, banca digital y riesgo, vendidos como servicio en la nube o como licencia. El mercado relevante de Jack Henry es el de EE. UU. para entidades de menos de 55.000 M de activos; no hay una estadística pública de ese perímetro. Usamos dos medidas: el software de core mundial (IMARC: 18.200 M USD en 2025; The Business Research Company: 14.430 M) como referencia de crecimiento, y la cuota que da la propia empresa en entidades de más de 1.000 M de activos (32 %) [10, 11, 12]. El primero no incluye pagos ni banca digital, que son el 70 % de las ventas de Jack Henry: por eso la prueba de cuota del DCF se hace a mano.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18.200 M USD en 2025 de software de core mundial (IMARC); 14.430 M según The Business Research Company [11,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(en EE. UU.: Fiserv, FIS y Jack Henry tienen la mayoría de los bancos)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software de core mundial, IMARC))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bancaria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número de bancos y cooperativas baja cada año por fusiones; 42,8 M de desconversiones en FY2026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y a pagos instantáneos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instantáneos +49,5 % e ingresos de nube +8,5 % en FY2026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proveedor desde Fiserv y FIS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 victorias competitivas de core en FY2026; Fiserv con crecimiento orgánico negativo en 2026 [14,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tecnología de los bancos ligado a sus márgenes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el gasto en tecnología «sigue fuerte» en agosto de 2026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Fintech y competidores de nicho en banca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Alkami y nCino crecen 10-23 % al año en banca digital y préstamos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y Finastra/Corelation; se compite por servicio en contratos de seis años, con pocos cambios al año (58 victorias de JKHY)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pequeños con poco poder individual, pero cada fusión crea un cliente más grande que renegocia o se va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tarjetas y nube pública; el personal técnico es el coste principal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core nuevo tarda años en certificarse y en ganar la confianza de reguladores y bancos; los nuevos (cores en la nube) ganan sobre todo bancos nuevos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Fintech de nicho e IA pueden quitar módulos (banca digital, fraude, atención) aunque no el core [1, 13].</w:t>
            </w:r>
          </w:p>
        </w:tc>
      </w:tr>
    </w:tbl>
    <w:p>
      <w:pPr>
        <w:spacing w:after="160" w:before="0"/>
      </w:pPr>
    </w:p>
    <w:p>
      <w:pPr>
        <w:pStyle w:val="Heading2"/>
      </w:pPr>
      <w:r>
        <w:t xml:space="preserve">Ciclo</w:t>
      </w:r>
    </w:p>
    <w:p>
      <w:pPr>
        <w:spacing w:after="100"/>
      </w:pPr>
      <w:r>
        <w:t xml:space="preserve">Poco cíclico: en 2009 y 2020 los ingresos de Jack Henry siguieron creciendo porque son recurrentes; lo que cae en las crisis bancarias son las licencias y el hardware y, con retraso, el número de clientes por quiebras y fusiones. En 2022-2023 los tipos altos y la crisis de bancos regionales frenaron las decisiones de compra y subieron las fusiones; en 2025-2026 las fusiones bancarias han repuntado (desconversiones de 42,8 M) [1, 8].</w:t>
      </w:r>
    </w:p>
    <w:p>
      <w:pPr>
        <w:pStyle w:val="Heading2"/>
      </w:pPr>
      <w:r>
        <w:t xml:space="preserve">Regulación</w:t>
      </w:r>
    </w:p>
    <w:p>
      <w:pPr>
        <w:spacing w:after="100"/>
      </w:pPr>
      <w:r>
        <w:t xml:space="preserve">Los clientes están supervisados (FDIC, OCC, Reserva Federal, NCUA), y los proveedores de servicios tecnológicos se examinan por las mismas agencias (FFIEC). Las normas de ciberseguridad y las de pagos instantáneos (FedNow, RTP) empujan la demanda. La empresa ofrece depósitos tokenizados con USDC, pendiente de la regulación de monedas estables [1, 10].</w:t>
      </w:r>
    </w:p>
    <w:p>
      <w:pPr>
        <w:pStyle w:val="Heading2"/>
      </w:pPr>
      <w:r>
        <w:t xml:space="preserve">Tendencias y disrupción</w:t>
      </w:r>
    </w:p>
    <w:p>
      <w:pPr>
        <w:spacing w:after="100"/>
      </w:pPr>
      <w:r>
        <w:t xml:space="preserve">Tres tendencias: (1) los bancos regionales quieren ofrecer lo que ofrecen los grandes (pagos instantáneos, banca digital): Jack Henry crece con Banno (1.030 entidades y 16 M de usuarios) [10]; (2) Fiserv y FIS han recortado previsiones y sus clientes se mueven, lo que Jack Henry convierte en victorias (Woodforest) [14, 16]; (3) la IA: la empresa tiene 22 productos con IA en marcha y otros 20 previstos, pero la IA también abarata el desarrollo de alternativas para módulos de banca digital y atención [13,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 proveedor de core de EE. UU. por clientes tras Fiserv y FIS; 1.º en cooperativas de crédito de más de 100 M de activos (Symitar); 32 % de las entidades de más de 1.000 M de activos y 48 % de las cooperativas de ese tamaño (dato de la empresa) [1,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número de bancos; crecimiento orgánico negativo en 2026 y cambio de dirección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 (Fidelity National Information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medianos y grandes; compró el negocio de emisores de Global Payments en 2025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Finastra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capital riesgo (Vista); core para bancos comunitarios en EE. UU.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Corelation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KeyStone para cooperativas; el rival directo de Symitar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Q2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QTWO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digital para bancos regionales; compite con Banno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Alkami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ALKT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Banca digital para cooperativas; aún con pérdidas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la red de pagos y los fintech integrados en su plataforma dan algo de valor, pero cada banco es un cliente aislado.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core lleva 12-24 meses, exige migrar todos los datos y lo revisa el supervisor; retención &gt; 99 % sin fusiones y contratos de seis años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 de servicio: la empresa basa su ventaja en las encuestas de satisfacción; sin patentes relevantes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menor que Fiserv y FIS; su margen EBIT (25 %) es inferior al EBITDA ajustado de Fiserv (43 %)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pocas entidades (≈ 8.700) en el que no caben muchos proveedores de core certificados; tres grandes y dos de nicho [1].</w:t>
            </w:r>
          </w:p>
        </w:tc>
      </w:tr>
    </w:tbl>
    <w:p>
      <w:pPr>
        <w:spacing w:after="160" w:before="0"/>
      </w:pPr>
    </w:p>
    <w:p>
      <w:pPr>
        <w:pStyle w:val="Heading2"/>
      </w:pPr>
      <w:r>
        <w:t xml:space="preserve">Amenazas</w:t>
      </w:r>
    </w:p>
    <w:p>
      <w:pPr>
        <w:spacing w:after="100"/>
      </w:pPr>
      <w:r>
        <w:t xml:space="preserve">Cuatro amenazas, por probabilidad: (1) fusiones bancarias que reducen el número de clientes; cuando un cliente de Jack Henry compra a otro, Jack Henry gana, y cuando lo compran, cobra la desconversión y pierde el cliente (probabilidad alta, efecto lento); (2) Fiserv y FIS bajando precios para recuperar cuota tras sus caídas (media) [14]; (3) fintech de banca digital y préstamos que quitan módulos complementarios (media) [15]; (4) la IA, que puede abaratar el desarrollo de alternativas en banca digital, atención y fraude, aunque no sustituye al core regulado (baja a cinco años)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FY2019-FY2026: ingresos </w:t>
      </w:r>
      <w:r>
        <w:rPr>
          <w:b/>
          <w:bCs/>
        </w:rPr>
        <w:t xml:space="preserve">7,3 %</w:t>
      </w:r>
      <w:r>
        <w:t xml:space="preserve">, EBITDA </w:t>
      </w:r>
      <w:r>
        <w:rPr>
          <w:b/>
          <w:bCs/>
        </w:rPr>
        <w:t xml:space="preserve">7,5 %</w:t>
      </w:r>
      <w:r>
        <w:t xml:space="preserve">, BPA </w:t>
      </w:r>
      <w:r>
        <w:rPr>
          <w:b/>
          <w:bCs/>
        </w:rPr>
        <w:t xml:space="preserve">10,3 %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1.552,7 M (FY2019) a 2.544,3 M (FY2026): +7,3 % anual, casi todo orgánico (las compras de siete años suman 325 M de caja) [1, 7]. El crecimiento ajustado que publica la empresa (sin desconversiones ni compras) fue del 7,3 % en el FY2026 y del 6,6-8,7 % en cada trimestre [3]. El margen EBIT pasó del 22,4 % (FY2019) al 25,0 % (FY2026): tras tres años planos (24,4 % en FY2022, 23,1 % en FY2023, 22,1 % en FY2024) por personal e inversión en la nube, subió 92 pb en el FY2026 con la mezcla de proceso (tarjetas, pagos instantáneos +49,5 %) y la contención de costes [3]. Las desconversiones (penalizaciones que paga un cliente absorbido por otro banco) suman 33,9 M en FY2025 y 42,8 M en FY2026 de ingresos casi sin coste; la guía del FY2027 supone 23 M [3, 8]. Ningún año está fuera de perímetro salvo FY2023 (Payrailz). El 4T26 bajó (BPA 1,57 frente a 1,75) por menos desconversiones (9,3 M frente a 20,5 M) y gastos de personal y médicos [3].</w:t>
      </w:r>
    </w:p>
    <w:p>
      <w:pPr>
        <w:pStyle w:val="Heading2"/>
      </w:pPr>
      <w:r>
        <w:t xml:space="preserve">Ajustes y partidas no recurrentes</w:t>
      </w:r>
    </w:p>
    <w:p>
      <w:pPr>
        <w:spacing w:after="100"/>
      </w:pPr>
      <w:r>
        <w:t xml:space="preserve">El informe parte de las cifras GAAP. La empresa publica además ingresos y beneficio operativo «ajustados» que quitan: ingresos y costes de desconversión (42,8 M de ingresos y 29,95 M de resultado operativo en FY2026), un cambio de contrato con un tercero en FY2025 (15,9 M de ingresos), la compra de Victor (5,2 M de ingresos y −2,96 M de resultado en FY2026) y una plusvalía por venta de activos de 6,8 M en FY2026 [3]. Esa plusvalía se resta del EBITDA como no recurrente (−6,8 M). Las desconversiones se repiten todos los años (dependen de las fusiones bancarias): no son extraordinarias y quedan dentro del BPA. El EBITDA del informe es EBIT + depreciación + amortización del estado de flujos (213,2 M en FY2026); el EBITDA «no GAAP» de la empresa (813,0 M) quita además desconversiones [3]. La amortización de costes de contratos activados (195,7 M en FY2026) va dentro de los costes, no en la amortización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Los tres primeros trimestres del FY2026 ya habían batido la guía [6][5][4]. En la conferencia del 4T26 (19-ago-2026) la dirección destacó ventas ajustadas de 633 M (+7 %) por encima de su guía implícita, 58 victorias competitivas de core en el año (51 el anterior), la mayor de su historia (Woodforest, 9.200 M de activos) y que las ventas «trifecta» (core, banca digital y tarjetas a la vez) pasaron del 39 % al 59 % de las victorias [16]. Frente a la conferencia del 3T (mayo), cuando el mensaje era la ampliación del margen (75-95 pb en el FY2026) [22], el de agosto fue de crecimiento: la guía del FY2027 da ventas ajustadas +6,3-7,3 % y solo 20-40 pb de margen, porque el primer semestre del FY2026 fue muy fuerte y hay costes médicos y de personal al alza [3]. Lo que más preguntaron los analistas fue cuándo se convierten las victorias en ingresos y por qué el margen sube tan poco; la dirección lo dejó para el día del inversor (16-sep), donde dio perspectiva de crecimiento del 6,7-7,7 % en el FY2028 y del 7-8 % en el FY2029 pero no de margen [10]. No dio cifras de cuánto aportará la IA ni de precios de renovación.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(FY2023: Payrailz (pagos digitales), comprada en agosto de 2022 por 229,6 M en caja: el fondo de comercio sube de 687,5 a 804,8 M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casi sin deuda durante siete años: la deuda bruta máxima fue de 275 M (FY2023, por Payrailz) y se amortizó en dos años [7]. En el FY2026 la empresa recompró 448 M de acciones (2,95 M a 152 USD de media) con la caja libre y 40 M del crédito, y la caja bajó de 102 a 12 M [1, 3]. El circulante comercial es casi nulo: clientes 349 M frente a ingresos diferidos de 295 M y proveedores de 35 M; los clientes pagan por adelantado los contratos de nube y mantenimiento [1]. La partida que crece es la de costes de contratos activados (de 541,7 a 599,5 M), que absorbe caja.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FY2019-FY2026: FCF </w:t>
      </w:r>
      <w:r>
        <w:rPr>
          <w:b/>
          <w:bCs/>
        </w:rPr>
        <w:t xml:space="preserve">2.638</w:t>
      </w:r>
      <w:r>
        <w:t xml:space="preserve">, conversión </w:t>
      </w:r>
      <w:r>
        <w:rPr>
          <w:b/>
          <w:bCs/>
        </w:rPr>
        <w:t xml:space="preserve">89 %</w:t>
      </w:r>
      <w:r>
        <w:t xml:space="preserve"> del beneficio neto; adquisiciones 325, dividendos 1.157, recompras 1.288.</w:t>
      </w:r>
    </w:p>
    <w:p>
      <w:pPr>
        <w:spacing w:after="100"/>
      </w:pPr>
      <w:r>
        <w:t xml:space="preserve">El flujo operativo del FY2026 (762,0 M) lleva 126,0 M de impuestos diferidos por la ley fiscal de julio de 2025 (OBBBA: deducción inmediata de la I+D y del saldo pendiente de amortizar), que no se repetirán con ese tamaño [1, 3]. Sin ese efecto, el flujo operativo habría sido de ≈ 636 M, como el del FY2025 (641,5 M). La inversión total (255,4 M en FY2026) es casi toda software desarrollado y activado (184,2 M) más 67,1 M de equipos y centros de datos; supera a la amortización (213,2 M) en ≈ 42 M: es inversión de crecimiento moderada [3]. Hay además ≈ 58 M de costes de contratos activados que pasan por el circulante [1]. Caja libre de la empresa: 539,3 M (FY2026) y 410,3 M (FY2025), una conversión del 101 % y el 90 % del beneficio [3]. Usos acumulados FY2019-FY2026: dividendos 1.157 M, recompras 1.288 M y compras de empresas 325 M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Tres puntos contables. (1) La empresa activa mucho desarrollo de software: 184,2 M en FY2026 (el 7,2 % de las ventas) frente a 176,4 M de I+D en la cuenta; su amortización crece más deprisa que las ventas y empuja el coste de ventas [1, 3]. (2) Activa costes de obtener y cumplir contratos (599,5 M en balance; 195,7 M amortizados en el año): el beneficio reconoce el gasto con el ingreso, pero la caja sale antes, y el DCF lo cuenta como inversión [1]. (3) Los ingresos por desconversión (42,8 M, casi todo margen) dependen de las fusiones de clientes; la guía del FY2027 supone 23 M [3, 8]. Los indicadores del motor no muestran alarmas: Altman Z de 9,15 (sin riesgo de quiebra), Piotroski F de 7 sobre 9 (cuentas sólidas) y Beneish M de −2,83 (por debajo de −1,78: sin señal de manipulación). Auditor PwC, opinión favorable sobre cuentas y control interno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desarrollado activado creciente (7,2 %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 en el sector, pero el BPA depende de la vida útil elegida; la amortización ya crece más que las ventas.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FY2026 inflado por impuestos diferidos (126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la ley OBBBA; el FCF recurrente es ≈ 410-430 M, no 539 M.</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por desconversión dentro del beneficio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repiten cada año con las fusiones bancarias (34-43 M); la empresa los separa en su información ajustada.</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828 M en FY2026 (el 40 % del capital invertido medio); ha subido más de un 5 % en 1 de 7 años: compras pequeñas. ROIC publicado 23,6 %; sin fondo de comercio, 39,1 %.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29,5 % · </w:t>
      </w:r>
      <w:r>
        <w:rPr>
          <w:b/>
          <w:bCs/>
        </w:rPr>
        <w:t xml:space="preserve">WACC</w:t>
      </w:r>
      <w:r>
        <w:t xml:space="preserve">: 9,1 %.</w:t>
      </w:r>
    </w:p>
    <w:p>
      <w:pPr>
        <w:spacing w:after="100"/>
      </w:pPr>
      <w:r>
        <w:t xml:space="preserve">Jack Henry crea valor con holgura y desde hace al menos ocho años: el ROIC del motor es del 23,6 % en el FY2026 (19,6-25,9 % desde el FY2019) frente a un WACC del 9,07 %, +14,5 puntos. Sin el fondo de comercio de las compras (828 M, el 40 % del capital invertido), el ROIC es del 39,1 %: las compras han sido pequeñas y no lo explican. Lo mueve el margen (beneficio neto del 19,8 % de las ventas) más que la rotación (0,8 veces el capital), porque el capital invertido incluye 717 M de software activado y 828 M de fondo de comercio. El ROIC incremental histórico es del 29,5 %: cada dólar invertido en software y conversiones de clientes ha rendido más que el capital ya instalado. Frente a sus rivales, Fiserv tiene un ROIC del 8,9 % por el fondo de comercio de First Data [14]. La propia empresa publica un ROIC después de impuestos del 23,2 % [3].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12,1 M y 40 M dispuestos de un crédito sindicado de 1.000 M a cinco años (marzo de 2026, vence en 2031): ≈ 960 M sin disponer [1,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(no emite bonos)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del crédito: EBITDA / intereses ≥ 3,5x y deuda neta / EBITDA ≤ 3,5x (4,0x tras una compra de más de 100 M) [9]; con deuda neta de ≈ 28 M la holgura es total. Arrendamientos operativos de 37,8 M (US GAAP: su gasto ya está en el EBITDA, no van al puente) [1]. Ingresos diferidos de 294,8 M corrientes y 77,7 M no corrientes: cobros adelantados que se consumen con el servicio [1]. Costes de contratos activados de 599,5 M (301,5 M de comisiones y 298,0 M de implantación), que crecen ≈ 58 M al año y son una inversión que no pasa por el capex [1]. Sin pensiones de prestación definida, sin pagos aplazados de compras relevantes y sin litigios materiales declarados [1].</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inversión en producto (I+D de 358 M entre gasto y activación en FY2026), dividendo creciente (22 años seguidos de subidas; 0,61 USD trimestrales desde agosto de 2026), compras pequeñas y selectivas y recompras con la caja sobrante [3, 10]. El consejo amplió la autorización en 5 M de acciones en mayo de 2026; quedan 5,46 M por recomprar (≈ 8 % del capital) sin plazo [1]. La guía de caja libre del FY2027 es del 80-100 % del beneficio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Agiletics y BOLTS (pagos y riesgo)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Complementary y Payments; sin deterioros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Payrailz (pagos digitales)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(275 M de deuda al cierre del FY2023)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los pagos digitales; sin deterioro del fondo de comercio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Victor (banca embebida / pagos)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M de ingresos y −3,0 M de resultado operativo en su primer año [3].</w:t>
            </w:r>
          </w:p>
        </w:tc>
      </w:tr>
    </w:tbl>
    <w:p>
      <w:pPr>
        <w:spacing w:after="160" w:before="0"/>
      </w:pPr>
    </w:p>
    <w:p>
      <w:pPr>
        <w:spacing w:after="100"/>
      </w:pPr>
      <w:r>
        <w:t xml:space="preserve">Buen asignador de capital, conservador. De FY2019 a FY2026 dedicó 1.157 M a dividendos, 1.288 M a recompras y solo 325 M a compras de empresas [7]; las acciones diluidas bajaron de 77,3 a 72,0 M. Las compras han sido pequeñas y baratas en relación con su escala (Payrailz, 229,6 M) y sin deterioros [2]. La recompra de 448 M del FY2026 se hizo a 152 USD de media, un 2 % por debajo del precio de hoy, con la caja libre y 40 M de deuda: lógica con la acción a 22 veces beneficios, discutible si el múltiplo no vuelve [3]. El ROIC incremental del 29,5 % confirma que la inversión en software y en nuevos clientes rinde. El riesgo es que la recompra deje el balance con poca caja (12 M) si hace falta comprar algo grande.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R. Adelson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Jack Henry desde 2014 (vino de la compra de Banno/iPay); director de operaciones de 2022 a 2024. Con él como consejero delegado, el margen ajustado subió 92 pb en el FY2026 y las victorias de core pasaron de 51 a 58 [3, 17]. Compró 2.000 acciones a 133,42 USD en mayo de 2026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Mimi L. Carsley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y tesorera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directora financiera de Atlas Air y de otras cotizadas. Ha llevado la recompra de 448 M del FY2026 y la nueva línea de crédito de 1.000 M; compró 375 acciones en mayo de 2026 [17,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C. Flanigan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de Leggett &amp; Platt; consejero coordinador desde 2012 y presidente desde julio de 2026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Shanon G. McLachlan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entrega y conversión de los nuevos clientes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Craig K. Morgan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jurídico y de cumplimiento [17].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2026: BPA GAAP 6,78-6,87 USD y ventas 2.520-2.530 M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6,98 USD y ventas 2.544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2026: margen operativo ajustado +75-95 pb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pb (24,1 %)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(trimestres)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BPA de cada trimestre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 batió en los cuatro trimestres y en el 4T25 [3,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nuevo pero de la casa: Adelson es consejero delegado desde julio de 2024 tras una sucesión anunciada con antelación, y la presidencia pasó de Foss (ex consejero delegado) a un independiente, Flanigan, en julio de 2026 [9, 17]. Cumplen o baten la guía: el BPA del FY2026 (6,98) superó la horquilla de mayo y el margen subió 92 pb dentro de la guía [3, 21]. Los directivos compraron acciones en mayo de 2026 cerca de mínimos (Adelson 0,27 M, Carsley 0,05 M); el único vendedor relevante fue Foss (3,5 M en diciembre de 2025, antes de retirarse) [19]. La participación de la dirección es pequeña (los 14 consejeros y directivos, &lt; 1 %) [17].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C. Flanigan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R. Adelson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H. Wilson,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A. Wimsett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Riesgos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Shruti S. Miyashiro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humano y retribuciones,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Wesley A.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(sale en la junta de 2026 por edad)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Curtis A. Campbell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Capital humano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Tammy S. LoCascio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humano y retribuciones (presidenta),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M. Nelson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Richard N. Preece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humano,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0,32 / ventas 3,54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julio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octubre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julio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Adelson y Carsley en mayo de 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Shanon G. McLachlan (director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B. Foss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Gregory R. Adelson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Mimi L. Carsley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60 % del variable a largo plazo son acciones por objetivos a tres años, a partes iguales: rentabilidad total para el accionista frente al S&amp;P 900, crecimiento orgánico anual de las ventas y expansión del margen operativo ajustado; el 40 % restante son acciones que se consolidan con el tiempo [17]. Premia crecer y mejorar márgenes, no rentabilidad sobre el capital, pero el crecimiento medido es orgánico (sin compras ni desconversiones), lo que evita premiar compras caras [17]. El voto consultivo de la junta de 2025 dio un 91 % a favor [9, 17]. El consejero delegado cobró 8,41 M en el FY2026 (87 veces el empleado mediano) [17].</w:t>
      </w:r>
    </w:p>
    <w:p>
      <w:pPr>
        <w:pStyle w:val="Heading2"/>
      </w:pPr>
      <w:r>
        <w:t xml:space="preserve">Operaciones vinculadas, estructura de control y defensas</w:t>
      </w:r>
    </w:p>
    <w:p>
      <w:pPr>
        <w:spacing w:after="100"/>
      </w:pPr>
      <w:r>
        <w:t xml:space="preserve">Sin accionista de control: los cuatro mayores son gestoras de índices (25,3 % entre las cuatro líneas) [17]. Una acción, un voto; consejo de elección anual; presidente independiente desde julio de 2026 (antes consejero coordinador independiente desde 2012) [17]. La junta de 2025 rechazó una propuesta de accionistas para facilitar la convocatoria de juntas extraordinarias [9]. Sin operaciones vinculadas declaradas [17]. Edad máxima de los consejeros de 72 años, que aplica este año a Wesley Brown [17].</w:t>
      </w:r>
    </w:p>
    <w:p>
      <w:pPr>
        <w:pStyle w:val="Heading2"/>
      </w:pPr>
      <w:r>
        <w:t xml:space="preserve">Señales de alerta</w:t>
      </w:r>
    </w:p>
    <w:p>
      <w:pPr>
        <w:pStyle w:val="ListParagraph"/>
        <w:numPr>
          <w:ilvl w:val="0"/>
          <w:numId w:val="2"/>
        </w:numPr>
        <w:spacing w:after="60"/>
      </w:pPr>
      <w:r>
        <w:t xml:space="preserve">Incidente cibernético comunicado el 31-ago-2026, sin efecto en las operaciones según la empresa; vigilar si aparecen reclamaciones de clientes.</w:t>
      </w:r>
    </w:p>
    <w:p>
      <w:pPr>
        <w:pStyle w:val="ListParagraph"/>
        <w:numPr>
          <w:ilvl w:val="0"/>
          <w:numId w:val="2"/>
        </w:numPr>
        <w:spacing w:after="60"/>
      </w:pPr>
      <w:r>
        <w:t xml:space="preserve">Cambio de presidente del consejo en julio de 2026 (Foss se retira; Flanigan, independiente, le sustituye) [9].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FY2027 (18-ago-2026): ventas GAAP de 2.684-2.709 M (+5,5-6,5 %), margen operativo GAAP del 24,5-24,7 % y BPA GAAP de 7,33-7,38 USD (+5,0-5,7 %); en términos ajustados, ventas +6,3-7,3 % y margen +20-40 pb. Supone 23 M de desconversiones (43 M en FY2026) y ninguna compra [3]. En el día del inversor (16-sep-2026) la empresa dio por primera vez una perspectiva a dos años: crecimiento ajustado del 6,7-7,7 % en el FY2028 y del 7-8 % en el FY2029, y un objetivo de largo plazo del 7-8 % o más; conversión de caja libre del 80-100 % en el FY2027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13 analistas de BPA y 18 de ventas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13 analistas de BPA y 17 de ventas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158,00 – 209,00</w:t>
            </w:r>
          </w:p>
        </w:tc>
      </w:tr>
    </w:tbl>
    <w:p>
      <w:pPr>
        <w:spacing w:after="160" w:before="0"/>
      </w:pPr>
    </w:p>
    <w:p>
      <w:pPr>
        <w:pStyle w:val="Heading2"/>
      </w:pPr>
      <w:r>
        <w:t xml:space="preserve">Revisiones de estimaciones</w:t>
      </w:r>
    </w:p>
    <w:p>
      <w:pPr>
        <w:spacing w:after="100"/>
      </w:pPr>
      <w:r>
        <w:t xml:space="preserve">Al alza: el BPA del FY2027 pasó de 7,10 USD hace 90 días a 7,25 hoy (+2,1 %) y el del FY2028 de 7,68 a 7,90 (+2,9 %), tras una guía mejor de lo esperado (BPA 7,33-7,38 frente a 7,10 de consenso) [24]. El objetivo medio de 18 analistas es de 189,67 USD (158-209) [24]. Movimientos recientes: Barclays empezó con sobreponderar (170), KeyBanc con sobreponderar (190) y Piper Sandler subió a sobreponderar el 9-oct con objetivo de 175 por valoración [18]. Una sola fuente con estimaciones completas (Yahoo Finance); el BPA del consenso está por debajo de la guía GAAP porque parte de los analistas excluye las desconversiones.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Jack Henry lleva cinco años sin dar rentabilidad: −0,3 % anual con dividendos frente a +13,2 % del S&amp;P 500, y en 2026 cae un 13,9 % frente a +13,7 % del índice [23]. La acción tocó 193,39 USD en enero y 121,04 en junio: la caída del 3-feb (−7,3 %) coincidió con el castigo general al software por la IA, y la de mayo, con el miedo a las fusiones bancarias y a la conversión lenta de las victorias [23, 33]. Desde junio rebota un 28 % con la guía del FY2027 (+7,8 % el día de resultados) y tres subidas de recomendación; el 15-sep cayó un 6,4 % la víspera del día del inversor sin noticia identificada [18, 23, 30]. Beta mensual de 0,57 (0,71 ajustada) y volatilidad del 29,4 %: más volátil de lo habitual para una empresa tan estable [23].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Cotiza con el mayor descuento frente a su historia en ocho años: PER de los últimos doce meses de 22,2x frente a una media de 34,8x (−36 %, percentil 13) y EV/EBITDA de 13,0x frente a 19,4x [23]. Con la base adelantada que usa la regla (precio ÷ BPA del año siguiente), el cierre del FY2026 estuvo en 18,8x, frente a 25,8-44,7x en FY2019-FY2025. Parte de la caída es estructural: el bono a 10 años está al 5,21 % (≈ 2 % en 2019-2021) [25] y el crecimiento ha bajado de dos cifras a ≈ 7 %. Otra parte es sectorial (software y pagos castigados por la IA desde febrero de 2026), no propia: las cifras de Jack Henry baten su guía.</w:t>
      </w:r>
    </w:p>
    <w:p>
      <w:pPr>
        <w:pStyle w:val="Heading1"/>
      </w:pPr>
      <w:r>
        <w:t xml:space="preserve">18. Comparables cotizados</w:t>
      </w:r>
    </w:p>
    <w:p>
      <w:pPr>
        <w:pStyle w:val="Confianza"/>
        <w:spacing w:after="100"/>
      </w:pPr>
      <w:r>
        <w:t xml:space="preserve">Confianza: Media</w:t>
      </w:r>
    </w:p>
    <w:p>
      <w:pPr>
        <w:spacing w:after="100"/>
      </w:pPr>
      <w:r>
        <w:t xml:space="preserve">Proveedores de tecnología para bancos y entidades financieras que cotizan en EE. UU. y Europa: los dos rivales directos en el core (Fiserv y FIS), proveedores de proceso y software financiero de modelo recurrente (Broadridge, SS&amp;C, ACI Worldwide), banca digital y préstamos para bancos regionales (Q2, nCino) y el mayor proveedor de core europeo (Temenos). Fuera: Alkami (pérdidas), Global Payments (adquirencia de comercios) y Tyler (gobiernos). Ojo: casi todos dan BPA ajustado (sin amortización de compras ni pagos en acciones), que hace su PER más bajo que el GAAP de Jack Henry; el de FIS sube por la compra de Issuer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Henry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Broadridge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SS&amp;C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ACI Worldwide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Q2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nCino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Temenos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13,9x / 20,0x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13,1x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3,5x / 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bl>
    <w:p>
      <w:pPr>
        <w:spacing w:after="160" w:before="0"/>
      </w:pPr>
    </w:p>
    <w:p>
      <w:pPr>
        <w:spacing w:after="100"/>
      </w:pPr>
      <w:r>
        <w:t xml:space="preserve">Jack Henry cotiza con prima frente a los comparables: PER de los próximos doce meses de 20,9x frente a una mediana de 13,1x y EV/EBITDA de 13,0x frente a 13,9x. La prima en PER está justificada en parte: su BPA es GAAP (los demás, en su mayoría ajustado, más alto), no tiene deuda (Fiserv 3,0x, FIS 5,8x), su ROIC (23,6 %) triplica el de Fiserv y gana clientes a los dos grandes [14, 15]. Fiserv y FIS cotizan a 5,4x por sus problemas propios (Fiserv recortó su guía y crece en negativo; FIS se ha endeudado con Issuer Solutions) y deprimen la mediana. Los más parecidos en calidad (Broadridge 15,4x, Temenos 14,2x) siguen por debajo. Usaríamos el PER, pero no como ancla del valor: los comparables pesan 0 en la síntesis por la diferencia de bases.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Adquirencia de comercios; 8,5x EBITDA ajustado con sinergias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Issuer Solutions (Global Payments)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 de emisores de tarjetas, el negocio más parecido a Payments de Jack Henry; 12,3x EBITDA ajustado con sinergias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Bottomline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empresariales y banca digital; EV/ventas estimado con cuatro veces las ventas del trimestre a sep-21 (123,6 M; estimación propia) [29].</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del sector se han pagado a 8,5-12,3 veces el EBITDA ajustado con sinergias (Worldpay y el negocio de emisores de Global Payments en 2025) y a ≈ 5 veces las ventas (Bottomline, 2021) [28, 29]. Jack Henry cotiza a 13,0 veces el EBITDA de los últimos doce meses, por encima de esas referencias: no hay valor de control escondido en el precio. Como objetivo es poco probable: no tiene accionista de control, es grande (≈ 10.900 M de capitalización) y los compradores naturales (Fiserv, FIS) tienen deuda y problemas propios; el capital riesgo podría interesarse si el múltiplo sigue bajando. No hay prima de opa en la valoración (peso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+6,0 %: el centro de la guía GAAP (+5,5-6,5 %), que ya descuenta 20 M menos de desconversiones [3]. FY2028e +6,7 % y FY2029e +7,0 %: la parte baja de la perspectiva ajustada del día del inversor (6,7-7,7 % y 7-8 %), apoyada en las 58 victorias de core que se convierten en ingresos en 12-24 meses [10]. Después bajamos al 6,5-3,8 % hasta FY2034e, por debajo del crecimiento histórico (7,3 % anual en FY2019-FY2026) porque el universo de clientes se reduce con las fusiones. El crecimiento medio proyectado (5,8 %) queda por debajo del consenso de ventas (+5,9 % en FY2027 y +7,0 % en FY2028) [24].</w:t>
      </w:r>
    </w:p>
    <w:p>
      <w:pPr>
        <w:keepNext/>
        <w:spacing w:after="100"/>
      </w:pPr>
      <w:r>
        <w:rPr>
          <w:b/>
          <w:bCs/>
        </w:rPr>
        <w:t xml:space="preserve">Márgenes.</w:t>
      </w:r>
    </w:p>
    <w:p>
      <w:pPr>
        <w:spacing w:after="100"/>
      </w:pPr>
      <w:r>
        <w:t xml:space="preserve">Margen EBITDA del 33,1 % en el FY2027e (margen operativo de la guía, 24,5-24,7 %, más 8,5 % de amortización) [3], subiendo 20-40 pb al año hasta el 34,4 %, que es el ritmo que guía la empresa (el FY2026 subió 92 pb) [10]. No proyectamos el salto de margen que podría dar la IA en atención y desarrollo ni el apalancamiento de Banno; el margen se queda por debajo del de Fiserv (43 % ajustado) [14].</w:t>
      </w:r>
    </w:p>
    <w:p>
      <w:pPr>
        <w:keepNext/>
        <w:spacing w:after="100"/>
      </w:pPr>
      <w:r>
        <w:rPr>
          <w:b/>
          <w:bCs/>
        </w:rPr>
        <w:t xml:space="preserve">Inversión y circulante.</w:t>
      </w:r>
    </w:p>
    <w:p>
      <w:pPr>
        <w:spacing w:after="100"/>
      </w:pPr>
      <w:r>
        <w:t xml:space="preserve">Capex del 12,0 % de las ventas en el FY2027e bajando al 10,6 %: 10,0 % de equipos y software desarrollado (FY2026: 255,4 M) más ≈ 2 % por el aumento de los costes de contratos activados (57,8 M en FY2026), que no pasan por el capex del estado de flujos y son inversión de verdad [1, 3]. Amortización del 8,5-8,6 % (8,4 % en FY2026). Circulante del 0,8 % de las ventas (2,3 % en FY2026; −1,2 % a 1,8 % antes).</w:t>
      </w:r>
    </w:p>
    <w:p>
      <w:pPr>
        <w:keepNext/>
        <w:spacing w:after="100"/>
      </w:pPr>
      <w:r>
        <w:rPr>
          <w:b/>
          <w:bCs/>
        </w:rPr>
        <w:t xml:space="preserve">Coste del capital.</w:t>
      </w:r>
    </w:p>
    <w:p>
      <w:pPr>
        <w:spacing w:after="100"/>
      </w:pPr>
      <w:r>
        <w:t xml:space="preserve">Tasa libre del 5,21 % (bono de EE. UU. a 10 años del 13-oct) [25]; beta de 0,71, la mensual de cinco años ajustada (0,57 sin ajustar; 0,44 semanal) [23]; prima de mercado del 5,5 %; sin prima adicional (empresa sin deuda, ingresos recurrentes). Coste de la deuda del 5,5 % y peso del 1 %. WACC del 9,07 %. Con la prima implícita del mercado (4,2 %) el WACC baja al 8,2 % [26]. La valoración depende mucho de la beta: con 0,8 el DCF baja a ≈ 122 USD.</w:t>
      </w:r>
    </w:p>
    <w:p>
      <w:pPr>
        <w:keepNext/>
        <w:spacing w:after="100"/>
      </w:pPr>
      <w:r>
        <w:rPr>
          <w:b/>
          <w:bCs/>
        </w:rPr>
        <w:t xml:space="preserve">Valor terminal.</w:t>
      </w:r>
    </w:p>
    <w:p>
      <w:pPr>
        <w:spacing w:after="100"/>
      </w:pPr>
      <w:r>
        <w:t xml:space="preserve">Gordon con crecimiento del 3,0 %, entre la inflación esperada en USD (≈ 2,5 %) y la tasa libre menos medio punto. Implica un múltiplo de salida de ≈ 14 veces el EBITDA, por debajo de su historia (19,4x de media) y en línea con los comparables (13,9x).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(reinvierte el 57 %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(histórico: 29,5 %)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frente al 5,8 %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687 M, el 13 % del NOPAT, con un capex bruto medio del 11,3 % de las ventas). En un negocio de activos ligeros, el crecimiento medio del 5,8 %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nuevos clientes de core y Banno y más transacciones de tarjetas y pagos instantáneos (+49,5 % en FY2026), menos 20 M de desconversiones; precio: escaladores anuales de los contratos [3,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en ventas las victorias del FY2026 (Woodforest y 13 más de más de 1.000 M de activos)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 de la empresa del 7-8 % ajustado; tomamos la parte baja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fusiones bancarias siguen reduciendo el número de clientes; crecimiento por debajo de la historia.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nominal del sector.</w:t>
            </w:r>
          </w:p>
        </w:tc>
      </w:tr>
    </w:tbl>
    <w:p>
      <w:pPr>
        <w:spacing w:after="160" w:before="0"/>
      </w:pPr>
    </w:p>
    <w:p>
      <w:pPr>
        <w:spacing w:after="100"/>
      </w:pPr>
      <w:r>
        <w:t xml:space="preserve">Sí. La proyección pide un 5,8 % anual, por debajo del 7,3 % que ha logrado en siete años, y casi sin capital nuevo: la reinversión neta es el 13 % del NOPAT y, con la reinversión bruta (capex + circulante), el ROIC actual del 23,6 % financiaría un 13,4 % de crecimiento; el rendimiento que la proyección supone para la reinversión (10,2 %) es un tercio del incremental histórico (29,5 %). El motor coincide («Sí»). El crecimiento sale de precio (escaladores del 3-4 %) y de volumen ganado a Fiserv y FIS (58 victorias, retención &gt; 99 %), con un foso de costes de cambio de años [10]. Prueba de cuota a mano: con un 32 % de las entidades de más de 1.000 M de activos, crecer al 5,8 % no exige subir cuota en un mercado que, según IMARC, crece un 11 % al año [10, 11].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 (base: 34,4 %)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9,1 %)</w:t>
            </w:r>
          </w:p>
        </w:tc>
      </w:tr>
    </w:tbl>
    <w:p>
      <w:pPr>
        <w:spacing w:after="160" w:before="0"/>
      </w:pPr>
    </w:p>
    <w:p>
      <w:pPr>
        <w:spacing w:after="100"/>
      </w:pPr>
      <w:r>
        <w:t xml:space="preserve">El DCF da 131,92 USD por acción, un 15,0 % por debajo del precio, con un WACC del 9,07 % y el 66 % del valor en el terminal. El DCF inverso dice que el precio de 155,26 USD descuenta un crecimiento del 8,3 % anual en FY2027e-FY2034e (nuestro base: 5,8 %) o un margen EBITDA del 38,4 % (nuestro base: 34,4 %), es decir, una rentabilidad implícita del 8,2 %, por debajo de nuestro WACC del 9,1 % y igual a lo que pide hoy el mercado (8,2 %). Con la prima implícita del mercado el valor sube a 152,73 USD, un 1,6 % bajo el precio. Lectura: el precio no es exigente en relación con la historia (crecer un 8 % es lo que hizo en 2019-2026 y lo que la empresa promete para el FY2029), pero tampoco deja margen de seguridad con un bono al 5,2 %: hay que creer en la perspectiva del día del inversor para que salga a cuenta. La diferencia con el mercado es de tasa más que de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fusiones bancarias se aceleran con la desregulación, Fiserv y FIS bajan precios para recuperar clientes y las victorias tardan en convertirse: el crecimiento se queda en 3,5-4,5 % y el margen dos puntos por debajo (lo que pasó en FY2023-FY2024, cuando el margen cayó 2,3 puntos). WACC medio punto más alto.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del FY2027 y la parte baja de la perspectiva del FY2028-FY2029; el margen sube 20-40 pb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victorias de core y Banno fuera de su base suben el crecimiento al 8-8,5 % y la IA y la escala amplían el margen 1,5 puntos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55,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127,21 USD (-18,1 %).</w:t>
      </w:r>
    </w:p>
    <w:p>
      <w:pPr>
        <w:spacing w:after="100"/>
      </w:pPr>
      <w:r>
        <w:t xml:space="preserve">El DCF da 90,13 USD en el bajista (−41,9 %), 131,92 en el base (−15,0 %) y 154,85 en el alcista (−0,3 %): con un WACC del 9,07 % ni el alcista llega al precio, así que la asimetría del valor intrínseco es negativa. La lectura a 12 meses es otra: con la regla de múltiplos, el objetivo va de 128,47 a 269,33 USD y la ponderada da +24,4 %, porque supone que el PER sube de 21x a 23x. La distancia entre las dos lecturas es la tesis: la acción está barata frente a su historia, pero no frente a un descuento del 9 %.</w:t>
      </w:r>
    </w:p>
    <w:p>
      <w:pPr>
        <w:pStyle w:val="Heading1"/>
      </w:pPr>
      <w:r>
        <w:t xml:space="preserve">22. Suma de partes</w:t>
      </w:r>
    </w:p>
    <w:p>
      <w:pPr>
        <w:pStyle w:val="Confianza"/>
        <w:spacing w:after="100"/>
      </w:pPr>
      <w:r>
        <w:t xml:space="preserve">Confianza: Media</w:t>
      </w:r>
    </w:p>
    <w:p>
      <w:pPr>
        <w:spacing w:after="100"/>
      </w:pPr>
      <w:r>
        <w:t xml:space="preserve">No aplica: los cuatro segmentos venden a los mismos clientes (bancos y cooperativas de EE. UU.), comparten centros de datos y equipo comercial, y la empresa no publica el resultado operativo por segmento (solo el margen bruto).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55,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rPr>
          <w:b/>
          <w:bCs/>
        </w:rPr>
        <w:t xml:space="preserve">Valor intrínseco ponderado (largo plazo):</w:t>
      </w:r>
      <w:r>
        <w:t xml:space="preserve"> 129,57 USD (-16,5 % sobre 155,26).</w:t>
      </w:r>
    </w:p>
    <w:p>
      <w:pPr>
        <w:spacing w:after="100"/>
      </w:pPr>
      <w:r>
        <w:t xml:space="preserve">Pesos: DCF 50 % y escenarios 50 %. Comparables y transacciones pesan 0: los comparables usan BPA ajustado y están deprimidos por Fiserv y FIS (mediana de PER de 13,1x frente a 20,9x de Jack Henry), y las transacciones son de adquirencia y emisores, no de core. Dan valores por acción de 97,48 USD (PER) a 166,35 (EV/EBITDA): la dispersión entre métodos es grande y el DCF queda en medio. La síntesis da 129,57 USD (−16,5 %). El método más fiable aquí es el DCF, por la recurrencia de los ingresos, pero es muy sensible a la tasa: con la prima del mercado da 152,73.</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(21.2x) × 1.1 (tope: la mediana de 5 años, 26.6x,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269,33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+75,0 %</w:t>
            </w:r>
          </w:p>
        </w:tc>
      </w:tr>
    </w:tbl>
    <w:p>
      <w:pPr>
        <w:spacing w:after="160" w:before="0"/>
      </w:pPr>
    </w:p>
    <w:p>
      <w:pPr>
        <w:spacing w:after="100"/>
      </w:pPr>
      <w:r>
        <w:rPr>
          <w:b/>
          <w:bCs/>
        </w:rPr>
        <w:t xml:space="preserve">Objetivo a 12 meses (ponderado):</w:t>
      </w:r>
      <w:r>
        <w:t xml:space="preserve"> 190,79 USD · rentabilidad +24,4 % (base +19,2 %) · señal Mantener.</w:t>
      </w:r>
    </w:p>
    <w:p>
      <w:pPr>
        <w:spacing w:after="100"/>
      </w:pPr>
      <w:r>
        <w:t xml:space="preserve">Para comparar, con la regla v2 (historia al cierre, mismo precio): 19,7x / 21,2x / 27,6x, 14,8 % Mantener; con el tope anterior del base (×1,3, 14-oct mediodía): 25,5 %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FY2028e base (7,84 USD) está un 0,8 % por debajo del consenso (7,90) y nuestro FY2027e (7,31) un 0,8 % por encima (7,25), porque partimos de la guía GAAP, que incluye 23 M de desconversiones que algunos analistas excluyen [24]. Nuestro precio base a 12 meses (182,67) queda un 3,7 % bajo el objetivo medio de los analistas (189,67) y dentro de su rango (158-209).</w:t>
      </w:r>
    </w:p>
    <w:p>
      <w:pPr>
        <w:keepNext/>
        <w:spacing w:after="100"/>
      </w:pPr>
      <w:r>
        <w:rPr>
          <w:b/>
          <w:bCs/>
        </w:rPr>
        <w:t xml:space="preserve">Del valor intrínseco al objetivo a 12 meses.</w:t>
      </w:r>
    </w:p>
    <w:p>
      <w:pPr>
        <w:spacing w:after="100"/>
      </w:pPr>
      <w:r>
        <w:t xml:space="preserve">El objetivo a 12 meses (190,79 USD) está un 47 % por encima del valor intrínseco (129,57). La distancia sale de dos lecturas distintas del mismo negocio: la regla de múltiplos supone que el PER vuelve a mitad de camino hacia su historia (de 21,2x a 23,3x), mientras el DCF con un bono al 5,2 % vale el negocio a ≈ 17 veces el beneficio. Para cerrarla tendría que bajar el tipo de interés o subir el crecimiento por encima del 8 % que descuenta el precio. Los catalizadores con fecha son los resultados del 1T27 (3-nov) y del 2T27 (febrero). La tesis de valor real es a varios años y no se cumple al precio de hoy.</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el consenso espera BPA de 2,01 y ventas de 684 M [24].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Wesley Brown por edad; consejo de nueve tras la entrada de Richard Preece en agosto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y desconversiones del semestre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fusiones bancarias y de victorias de core.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 de monedas estables y depósitos tokenizados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Módulo con USDC listo; nuevos ingresos si la regulación lo permite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FY2027 y guía del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perspectiva del 6,7-7,7 %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la autorización pendiente (5,46 M de acciones, ≈ 8 %)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Apoya el BPA; la empresa habla de reducir más de un 11 % las acciones hasta el FY2029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bancaria más rápida (desregulación de 2025-2026)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(crecimiento 1 punto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Cobra desconversiones y gana cuando su cliente es el comprador; 32 % de las entidades de más de 1.000 M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Desconversiones trimestrales por encima de 15 M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de Fiserv y FIS para recuperar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del DCF: 90,13)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seis años y retención &gt; 99 %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Victorias competitivas de core por debajo de 45 al año o margen ajustado plano.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sustitución de módulos de banca digital, atención y fraude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productos con IA en marcha; el core es un sistema de registro regulado [13,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clientes de Banno o caída de los ingresos de banca digital por usuario.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lenta de las victorias en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(un año de retraso en el crecimiento del FY2028)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contratada de 8.441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ajustado del FY2028 por debajo del 6,7 %.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 e interrupciones del servicio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en un incidente grave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redundantes; el incidente de agosto de 2026 no afectó a las operaciones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Reclamaciones de clientes o del supervisor tras el incidente del 31-ago.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altos: el bono al 5,2 % comprime 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ingresos por intereses de la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 precios altos que dejan el balance sin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Crédito de 1.000 M sin usar casi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 vez el EBITDA.</w:t>
            </w:r>
          </w:p>
        </w:tc>
      </w:tr>
    </w:tbl>
    <w:p>
      <w:pPr>
        <w:spacing w:after="160" w:before="0"/>
      </w:pPr>
    </w:p>
    <w:p>
      <w:pPr>
        <w:pStyle w:val="Heading2"/>
      </w:pPr>
      <w:r>
        <w:t xml:space="preserve">Pre-mortem</w:t>
      </w:r>
    </w:p>
    <w:p>
      <w:pPr>
        <w:spacing w:after="100"/>
      </w:pPr>
      <w:r>
        <w:t xml:space="preserve">Octubre de 2029: la acción vale 93 USD, un 40 % menos. Lo que pasó: la desregulación bancaria de 2025-2026 desató una ola de fusiones entre bancos regionales; muchos clientes de Jack Henry fueron comprados por bancos más grandes que ya usaban Fiserv o FIS y se fueron al terminar sus contratos. Al mismo tiempo, Fiserv, con nuevo equipo y el negocio en caída, bajó precios en las renovaciones para frenar las salidas, y Jack Henry tuvo que igualarlos en las suyas. Las 58 victorias del FY2026 se convirtieron en ingresos, pero no compensaron: el crecimiento orgánico bajó del 7 % al 3-4 % en el FY2028 y el margen dejó de subir. La IA no sustituyó el core, pero abarató la banca digital: los bancos medianos empezaron a montar su aplicación con herramientas de IA y proveedores pequeños, y Banno perdió poder de precio. El mercado, con el bono por encima del 5 %, dejó de pagar 21 veces beneficios por un negocio que crece al 4 % y lo puso a 14x. Qué lo habría anticipado: las desconversiones por encima de 15 M por trimestre, las victorias de core por debajo de 45 al año y la guía del FY2028 por debajo del 6,7 %.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a 3-5 años (entre −10 % si pierde la banca digital y +5 % si cobra la IA como módulo)</w:t>
      </w:r>
    </w:p>
    <w:p>
      <w:pPr>
        <w:spacing w:after="100"/>
      </w:pPr>
      <w:r>
        <w:t xml:space="preserve">La IA no amenaza el core (≈ 30 % de las ventas): es un sistema de registro de depósitos y préstamos, certificado, examinado por los supervisores y que tarda 12-24 meses en cambiarse; un agente genérico no lo sustituye [13]. El riesgo está en lo que rodea al core: banca digital (Banno), atención al cliente, fraude y parte de Complementary (≈ 30 % de las ventas), donde la IA abarata desarrollar alternativas y los fintech compiten por módulos. Pagos (37 %) es proceso por transacción, poco expuesto. Jack Henry ya tiene 22 productos con IA en marcha y otros 20 previstos, y usa IA para automatizar desarrollo y atención, que puede subir el margen [16]. Señal: caída de los ingresos digitales por usuario o pérdida de clientes de Banno; en positivo, ingresos de módulos de IA citados en los resultados.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ciberseguridad y la continuidad del servicio: Jack Henry procesa los depósitos y pagos de unas 1.600 entidades; una caída o un robo de datos tendría coste directo y de reputación. El 31-ago-2026 la empresa comunicó un incidente cibernético sin efecto en las operaciones [18]. La plantilla (≈ 7.300 personas, mucho en remoto) es el otro asunto material [1].</w:t>
      </w:r>
    </w:p>
    <w:p>
      <w:pPr>
        <w:pStyle w:val="Heading2"/>
      </w:pPr>
      <w:r>
        <w:t xml:space="preserve">Controversias</w:t>
      </w:r>
    </w:p>
    <w:p>
      <w:pPr>
        <w:spacing w:after="100"/>
      </w:pPr>
      <w:r>
        <w:t xml:space="preserve">Incidente cibernético comunicado el 31-ago-2026, sin efecto en las operaciones según la empresa [18]. Sin sanciones ni litigios materiales declarados en el 10-K del FY2026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ampliación del margen se queda en 20-40 pb en el FY2027 si el FY2026 subió 92 pb, y qué margen esperan para el FY2029?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la palanca que separa nuestro base del valor que descuenta el precio (38,4 % frente a 34,4 %).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victorias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de los 58 clientes ganados en el FY2026 facturan ya, y cuánto aportan al crecimiento del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perspectiva del 6,7-7,7 %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desconversiones viene de clientes comprados por entidades que no son clientes, y cómo ha cambiado con la desregulación?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pérdida estructural de clientes.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tenido que bajar precios en renovaciones frente a ofertas de Fiserv o FIS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ingresan hoy por productos con IA y cuánto ahorran en desarrollo y atención?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amenaza u oportunidad neta.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deuda están dispuestos a llegar para recomprar y a qué precio dejan de hacerlo?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Recompraron 448 M a 152 USD con la caja a 12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datos se vieron afectados en el incidente de agosto y hay reclamaciones?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reputación en un negocio de confianza.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inversores de corto plazo vieron «flojos» los resultados del 4T por la caída del margen trimestral; desde septiembre se repiten las subidas de recomendación (KeyBanc, Barclays, Piper) como «llamada de valoración: el múltiplo se comprimió y el negocio no»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con títulos como «una de las valoraciones más bajas en años» (agosto) frente a «la calidad sigue, pero el crecimiento se frena» (marzo)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(cartas de gestoras)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Gestoras de pequeñas compañías de calidad (Conestoga) explican la caída por la rotación hacia valores de IA y de beta alta, no por el negocio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Trefis y resúmenes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Preocupan el plazo en que las victorias de core se convierten en ingresos y la exposición a la IA; la acción cayó un 13 % entre el 24-ago y el 23-sep [16,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varios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PER adelantado de hoy (≈ 21x con nuestro BPA) está por debajo de todos los cierres de ejercicio desde 2019 (25,8-44,7x).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la rotación del mercado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castigo es sectorial (software y pagos desde febrero); el core regulado es de riesgo bajo, la banca digital de riesgo medio (sección de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Fusiones bancarias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Reducen clientes pero pagan desconversiones (42,8 M en FY2026); la guía del FY2027 supone 23 M.</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del 4T y guía del FY2027 (+5 % de BPA)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 bajó por menos desconversiones y gastos médicos; la guía ajustada sube el margen 20-40 pb.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Victorias frente a Fiserv y FIS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Confirmado: 58 victorias de core y Woodforest; se notarán en ventas en el FY2028-FY2029 (perspectiva 7-8 %).</w:t>
            </w:r>
          </w:p>
        </w:tc>
      </w:tr>
    </w:tbl>
    <w:p>
      <w:pPr>
        <w:spacing w:after="160" w:before="0"/>
      </w:pPr>
    </w:p>
    <w:p>
      <w:pPr>
        <w:spacing w:after="100"/>
      </w:pPr>
      <w:r>
        <w:t xml:space="preserve">El sentimiento de los particulares fue negativo en verano (resultados «flojos», margen del 4T, rotación hacia la IA) y mejora desde septiembre con tres subidas de recomendación que se presentan como pura valoración. No hay euforia ni capitulación: es la visión del consenso de analistas (15 de 20 compran). Lo que aporta: el mercado castiga a Jack Henry por pertenecer al software y a los pagos, no por sus cifras, que baten la guía. El riesgo que señalan los foros (conversión lenta de las victorias, IA) ya está en el informe.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34 (13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0,8 % frente a 2,3 % real: genera una variación de circulante de -38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los trimestres del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del FY2026 (solo comparan con el FY2025); 2) XBRL trimestral de la SEC (no descargado por tiempo); 3) no hace falta para la decisión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Fiserv y FIS (bases GAAP con amortización de compras enormes, no comparables); 2) Yahoo Finance (solo EBITDA); 3) Finastra y Corelation no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2) 10-K FY2026; 3) sin búsqueda web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de las juntas de 2023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2025 (solo esa junta); 2) proxy 2026 (solo el 91 % de 2025); 3) no buscado en los 8-K de 2023-2024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Nasdaq (no descargado); 2) Yahoo (no en la consulta); 3) sin más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(solo BPA y ventas); 2) MarketScreener (no consultado por tiempo); 3) la empresa no da guía de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Fiserv-First Data y FIS-Worldpay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2) nota de Global Payments; 3) proxies de 2019 no descargados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mercado_final (prueba de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(solo número de entidades); 2) IMARC y The Business Research Company (software de core mundial, no incluye pagos ni banca digital, el 70 % de las ventas); 3) cuota de la empresa en entidades de más de 1.000 M (32 %)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prueba de cuota se hace a mano en la justificación de la sostenibilidad</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cerrado el 30-jun-2026 (cuentas, notas de segmentos, intangibles, contratos, deuda,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https://www.sec.gov/Archives/edgar/data/779152/000077915226000067/jkhy-20260630.htm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cerrado el 30-jun-2024 (flujos FY2022-FY2024, segmentos FY2022-FY2024)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https://www.sec.gov/cgi-bin/browse-edgar?action=getcompany&amp;CIK=0000779152&amp;type=10-K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FY2026 y guía FY2027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https://www.sec.gov/Archives/edgar/data/779152/000077915226000057/jkhy-20260630xex99pressrel.htm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 FY2026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https://www.sec.gov/Archives/edgar/data/779152/000077915226000021/jkhy-20260331xex99pressrel.htm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 FY2026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https://www.sec.gov/Archives/edgar/data/779152/000077915226000007/jkhy-20251231xex99pressrel.htm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 FY2026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https://www.sec.gov/Archives/edgar/data/779152/000077915225000090/jkhy-20250930xex99pressrel.htm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la SEC (CIK 779152): cuenta, balance y flujos FY2017-FY2026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https://data.sec.gov/api/xbrl/companyfacts/CIK0000779152.json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anuncia los ingresos por desconversión del 4T y del FY2026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https://www.sec.gov/Archives/edgar/data/779152/000077915226000052/jkhy-prdatedaugust112026xq.htm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nuevo crédito sindicado de 1.000 M a cinco años (25-mar-2026)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https://www.sec.gov/Archives/edgar/data/779152/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Investor Day 2026: resumen (perspectiva FY2028-FY2029, cuota del 32 % en entidades de más de 1.000 M, retención &gt; 99 %)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https://quartr.com/events/jack-henry-associates-inc-jkhy-investor-day-2026_3PLXgARh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Core Banking Software Market Size, Share, Trends and Forecast 2026-2034 (18.200 M USD en 2025, +11,35 %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https://imarcgroup.com/core-banking-software-market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Core Banking Software Global Market Report (14.430 M USD en 2025; 22.940 M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https://www.gii.tw/report/tbrc1658921-core-banking-software-global-market-report.html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de aplicaciones: ficha sectorial corta (mapa del riesgo de IA por tipo de software)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(sectores/software-2026-10-14.md)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sectores/software-2026-10-14.md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análisis value del repositorio (crecimiento orgánico negativo en 2026, día del inversor)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(informes/fiserv-2026-10-14)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informes/fiserv-2026-10-14/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estadísticas clave y estimaciones de FIS, Fiserv, Q2, nCino, Alkami, Temenos y ACI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https://finance.yahoo.com/quote/FIS/key-statistics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Q4 2026 earnings: resumen (58 victorias de proceso central, Woodforest 9.200 M de activos, «trifecta» 59 %)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AllInvestView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https://www.allinvestview.com/earnings/JKHY/q4-2026/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19-nov-2026: consejo, comisiones, remuneración,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https://www.sec.gov/Archives/edgar/data/779152/000077915226000088/jkhy-20261001.htm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JKHY: subida de Piper Sandler a sobreponderar (9-oct), incidente cibernético (31-ago), día del inversor (16-sep)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https://seekingalpha.com/api/sa/combined/JKHY.xml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14-oct-2025 y el 14-oct-2026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https://www.sec.gov/cgi-bin/browse-edgar?action=getcompany&amp;CIK=0000779152&amp;type=4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Richard Preece como consejero (20-ago-2026)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https://www.sec.gov/Archives/edgar/data/779152/000077915226000060/jkhy-20260820.htm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 Stock: Is Wall Street Bullish or Bearish? (guía FY2026 de mayo: BPA 6,78-6,87; ventas 2.520-2.530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https://finance.yahoo.com/markets/stocks/articles/jack-henry-associates-stock-wall-100332629.html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outlines 75-95 bps FY2026 non-GAAP margin expansion (3T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https://seekingalpha.com/symbol/JKHY/news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JKHY, SPY y XLF (herramientas/bolsa.mjs): precio, rango, betas, rentabilidades,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https://finance.yahoo.com/quote/JKHY/history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JKHY: estimaciones de analistas (BPA y ventas FY2027-FY2028, revisiones a 30 y 90 días),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https://finance.yahoo.com/quote/JKHY/analysis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 (USD 1,1195; CHF 0,9330)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Announces Agreements to Acquire Worldpay and Divest Issuer Solutions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(Form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completes $2.6B acquisition of Bottomline (57 USD por acción, prima del 42 %)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https://www.spglobal.com/market-intelligence/en/news-insights/articles/2022/5/thoma-bravo-completes-2-6b-acquisition-of-bottomline-70346061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JKHY: hilo de mensajes (≈ 30 leídos,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https://stocktwits.com/symbol/JKHY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JKHY: titulares y artículos de análisis (≈ 30, marzo-octubre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https://seekingalpha.com/symbol/JKHY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 (JKHY) Fell Despite Robust Results (carta de Conestoga Capital,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https://www.insidermonkey.com/blog/jack-henry-associates-jkhy-fell-despite-robust-results-1807739/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&amp; Associates: análisis y riesgos (conversión de victorias, exposición a la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https://www.trefis.com/data/companies/jkhy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Riverwater Partners: carta a inversores del 1T 2026 (origen de la idea)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Riverwater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https://riverwaterpartners.com/insights/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88,4 %</w:t>
      </w:r>
      <w:r>
        <w:t xml:space="preserve"> · Secciones con menos del 60 % de campos cubiertos: </w:t>
      </w:r>
      <w:r>
        <w:rPr>
          <w:b/>
          <w:bCs/>
        </w:rPr>
        <w:t xml:space="preserve">ninguna</w:t>
      </w:r>
      <w:r>
        <w:t xml:space="preserve"> · Generado el 15 oct 2026.</w:t>
      </w:r>
    </w:p>
    <w:p>
      <w:pPr>
        <w:pStyle w:val="Nota"/>
        <w:spacing w:after="100"/>
      </w:pPr>
      <w:r>
        <w:t xml:space="preserve">Ejercicio a 30 de junio, etiquetado por el año en que termina (FY2026 = julio de 2025 a junio de 2026). Precio: cierre del 14-oct-2026 en el Nasdaq (155,26 USD; la sesión del 15-oct no había abierto a la hora del corte). Acciones: 70,4 M (70,11 M en circulación el 12-ago-2026 más ≈ 0,3 M de dilución); el puente es el balance del 30-jun-2026 y no recoge las recompras posteriores (si las hubo, se financiaron con caja o crédito y el efecto neto por acción es pequeño). US GAAP: los arrendamientos operativos (37,8 M) no van al puente ni al balance histórico del informe porque su gasto ya está en el EBITDA. EBITDA = EBIT + depreciación + amortización del estado de flujos (el XBRL solo da la depreciación). Capex = equipos + software comprado + software desarrollado y activado. Segmentos solo FY2024-FY2026 (los años anteriores no están reexpresados con la segmentación vigente). Consenso de una sola fuente con estimaciones completas (Yahoo Finance). Comparables con BPA ajustado en su mayoría frente al GAAP de Jack Henry. Para el comprador en EUR: 155,26 USD = 138,69 EUR por acción (BCE 14-oct, 1,1195 [27]), el 0,46 %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Jack Henry &amp; Associates, Inc. (JKHY)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155,26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(121,04 – 193,39)</c:v>
                </c:pt>
                <c:pt idx="1">
                  <c:v>Precio objetivo de los analistas (158,00 – 209,00)</c:v>
                </c:pt>
                <c:pt idx="2">
                  <c:v>Comparables: PER NTM (70,32 – 107,89)</c:v>
                </c:pt>
                <c:pt idx="3">
                  <c:v>DCF (WACC y g ± 0,5) (115,79 – 154,32)</c:v>
                </c:pt>
                <c:pt idx="4">
                  <c:v>Escenarios (bajista – alcista) (90,13 – 154,85)</c:v>
                </c:pt>
                <c:pt idx="5">
                  <c:v>DCF con la prima implícita del mercado (4,2 %)</c:v>
                </c:pt>
                <c:pt idx="6">
                  <c:v>Precio actual (155,26)</c:v>
                </c:pt>
              </c:strCache>
            </c:strRef>
          </c:cat>
          <c:val>
            <c:numRef>
              <c:f>Hoja1!$B$2:$B$8</c:f>
              <c:numCache>
                <c:formatCode>#,##0</c:formatCode>
                <c:ptCount val="7"/>
                <c:pt idx="0">
                  <c:v>121.04</c:v>
                </c:pt>
                <c:pt idx="1">
                  <c:v>158</c:v>
                </c:pt>
                <c:pt idx="2">
                  <c:v>70.32</c:v>
                </c:pt>
                <c:pt idx="3">
                  <c:v>115.79</c:v>
                </c:pt>
                <c:pt idx="4">
                  <c:v>90.13</c:v>
                </c:pt>
                <c:pt idx="5">
                  <c:v>141.78</c:v>
                </c:pt>
                <c:pt idx="6">
                  <c:v>154.48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(121,04 – 193,39)</c:v>
                </c:pt>
                <c:pt idx="1">
                  <c:v>Precio objetivo de los analistas (158,00 – 209,00)</c:v>
                </c:pt>
                <c:pt idx="2">
                  <c:v>Comparables: PER NTM (70,32 – 107,89)</c:v>
                </c:pt>
                <c:pt idx="3">
                  <c:v>DCF (WACC y g ± 0,5) (115,79 – 154,32)</c:v>
                </c:pt>
                <c:pt idx="4">
                  <c:v>Escenarios (bajista – alcista) (90,13 – 154,85)</c:v>
                </c:pt>
                <c:pt idx="5">
                  <c:v>DCF con la prima implícita del mercado (4,2 %)</c:v>
                </c:pt>
                <c:pt idx="6">
                  <c:v>Precio actual (155,26)</c:v>
                </c:pt>
              </c:strCache>
            </c:strRef>
          </c:cat>
          <c:val>
            <c:numRef>
              <c:f>Hoja1!$C$2:$C$8</c:f>
              <c:numCache>
                <c:formatCode>#,##0</c:formatCode>
                <c:ptCount val="7"/>
                <c:pt idx="0">
                  <c:v>72.34999999999998</c:v>
                </c:pt>
                <c:pt idx="1">
                  <c:v>51</c:v>
                </c:pt>
                <c:pt idx="2">
                  <c:v>37.57000000000001</c:v>
                </c:pt>
                <c:pt idx="3">
                  <c:v>38.52999999999999</c:v>
                </c:pt>
                <c:pt idx="4">
                  <c:v>64.72</c:v>
                </c:pt>
                <c:pt idx="5">
                  <c:v>31.150000000000006</c:v>
                </c:pt>
                <c:pt idx="6">
                  <c:v>1.5600000000000023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Core</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685.3</c:v>
                </c:pt>
                <c:pt idx="1">
                  <c:v>732.9</c:v>
                </c:pt>
                <c:pt idx="2">
                  <c:v>768.5</c:v>
                </c:pt>
              </c:numCache>
            </c:numRef>
          </c:val>
        </c:ser>
        <c:ser>
          <c:idx val="1"/>
          <c:order val="1"/>
          <c:tx>
            <c:strRef>
              <c:f>Hoja1!$C$1</c:f>
              <c:strCache>
                <c:ptCount val="1"/>
                <c:pt idx="0">
                  <c:v>Payments</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817.7</c:v>
                </c:pt>
                <c:pt idx="1">
                  <c:v>873.5</c:v>
                </c:pt>
                <c:pt idx="2">
                  <c:v>936</c:v>
                </c:pt>
              </c:numCache>
            </c:numRef>
          </c:val>
        </c:ser>
        <c:ser>
          <c:idx val="2"/>
          <c:order val="2"/>
          <c:tx>
            <c:strRef>
              <c:f>Hoja1!$D$1</c:f>
              <c:strCache>
                <c:ptCount val="1"/>
                <c:pt idx="0">
                  <c:v>Complementary</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636.1</c:v>
                </c:pt>
                <c:pt idx="1">
                  <c:v>694.8</c:v>
                </c:pt>
                <c:pt idx="2">
                  <c:v>752.2</c:v>
                </c:pt>
              </c:numCache>
            </c:numRef>
          </c:val>
        </c:ser>
        <c:ser>
          <c:idx val="3"/>
          <c:order val="3"/>
          <c:tx>
            <c:strRef>
              <c:f>Hoja1!$E$1</c:f>
              <c:strCache>
                <c:ptCount val="1"/>
                <c:pt idx="0">
                  <c:v>Corporate Services</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76.5</c:v>
                </c:pt>
                <c:pt idx="1">
                  <c:v>74.1</c:v>
                </c:pt>
                <c:pt idx="2">
                  <c:v>87.7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Core</c:v>
                </c:pt>
                <c:pt idx="1">
                  <c:v>Payments</c:v>
                </c:pt>
                <c:pt idx="2">
                  <c:v>Complementary</c:v>
                </c:pt>
                <c:pt idx="3">
                  <c:v>Corporate Services</c:v>
                </c:pt>
              </c:strCache>
            </c:strRef>
          </c:cat>
          <c:val>
            <c:numRef>
              <c:f>Hoja1!$B$2:$B$5</c:f>
              <c:numCache>
                <c:formatCode>General</c:formatCode>
                <c:ptCount val="4"/>
                <c:pt idx="0">
                  <c:v>30.2</c:v>
                </c:pt>
                <c:pt idx="1">
                  <c:v>36.8</c:v>
                </c:pt>
                <c:pt idx="2">
                  <c:v>29.6</c:v>
                </c:pt>
                <c:pt idx="3">
                  <c:v>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Estados Unidos</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(software de core mundial, IMARC))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18200</c:v>
                </c:pt>
                <c:pt idx="1">
                  <c:v>20266</c:v>
                </c:pt>
                <c:pt idx="2">
                  <c:v>22566</c:v>
                </c:pt>
                <c:pt idx="3">
                  <c:v>25128</c:v>
                </c:pt>
                <c:pt idx="4">
                  <c:v>27980</c:v>
                </c:pt>
                <c:pt idx="5">
                  <c:v>31157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Jack Henry</c:v>
                </c:pt>
                <c:pt idx="1">
                  <c:v>Fiserv</c:v>
                </c:pt>
                <c:pt idx="2">
                  <c:v>FIS (Fidelity National Information Services)</c:v>
                </c:pt>
                <c:pt idx="3">
                  <c:v>Finastra</c:v>
                </c:pt>
                <c:pt idx="4">
                  <c:v>Corelation</c:v>
                </c:pt>
                <c:pt idx="5">
                  <c:v>Q2 Holdings</c:v>
                </c:pt>
                <c:pt idx="6">
                  <c:v>Alkami Technology</c:v>
                </c:pt>
              </c:strCache>
            </c:strRef>
          </c:cat>
          <c:val>
            <c:numRef>
              <c:f>Hoja1!$B$2:$B$8</c:f>
              <c:numCache>
                <c:formatCode>0.0"%"</c:formatCode>
                <c:ptCount val="7"/>
                <c:pt idx="0">
                  <c:v>24.7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strCache>
            </c:strRef>
          </c:cat>
          <c:val>
            <c:numRef>
              <c:f>Hoja1!$B$2:$B$17</c:f>
              <c:numCache>
                <c:formatCode>#,##0</c:formatCode>
                <c:ptCount val="16"/>
                <c:pt idx="0">
                  <c:v>1552.7</c:v>
                </c:pt>
                <c:pt idx="1">
                  <c:v>1697.1</c:v>
                </c:pt>
                <c:pt idx="2">
                  <c:v>1758.2</c:v>
                </c:pt>
                <c:pt idx="3">
                  <c:v>1942.9</c:v>
                </c:pt>
                <c:pt idx="4">
                  <c:v>2077.7</c:v>
                </c:pt>
                <c:pt idx="5">
                  <c:v>2215.5</c:v>
                </c:pt>
                <c:pt idx="6">
                  <c:v>2375.3</c:v>
                </c:pt>
                <c:pt idx="7">
                  <c:v>2544.3</c:v>
                </c:pt>
                <c:pt idx="8">
                  <c:v>2697</c:v>
                </c:pt>
                <c:pt idx="9">
                  <c:v>2878</c:v>
                </c:pt>
                <c:pt idx="10">
                  <c:v>3079</c:v>
                </c:pt>
                <c:pt idx="11">
                  <c:v>3279</c:v>
                </c:pt>
                <c:pt idx="12">
                  <c:v>3476</c:v>
                </c:pt>
                <c:pt idx="13">
                  <c:v>3667</c:v>
                </c:pt>
                <c:pt idx="14">
                  <c:v>3832</c:v>
                </c:pt>
                <c:pt idx="15">
                  <c:v>3978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strCache>
            </c:strRef>
          </c:cat>
          <c:val>
            <c:numRef>
              <c:f>Hoja1!$C$2:$C$17</c:f>
              <c:numCache>
                <c:formatCode>#,##0</c:formatCode>
                <c:ptCount val="16"/>
                <c:pt idx="0">
                  <c:v>508</c:v>
                </c:pt>
                <c:pt idx="1">
                  <c:v>552.4</c:v>
                </c:pt>
                <c:pt idx="2">
                  <c:v>574.4</c:v>
                </c:pt>
                <c:pt idx="3">
                  <c:v>652.2</c:v>
                </c:pt>
                <c:pt idx="4">
                  <c:v>671.4</c:v>
                </c:pt>
                <c:pt idx="5">
                  <c:v>689.3</c:v>
                </c:pt>
                <c:pt idx="6">
                  <c:v>773.5</c:v>
                </c:pt>
                <c:pt idx="7">
                  <c:v>841.4000000000001</c:v>
                </c:pt>
                <c:pt idx="8">
                  <c:v>893</c:v>
                </c:pt>
                <c:pt idx="9">
                  <c:v>964</c:v>
                </c:pt>
                <c:pt idx="10">
                  <c:v>1041</c:v>
                </c:pt>
                <c:pt idx="11">
                  <c:v>1115</c:v>
                </c:pt>
                <c:pt idx="12">
                  <c:v>1189</c:v>
                </c:pt>
                <c:pt idx="13">
                  <c:v>1258</c:v>
                </c:pt>
                <c:pt idx="14">
                  <c:v>1318</c:v>
                </c:pt>
                <c:pt idx="15">
                  <c:v>1368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40.6</c:v>
                </c:pt>
                <c:pt idx="1">
                  <c:v>40.6</c:v>
                </c:pt>
                <c:pt idx="2">
                  <c:v>39.5</c:v>
                </c:pt>
                <c:pt idx="3">
                  <c:v>41.9</c:v>
                </c:pt>
                <c:pt idx="4">
                  <c:v>41.3</c:v>
                </c:pt>
                <c:pt idx="5">
                  <c:v>41.3</c:v>
                </c:pt>
                <c:pt idx="6">
                  <c:v>42.7</c:v>
                </c:pt>
                <c:pt idx="7">
                  <c:v>43.7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32.7</c:v>
                </c:pt>
                <c:pt idx="1">
                  <c:v>32.5</c:v>
                </c:pt>
                <c:pt idx="2">
                  <c:v>32.7</c:v>
                </c:pt>
                <c:pt idx="3">
                  <c:v>33.6</c:v>
                </c:pt>
                <c:pt idx="4">
                  <c:v>32.3</c:v>
                </c:pt>
                <c:pt idx="5">
                  <c:v>31.1</c:v>
                </c:pt>
                <c:pt idx="6">
                  <c:v>32.6</c:v>
                </c:pt>
                <c:pt idx="7">
                  <c:v>33.1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22.4</c:v>
                </c:pt>
                <c:pt idx="1">
                  <c:v>22.4</c:v>
                </c:pt>
                <c:pt idx="2">
                  <c:v>22.7</c:v>
                </c:pt>
                <c:pt idx="3">
                  <c:v>24.4</c:v>
                </c:pt>
                <c:pt idx="4">
                  <c:v>23.1</c:v>
                </c:pt>
                <c:pt idx="5">
                  <c:v>22.1</c:v>
                </c:pt>
                <c:pt idx="6">
                  <c:v>23.9</c:v>
                </c:pt>
                <c:pt idx="7">
                  <c:v>24.7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Hoja1!$E$2:$E$9</c:f>
              <c:numCache>
                <c:formatCode>0"%"</c:formatCode>
                <c:ptCount val="8"/>
                <c:pt idx="0">
                  <c:v>17.5</c:v>
                </c:pt>
                <c:pt idx="1">
                  <c:v>17.5</c:v>
                </c:pt>
                <c:pt idx="2">
                  <c:v>17.7</c:v>
                </c:pt>
                <c:pt idx="3">
                  <c:v>18.7</c:v>
                </c:pt>
                <c:pt idx="4">
                  <c:v>17.6</c:v>
                </c:pt>
                <c:pt idx="5">
                  <c:v>17.2</c:v>
                </c:pt>
                <c:pt idx="6">
                  <c:v>19.2</c:v>
                </c:pt>
                <c:pt idx="7">
                  <c:v>19.8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4">
                  <c:v>7.3</c:v>
                </c:pt>
                <c:pt idx="5">
                  <c:v>7.9</c:v>
                </c:pt>
                <c:pt idx="6">
                  <c:v>8.7</c:v>
                </c:pt>
                <c:pt idx="7">
                  <c:v>4.7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Hoja1!$C$2:$C$9</c:f>
              <c:numCache>
                <c:formatCode>0.0"%"</c:formatCode>
                <c:ptCount val="8"/>
                <c:pt idx="4">
                  <c:v>8.7</c:v>
                </c:pt>
                <c:pt idx="5">
                  <c:v>6.7</c:v>
                </c:pt>
                <c:pt idx="6">
                  <c:v>7.3</c:v>
                </c:pt>
                <c:pt idx="7">
                  <c:v>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73</c:v>
                </c:pt>
                <c:pt idx="1">
                  <c:v>65</c:v>
                </c:pt>
                <c:pt idx="2">
                  <c:v>64</c:v>
                </c:pt>
                <c:pt idx="3">
                  <c:v>65</c:v>
                </c:pt>
                <c:pt idx="4">
                  <c:v>63</c:v>
                </c:pt>
                <c:pt idx="5">
                  <c:v>55</c:v>
                </c:pt>
                <c:pt idx="6">
                  <c:v>49</c:v>
                </c:pt>
                <c:pt idx="7">
                  <c:v>50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4</c:v>
                </c:pt>
                <c:pt idx="1">
                  <c:v>4</c:v>
                </c:pt>
                <c:pt idx="2">
                  <c:v>6</c:v>
                </c:pt>
                <c:pt idx="3">
                  <c:v>7</c:v>
                </c:pt>
                <c:pt idx="4">
                  <c:v>6</c:v>
                </c:pt>
                <c:pt idx="5">
                  <c:v>7</c:v>
                </c:pt>
                <c:pt idx="6">
                  <c:v>8</c:v>
                </c:pt>
                <c:pt idx="7">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260.40000000000003</c:v>
                </c:pt>
                <c:pt idx="1">
                  <c:v>333</c:v>
                </c:pt>
                <c:pt idx="2">
                  <c:v>304.3</c:v>
                </c:pt>
                <c:pt idx="3">
                  <c:v>313.20000000000005</c:v>
                </c:pt>
                <c:pt idx="4">
                  <c:v>174.60000000000002</c:v>
                </c:pt>
                <c:pt idx="5">
                  <c:v>335.6</c:v>
                </c:pt>
                <c:pt idx="6">
                  <c:v>410.3</c:v>
                </c:pt>
                <c:pt idx="7">
                  <c:v>506.6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271.9</c:v>
                </c:pt>
                <c:pt idx="1">
                  <c:v>296.7</c:v>
                </c:pt>
                <c:pt idx="2">
                  <c:v>311.5</c:v>
                </c:pt>
                <c:pt idx="3">
                  <c:v>362.9</c:v>
                </c:pt>
                <c:pt idx="4">
                  <c:v>366.6</c:v>
                </c:pt>
                <c:pt idx="5">
                  <c:v>381.8</c:v>
                </c:pt>
                <c:pt idx="6">
                  <c:v>455.7</c:v>
                </c:pt>
                <c:pt idx="7">
                  <c:v>502.8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20.4</c:v>
                </c:pt>
                <c:pt idx="1">
                  <c:v>22.2</c:v>
                </c:pt>
                <c:pt idx="2">
                  <c:v>23.1</c:v>
                </c:pt>
                <c:pt idx="3">
                  <c:v>25.9</c:v>
                </c:pt>
                <c:pt idx="4">
                  <c:v>22.4</c:v>
                </c:pt>
                <c:pt idx="5">
                  <c:v>19.6</c:v>
                </c:pt>
                <c:pt idx="6">
                  <c:v>22.2</c:v>
                </c:pt>
                <c:pt idx="7">
                  <c:v>23.6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9.1</c:v>
                </c:pt>
                <c:pt idx="1">
                  <c:v>9.1</c:v>
                </c:pt>
                <c:pt idx="2">
                  <c:v>9.1</c:v>
                </c:pt>
                <c:pt idx="3">
                  <c:v>9.1</c:v>
                </c:pt>
                <c:pt idx="4">
                  <c:v>9.1</c:v>
                </c:pt>
                <c:pt idx="5">
                  <c:v>9.1</c:v>
                </c:pt>
                <c:pt idx="6">
                  <c:v>9.1</c:v>
                </c:pt>
                <c:pt idx="7">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19</c:v>
                </c:pt>
                <c:pt idx="1">
                  <c:v>19.9</c:v>
                </c:pt>
                <c:pt idx="2">
                  <c:v>21.7</c:v>
                </c:pt>
                <c:pt idx="3">
                  <c:v>26.9</c:v>
                </c:pt>
                <c:pt idx="4">
                  <c:v>24.5</c:v>
                </c:pt>
                <c:pt idx="5">
                  <c:v>22.1</c:v>
                </c:pt>
                <c:pt idx="6">
                  <c:v>22.9</c:v>
                </c:pt>
                <c:pt idx="7">
                  <c:v>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-0.18</c:v>
                </c:pt>
                <c:pt idx="1">
                  <c:v>-0.39</c:v>
                </c:pt>
                <c:pt idx="2">
                  <c:v>0.09</c:v>
                </c:pt>
                <c:pt idx="3">
                  <c:v>0.1</c:v>
                </c:pt>
                <c:pt idx="4">
                  <c:v>0.39</c:v>
                </c:pt>
                <c:pt idx="5">
                  <c:v>0.16</c:v>
                </c:pt>
                <c:pt idx="6">
                  <c:v>-0.13</c:v>
                </c:pt>
                <c:pt idx="7">
                  <c:v>0.03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2031</c:v>
                </c:pt>
              </c:strCache>
            </c:strRef>
          </c:cat>
          <c:val>
            <c:numRef>
              <c:f>Hoja1!$B$2</c:f>
              <c:numCache>
                <c:formatCode>#,##0</c:formatCode>
                <c:ptCount val="1"/>
                <c:pt idx="0">
                  <c:v>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20</c:v>
                </c:pt>
                <c:pt idx="1">
                  <c:v>30.4</c:v>
                </c:pt>
                <c:pt idx="2">
                  <c:v>2.3</c:v>
                </c:pt>
                <c:pt idx="3">
                  <c:v>0</c:v>
                </c:pt>
                <c:pt idx="4">
                  <c:v>229.6</c:v>
                </c:pt>
                <c:pt idx="5">
                  <c:v>0</c:v>
                </c:pt>
                <c:pt idx="6">
                  <c:v>0</c:v>
                </c:pt>
                <c:pt idx="7">
                  <c:v>42.4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118.7</c:v>
                </c:pt>
                <c:pt idx="1">
                  <c:v>127.4</c:v>
                </c:pt>
                <c:pt idx="2">
                  <c:v>133.8</c:v>
                </c:pt>
                <c:pt idx="3">
                  <c:v>139.1</c:v>
                </c:pt>
                <c:pt idx="4">
                  <c:v>147.2</c:v>
                </c:pt>
                <c:pt idx="5">
                  <c:v>155.9</c:v>
                </c:pt>
                <c:pt idx="6">
                  <c:v>164.6</c:v>
                </c:pt>
                <c:pt idx="7">
                  <c:v>170.4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54.9</c:v>
                </c:pt>
                <c:pt idx="1">
                  <c:v>71.5</c:v>
                </c:pt>
                <c:pt idx="2">
                  <c:v>431.5</c:v>
                </c:pt>
                <c:pt idx="3">
                  <c:v>193.9</c:v>
                </c:pt>
                <c:pt idx="4">
                  <c:v>25</c:v>
                </c:pt>
                <c:pt idx="5">
                  <c:v>28.1</c:v>
                </c:pt>
                <c:pt idx="6">
                  <c:v>35.1</c:v>
                </c:pt>
                <c:pt idx="7">
                  <c:v>448.2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Vanguard Capital Management</c:v>
                </c:pt>
                <c:pt idx="1">
                  <c:v>BlackRock</c:v>
                </c:pt>
                <c:pt idx="2">
                  <c:v>State Street</c:v>
                </c:pt>
                <c:pt idx="3">
                  <c:v>Vanguard Portfolio Management</c:v>
                </c:pt>
                <c:pt idx="4">
                  <c:v>Consejeros y directivos (14 personas)</c:v>
                </c:pt>
              </c:strCache>
            </c:strRef>
          </c:cat>
          <c:val>
            <c:numRef>
              <c:f>Hoja1!$B$2:$B$6</c:f>
              <c:numCache>
                <c:formatCode>0.0"%"</c:formatCode>
                <c:ptCount val="5"/>
                <c:pt idx="0">
                  <c:v>7.7</c:v>
                </c:pt>
                <c:pt idx="1">
                  <c:v>6.8</c:v>
                </c:pt>
                <c:pt idx="2">
                  <c:v>5.7</c:v>
                </c:pt>
                <c:pt idx="3">
                  <c:v>5.1</c:v>
                </c:pt>
                <c:pt idx="4">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15.2</c:v>
                </c:pt>
                <c:pt idx="1">
                  <c:v>33.3</c:v>
                </c:pt>
                <c:pt idx="2">
                  <c:v>9.4</c:v>
                </c:pt>
                <c:pt idx="3">
                  <c:v>16.4</c:v>
                </c:pt>
                <c:pt idx="4">
                  <c:v>12.4</c:v>
                </c:pt>
                <c:pt idx="5">
                  <c:v>4.3</c:v>
                </c:pt>
                <c:pt idx="6">
                  <c:v>6.2</c:v>
                </c:pt>
                <c:pt idx="7">
                  <c:v>-5.7</c:v>
                </c:pt>
                <c:pt idx="8">
                  <c:v>8.7</c:v>
                </c:pt>
                <c:pt idx="9">
                  <c:v>5.5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20.2</c:v>
                </c:pt>
                <c:pt idx="1">
                  <c:v>25.2</c:v>
                </c:pt>
                <c:pt idx="2">
                  <c:v>21.6</c:v>
                </c:pt>
                <c:pt idx="3">
                  <c:v>20.4</c:v>
                </c:pt>
                <c:pt idx="4">
                  <c:v>18.6</c:v>
                </c:pt>
                <c:pt idx="5">
                  <c:v>17.7</c:v>
                </c:pt>
                <c:pt idx="6">
                  <c:v>16.9</c:v>
                </c:pt>
                <c:pt idx="7">
                  <c:v>11.8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0.0"x"</c:formatCode>
                <c:ptCount val="8"/>
                <c:pt idx="0">
                  <c:v>19.4</c:v>
                </c:pt>
                <c:pt idx="1">
                  <c:v>19.4</c:v>
                </c:pt>
                <c:pt idx="2">
                  <c:v>19.4</c:v>
                </c:pt>
                <c:pt idx="3">
                  <c:v>19.4</c:v>
                </c:pt>
                <c:pt idx="4">
                  <c:v>19.4</c:v>
                </c:pt>
                <c:pt idx="5">
                  <c:v>19.4</c:v>
                </c:pt>
                <c:pt idx="6">
                  <c:v>19.4</c:v>
                </c:pt>
                <c:pt idx="7">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Worldpay</c:v>
                </c:pt>
                <c:pt idx="1">
                  <c:v>Issuer Solutions (Global Payments)</c:v>
                </c:pt>
                <c:pt idx="2">
                  <c:v>Bottomline Technologies</c:v>
                </c:pt>
              </c:strCache>
            </c:strRef>
          </c:cat>
          <c:val>
            <c:numRef>
              <c:f>Hoja1!$B$2:$B$4</c:f>
              <c:numCache>
                <c:formatCode>0.0"x"</c:formatCode>
                <c:ptCount val="3"/>
                <c:pt idx="0">
                  <c:v>8.5</c:v>
                </c:pt>
                <c:pt idx="1">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455</c:v>
                </c:pt>
                <c:pt idx="1">
                  <c:v>458</c:v>
                </c:pt>
                <c:pt idx="2">
                  <c:v>503</c:v>
                </c:pt>
                <c:pt idx="3">
                  <c:v>548</c:v>
                </c:pt>
                <c:pt idx="4">
                  <c:v>593</c:v>
                </c:pt>
                <c:pt idx="5">
                  <c:v>636</c:v>
                </c:pt>
                <c:pt idx="6">
                  <c:v>676</c:v>
                </c:pt>
                <c:pt idx="7">
                  <c:v>710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3144</c:v>
                </c:pt>
                <c:pt idx="1">
                  <c:v>6172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155,26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90.13</c:v>
                </c:pt>
                <c:pt idx="1">
                  <c:v>131.92</c:v>
                </c:pt>
                <c:pt idx="2">
                  <c:v>154.85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155,26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(121,04 – 193,39)</c:v>
                </c:pt>
                <c:pt idx="1">
                  <c:v>Precio objetivo de los analistas (158,00 – 209,00)</c:v>
                </c:pt>
                <c:pt idx="2">
                  <c:v>Comparables: PER NTM (70,32 – 107,89)</c:v>
                </c:pt>
                <c:pt idx="3">
                  <c:v>DCF (WACC y g ± 0,5) (115,79 – 154,32)</c:v>
                </c:pt>
                <c:pt idx="4">
                  <c:v>Escenarios (bajista – alcista) (90,13 – 154,85)</c:v>
                </c:pt>
                <c:pt idx="5">
                  <c:v>DCF con la prima implícita del mercado (4,2 %)</c:v>
                </c:pt>
                <c:pt idx="6">
                  <c:v>Precio actual (155,26)</c:v>
                </c:pt>
              </c:strCache>
            </c:strRef>
          </c:cat>
          <c:val>
            <c:numRef>
              <c:f>Hoja1!$B$2:$B$8</c:f>
              <c:numCache>
                <c:formatCode>#,##0</c:formatCode>
                <c:ptCount val="7"/>
                <c:pt idx="0">
                  <c:v>121.04</c:v>
                </c:pt>
                <c:pt idx="1">
                  <c:v>158</c:v>
                </c:pt>
                <c:pt idx="2">
                  <c:v>70.32</c:v>
                </c:pt>
                <c:pt idx="3">
                  <c:v>115.79</c:v>
                </c:pt>
                <c:pt idx="4">
                  <c:v>90.13</c:v>
                </c:pt>
                <c:pt idx="5">
                  <c:v>141.78</c:v>
                </c:pt>
                <c:pt idx="6">
                  <c:v>154.48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(121,04 – 193,39)</c:v>
                </c:pt>
                <c:pt idx="1">
                  <c:v>Precio objetivo de los analistas (158,00 – 209,00)</c:v>
                </c:pt>
                <c:pt idx="2">
                  <c:v>Comparables: PER NTM (70,32 – 107,89)</c:v>
                </c:pt>
                <c:pt idx="3">
                  <c:v>DCF (WACC y g ± 0,5) (115,79 – 154,32)</c:v>
                </c:pt>
                <c:pt idx="4">
                  <c:v>Escenarios (bajista – alcista) (90,13 – 154,85)</c:v>
                </c:pt>
                <c:pt idx="5">
                  <c:v>DCF con la prima implícita del mercado (4,2 %)</c:v>
                </c:pt>
                <c:pt idx="6">
                  <c:v>Precio actual (155,26)</c:v>
                </c:pt>
              </c:strCache>
            </c:strRef>
          </c:cat>
          <c:val>
            <c:numRef>
              <c:f>Hoja1!$C$2:$C$8</c:f>
              <c:numCache>
                <c:formatCode>#,##0</c:formatCode>
                <c:ptCount val="7"/>
                <c:pt idx="0">
                  <c:v>72.34999999999998</c:v>
                </c:pt>
                <c:pt idx="1">
                  <c:v>51</c:v>
                </c:pt>
                <c:pt idx="2">
                  <c:v>37.57000000000001</c:v>
                </c:pt>
                <c:pt idx="3">
                  <c:v>38.52999999999999</c:v>
                </c:pt>
                <c:pt idx="4">
                  <c:v>64.72</c:v>
                </c:pt>
                <c:pt idx="5">
                  <c:v>31.150000000000006</c:v>
                </c:pt>
                <c:pt idx="6">
                  <c:v>1.5600000000000023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