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Exchange, Inc.</w:t>
      </w:r>
    </w:p>
    <w:p>
      <w:pPr>
        <w:spacing w:after="60"/>
        <w:rPr>
          <w:color w:val="52514E"/>
          <w:sz w:val="22"/>
          <w:szCs w:val="22"/>
        </w:rPr>
      </w:pPr>
      <w:r>
        <w:rPr>
          <w:color w:val="52514E"/>
          <w:sz w:val="22"/>
          <w:szCs w:val="22"/>
        </w:rPr>
        <w:t xml:space="preserve">ICE · New York Stock Exchange · ISIN US45866F1049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160,42 USD · mercado 173,73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+6,4 % · mercado +15,2 %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85.969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Exchange,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ICE / US45866F1049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EE. UU.)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152,59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121,79 – 176,05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85.969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519 M USD/día (3,40 M de acciones; 64 sesiones hasta el 7-oct-2026)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160,42 USD</w:t>
      </w:r>
      <w:r>
        <w:t xml:space="preserve"> frente a 152,59 · con la prima implícita del mercado: 173,73 (+13,9 %) · Rentabilidad total esperada a 12 meses </w:t>
      </w:r>
      <w:r>
        <w:rPr>
          <w:b/>
          <w:bCs/>
        </w:rPr>
        <w:t xml:space="preserve">+6,4 %</w:t>
      </w:r>
      <w:r>
        <w:t xml:space="preserve"> · Alcista / bajista +26,6 % / -31,4 %</w:t>
      </w:r>
    </w:p>
    <w:p>
      <w:pPr>
        <w:spacing w:after="100"/>
      </w:pPr>
      <w:r>
        <w:rPr>
          <w:b/>
        </w:rPr>
        <w:t xml:space="preserve">La recomendación y por qué.</w:t>
      </w:r>
      <w:r>
        <w:t xml:space="preserve"> Comprar, con convicción baja. El valor objetivo es de 160,42 USD, un 5,1 % sobre el precio de 152,59 USD, y la rentabilidad total esperada a 12 meses, del 6,4 % con el dividendo. Con nuestro WACC del 8,84 % la regla da Mantener: el alcista gana un 26,6 % y el bajista pierde un 31,4 %. Con la prima de riesgo que hoy pide el mercado (4,2 %), el valor sube a 173,73 USD, la rentabilidad total al 15,2 % y la asimetría a 1,93 veces: Comprar. Manda esta regla relativa. Las dos reglas discrepan solo por la tasa de descuento, porque nuestras cifras coinciden con el consenso; de ahí la convicción baja. ICE rinde más de lo que pide el mercado, pero no cubre con holgura nuestro coste de capital: si el mercado corrige, también caerá.</w:t>
      </w:r>
    </w:p>
    <w:p>
      <w:pPr>
        <w:spacing w:after="100"/>
      </w:pPr>
      <w:r>
        <w:rPr>
          <w:b/>
        </w:rPr>
        <w:t xml:space="preserve">El negocio.</w:t>
      </w:r>
      <w:r>
        <w:t xml:space="preserve"> Infraestructura de mercado con un margen EBITDA del 66 % en 2025, solo por debajo de CME entre sus comparables [60], y un 51 % de ingresos recurrentes [1]. El Brent y el TTF tienen efectos de red. El ROIC contable es del 8,1 %, por debajo del WACC, porque el capital invertido es sobre todo el fondo de comercio de Ellie Mae y Black Knight [1]. El ROIC incremental de 2021-2025 es del 11,5 %.</w:t>
      </w:r>
    </w:p>
    <w:p>
      <w:pPr>
        <w:spacing w:after="100"/>
      </w:pPr>
      <w:r>
        <w:rPr>
          <w:b/>
        </w:rPr>
        <w:t xml:space="preserve">Finanzas.</w:t>
      </w:r>
      <w:r>
        <w:t xml:space="preserve"> Los ingresos netos crecieron un 8,6 % anual en 2021-2025 y un 12,5 % en el 1S26, por la energía [1, 8]. La deuda neta ajustada es de 18.828 M USD, 2,7 veces el EBITDA, con calificación A3/A- [83]. Subirá con MarketAxess (5.580 M de valor empresa, 13,0 veces su EBITDA) [75, 76] hasta unas 3,4 veces, y la dirección promete volver a 3 en 18-24 meses [16]. La conversión de beneficio en caja es alta (119 % en 2021-2025). La amortización de intangibles adquiridos (994 M en 2025) separa el BPA contable del ajustado [1].</w:t>
      </w:r>
    </w:p>
    <w:p>
      <w:pPr>
        <w:spacing w:after="100"/>
      </w:pPr>
      <w:r>
        <w:rPr>
          <w:b/>
        </w:rPr>
        <w:t xml:space="preserve">Equipo y gobierno.</w:t>
      </w:r>
      <w:r>
        <w:t xml:space="preserve"> Cumple 10 de 13 criterios. Resta que Jeffrey Sprecher, de 71 años, sea presidente y primer ejecutivo desde 2000 sin sucesor anunciado. Los directivos vendieron 92,9 M USD en 12 meses sin ninguna compra, todo dentro de planes 10b5-1 [43]. La guía de gastos y capex solo se cumplió entera en 2022; en 2023-2025, a medias, con el capex por encima del techo [5, 9, 10, 51, 52, 53].</w:t>
      </w:r>
    </w:p>
    <w:p>
      <w:pPr>
        <w:spacing w:after="100"/>
      </w:pPr>
      <w:r>
        <w:rPr>
          <w:b/>
        </w:rPr>
        <w:t xml:space="preserve">Valoración.</w:t>
      </w:r>
      <w:r>
        <w:t xml:space="preserve"> El DCF da 154,01 USD y el DCF inverso dice que el precio descuenta un 4,6 % de crecimiento anual en 2027-2035 con un margen del 66,5 %. Es nuestra base, y es menos que lo que ICE ha crecido. Los comparables (179,17 USD) y la suma de partes (167,40 USD) dan más: ICE cotiza a 13,3 veces el EBITDA de los próximos 12 meses, frente a la mediana de 15,7 de CME, Nasdaq, Deutsche Börse y los demás, y a 14,4 veces el de los últimos 12, por debajo de su mínimo de cinco años (15,6). No discrepamos en las cifras, sino en el descuento por la energía y las hipotecas, que creemos excesivo.</w:t>
      </w:r>
    </w:p>
    <w:p>
      <w:pPr>
        <w:spacing w:after="100"/>
      </w:pPr>
      <w:r>
        <w:rPr>
          <w:b/>
        </w:rPr>
        <w:t xml:space="preserve">Riesgos y catalizadores.</w:t>
      </w:r>
      <w:r>
        <w:t xml:space="preserve"> El mayor riesgo es que la volatilidad de la energía se normalice en 2027: es el escenario bajista, a 104,71 USD. Le siguen la tasa libre al 5,27 %, que resta un 9 % por cada medio punto de WACC, y la integración de MarketAxess. Catalizadores: resultados del 3T26 y junta de MarketAxess, ambos el 29 de octubre, con un volumen medio diario del trimestre un 31 % mayor [35]; compensación de repos del Tesoro en el 4T26 [1]; y cierre de MarketAxess en el 1S27.</w:t>
      </w:r>
    </w:p>
    <w:p>
      <w:pPr>
        <w:spacing w:after="100"/>
      </w:pPr>
      <w:r>
        <w:rPr>
          <w:b/>
        </w:rPr>
        <w:t xml:space="preserve">Qué cambiaría la decisión.</w:t>
      </w:r>
      <w:r>
        <w:t xml:space="preserve"> Por debajo de 152,72 USD, la compra cumple las dos reglas. Por encima de 186,57, vender. Pasaríamos a Mantener si el interés abierto de energía cae en tasa interanual, si la guía de gastos ajustados de 2027 supera un crecimiento del 6 % o si el bono a 10 años sube del 5,75 %.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160,42 USD</w:t>
      </w:r>
      <w:r>
        <w:t xml:space="preserve"> (+5,1 % sobre 152,59; rentabilidad total esperada +6,4 %) · con la prima implícita del mercado: 173,73 (+13,9 %)</w:t>
      </w:r>
    </w:p>
    <w:p>
      <w:pPr>
        <w:spacing w:after="100"/>
      </w:pPr>
      <w:r>
        <w:t xml:space="preserve">ICE es dueña de los contratos de referencia del petróleo (Brent) y del gas europeo (TTF), de la NYSE, de uno de los grandes proveedores de precios de renta fija y de los sistemas de referencia de la hipoteca en EE. UU. (Encompass y MSP) [1]. Ganó 9.931 M USD de ingresos netos en 2025, con un margen EBITDA del 66 % y un 51 % de ingresos recurrentes, y convierte en caja el 119 % de su beneficio [1].</w:t>
      </w:r>
    </w:p>
    <w:p>
      <w:pPr>
        <w:spacing w:after="100"/>
      </w:pPr>
      <w:r>
        <w:t xml:space="preserve">El precio descuenta poco más que el consenso. El DCF inverso implica un crecimiento del 4,6 % anual en 2027-2035 con un margen del 66,5 %, frente a un 8,6 % histórico, y una rentabilidad del 8,9 %, igual a nuestro WACC. Por múltiplos, ICE cotiza a 13,3 veces el EBITDA de los próximos 12 meses, frente a 15,7 de la mediana de sus comparables [56, 60, 61, 62, 63, 64, 65, 66], y en el mínimo de su historia reciente.</w:t>
      </w:r>
    </w:p>
    <w:p>
      <w:pPr>
        <w:spacing w:after="100"/>
      </w:pPr>
      <w:r>
        <w:t xml:space="preserve">El mercado tiene razón en dos cosas: 2026 es un año de volatilidad excepcional en energía, que se compara mal en 2027, y el negocio hipotecario no ha devuelto lo que costó. Se equivoca, creemos, en el tamaño del descuento: la mayor parte del valor está en Exchanges, con interés abierto en récord [35], y en datos que crecen un 7-8 % al año [6]. Para invertir hay que creer que la volatilidad de 2026 deja una base de interés abierto mayor y no solo un pico de volumen, y que MarketAxess se paga a un precio razonable (13,0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frente a 8,8 %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frente a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152,72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152,72 y 186,57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186,57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interés abierto de energía cae en tasa interanual dos meses seguidos, pasaríamos a Mantener.</w:t>
      </w:r>
    </w:p>
    <w:p>
      <w:pPr>
        <w:pStyle w:val="ListParagraph"/>
        <w:numPr>
          <w:ilvl w:val="0"/>
          <w:numId w:val="2"/>
        </w:numPr>
        <w:spacing w:after="60"/>
      </w:pPr>
      <w:r>
        <w:t xml:space="preserve">Si la acción sube por encima de 186,57 USD sin cambios en las cifras, pasaríamos a Vender.</w:t>
      </w:r>
    </w:p>
    <w:p>
      <w:pPr>
        <w:pStyle w:val="ListParagraph"/>
        <w:numPr>
          <w:ilvl w:val="0"/>
          <w:numId w:val="2"/>
        </w:numPr>
        <w:spacing w:after="60"/>
      </w:pPr>
      <w:r>
        <w:t xml:space="preserve">Si los ingresos de 2027 del consenso bajan más de un 5 % (de 11.664 M USD), revisaríamos a la baja.</w:t>
      </w:r>
    </w:p>
    <w:p>
      <w:pPr>
        <w:pStyle w:val="ListParagraph"/>
        <w:numPr>
          <w:ilvl w:val="0"/>
          <w:numId w:val="2"/>
        </w:numPr>
        <w:spacing w:after="60"/>
      </w:pPr>
      <w:r>
        <w:t xml:space="preserve">Si el bono a 10 años de EE. UU. supera el 5,75 %, el DCF bajaría a unos 140 USD y pasaríamos a Mantener.</w:t>
      </w:r>
    </w:p>
    <w:p>
      <w:pPr>
        <w:pStyle w:val="ListParagraph"/>
        <w:numPr>
          <w:ilvl w:val="0"/>
          <w:numId w:val="2"/>
        </w:numPr>
        <w:spacing w:after="60"/>
      </w:pPr>
      <w:r>
        <w:t xml:space="preserve">Si MarketAxess se cierra con una deuda neta por encima de 3,5 veces el EBITDA, revisaríamos el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volumen en energía que se deshará en 2027, que Mortgage Technology seguirá rindiendo menos que su coste y que MarketAxess añade riesgo de integración y deuda. Por eso paga 13,3 veces el EBITDA de los próximos 12 meses, menos que cualquier bolsa grande salvo LSEG, y 14,4 veces el de los últimos 12, el mínimo de cinco años.</w:t>
      </w:r>
    </w:p>
    <w:p>
      <w:pPr>
        <w:keepNext/>
        <w:spacing w:after="100"/>
      </w:pPr>
      <w:r>
        <w:rPr>
          <w:b/>
          <w:bCs/>
        </w:rPr>
        <w:t xml:space="preserve">Lo que creemos nosotros.</w:t>
      </w:r>
    </w:p>
    <w:p>
      <w:pPr>
        <w:spacing w:after="100"/>
      </w:pPr>
      <w:r>
        <w:t xml:space="preserve">Compartimos las cifras del consenso (las nuestras difieren menos de un 2 %), pero no el descuento. Con la prima de riesgo que hoy pide el mercado, ICE vale 173,73 USD, y la suma de partes da 167,40 USD aun con Mortgage Technology a 13 veces su EBITDA. No tenemos una visión distinta del negocio: la diferencia está en la tasa de descuento.</w:t>
      </w:r>
    </w:p>
    <w:p>
      <w:pPr>
        <w:keepNext/>
        <w:spacing w:after="100"/>
      </w:pPr>
      <w:r>
        <w:rPr>
          <w:b/>
          <w:bCs/>
        </w:rPr>
        <w:t xml:space="preserve">Por qué podemos tener razón.</w:t>
      </w:r>
    </w:p>
    <w:p>
      <w:pPr>
        <w:spacing w:after="100"/>
      </w:pPr>
      <w:r>
        <w:t xml:space="preserve">El interés abierto (no solo el volumen) marca récords en tipos y en agrícolas, y crece en gas, un 17 % en el TTF en septiembre [35]: eso sostiene ingresos futuros. Los ingresos recurrentes crecen un 8 % [6]. Pero si el interés abierto de energía deja de crecer, el mercado tendrá razón.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y caja de primera</w:t>
      </w:r>
      <w:r>
        <w:t xml:space="preserve">: margen EBITDA del 66 % y conversión del beneficio en caja del 119 % en 2021-2025.</w:t>
      </w:r>
    </w:p>
    <w:p>
      <w:pPr>
        <w:pStyle w:val="ListParagraph"/>
        <w:numPr>
          <w:ilvl w:val="0"/>
          <w:numId w:val="2"/>
        </w:numPr>
        <w:spacing w:after="60"/>
      </w:pPr>
      <w:r>
        <w:rPr>
          <w:b/>
        </w:rPr>
        <w:t xml:space="preserve">Barato frente a sus pares y a su historia</w:t>
      </w:r>
      <w:r>
        <w:t xml:space="preserve">: 13,3 veces el EBITDA de los próximos 12 meses frente a 15,7 de la mediana, y 14,4 veces el de los últimos 12, frente a un mínimo de cinco años de 15,6.</w:t>
      </w:r>
    </w:p>
    <w:p>
      <w:pPr>
        <w:pStyle w:val="ListParagraph"/>
        <w:numPr>
          <w:ilvl w:val="0"/>
          <w:numId w:val="2"/>
        </w:numPr>
        <w:spacing w:after="60"/>
      </w:pPr>
      <w:r>
        <w:rPr>
          <w:b/>
        </w:rPr>
        <w:t xml:space="preserve">Interés abierto récord</w:t>
      </w:r>
      <w:r>
        <w:t xml:space="preserve">: volumen medio diario del 3T26 un 31 % mayor y TTF con un 17 % más de interés abierto en septiembre [35].</w:t>
      </w:r>
    </w:p>
    <w:p>
      <w:pPr>
        <w:pStyle w:val="ListParagraph"/>
        <w:numPr>
          <w:ilvl w:val="0"/>
          <w:numId w:val="2"/>
        </w:numPr>
        <w:spacing w:after="60"/>
      </w:pPr>
      <w:r>
        <w:rPr>
          <w:b/>
        </w:rPr>
        <w:t xml:space="preserve">Recurrencia</w:t>
      </w:r>
      <w:r>
        <w:t xml:space="preserve">: el 51 % de los ingresos es recurrente, y crecía un 8 % en el 2T26 [1, 6].</w:t>
      </w:r>
    </w:p>
    <w:p>
      <w:pPr>
        <w:pStyle w:val="ListParagraph"/>
        <w:numPr>
          <w:ilvl w:val="0"/>
          <w:numId w:val="2"/>
        </w:numPr>
        <w:spacing w:after="60"/>
      </w:pPr>
      <w:r>
        <w:rPr>
          <w:b/>
        </w:rPr>
        <w:t xml:space="preserve">La regla relativa da Comprar</w:t>
      </w:r>
      <w:r>
        <w:t xml:space="preserve">: rentabilidad total esperada del 15,2 % y asimetría de 1,93 veces con la prima que pide el mercado.</w:t>
      </w:r>
    </w:p>
    <w:p>
      <w:pPr>
        <w:pStyle w:val="Heading2"/>
      </w:pPr>
      <w:r>
        <w:t xml:space="preserve">En contra</w:t>
      </w:r>
    </w:p>
    <w:p>
      <w:pPr>
        <w:pStyle w:val="ListParagraph"/>
        <w:numPr>
          <w:ilvl w:val="0"/>
          <w:numId w:val="2"/>
        </w:numPr>
        <w:spacing w:after="60"/>
      </w:pPr>
      <w:r>
        <w:rPr>
          <w:b/>
        </w:rPr>
        <w:t xml:space="preserve">Comparación difícil en 2027</w:t>
      </w:r>
      <w:r>
        <w:t xml:space="preserve">: la energía creció un 46 % en el 1T26 [7]; el bajista (104,71 USD) pierde un 31,4 %.</w:t>
      </w:r>
    </w:p>
    <w:p>
      <w:pPr>
        <w:pStyle w:val="ListParagraph"/>
        <w:numPr>
          <w:ilvl w:val="0"/>
          <w:numId w:val="2"/>
        </w:numPr>
        <w:spacing w:after="60"/>
      </w:pPr>
      <w:r>
        <w:rPr>
          <w:b/>
        </w:rPr>
        <w:t xml:space="preserve">No cubre nuestro coste de capital con holgura</w:t>
      </w:r>
      <w:r>
        <w:t xml:space="preserve">: el DCF (154,01 USD) está al precio y la regla absoluta da Mantener.</w:t>
      </w:r>
    </w:p>
    <w:p>
      <w:pPr>
        <w:pStyle w:val="ListParagraph"/>
        <w:numPr>
          <w:ilvl w:val="0"/>
          <w:numId w:val="2"/>
        </w:numPr>
        <w:spacing w:after="60"/>
      </w:pPr>
      <w:r>
        <w:rPr>
          <w:b/>
        </w:rPr>
        <w:t xml:space="preserve">ROIC del 8,1 %</w:t>
      </w:r>
      <w:r>
        <w:t xml:space="preserve">, por debajo del WACC del 8,84 %, por el fondo de comercio de las compras hipotecarias [1].</w:t>
      </w:r>
    </w:p>
    <w:p>
      <w:pPr>
        <w:pStyle w:val="ListParagraph"/>
        <w:numPr>
          <w:ilvl w:val="0"/>
          <w:numId w:val="2"/>
        </w:numPr>
        <w:spacing w:after="60"/>
      </w:pPr>
      <w:r>
        <w:rPr>
          <w:b/>
        </w:rPr>
        <w:t xml:space="preserve">Más deuda</w:t>
      </w:r>
      <w:r>
        <w:t xml:space="preserve">: MarketAxess lleva el apalancamiento a unas 3,4 veces el EBITDA [16].</w:t>
      </w:r>
    </w:p>
    <w:p>
      <w:pPr>
        <w:pStyle w:val="ListParagraph"/>
        <w:numPr>
          <w:ilvl w:val="0"/>
          <w:numId w:val="2"/>
        </w:numPr>
        <w:spacing w:after="60"/>
      </w:pPr>
      <w:r>
        <w:rPr>
          <w:b/>
        </w:rPr>
        <w:t xml:space="preserve">Sucesión abierta</w:t>
      </w:r>
      <w:r>
        <w:t xml:space="preserve">: presidente y primer ejecutivo de 71 años desde 2000; directivos vendiendo 92,9 M USD sin compras [38, 43].</w:t>
      </w:r>
    </w:p>
    <w:p>
      <w:pPr>
        <w:pStyle w:val="Heading2"/>
      </w:pPr>
      <w:r>
        <w:t xml:space="preserve">Qué tiene que pasar para que la tesis funcione</w:t>
      </w:r>
    </w:p>
    <w:p>
      <w:pPr>
        <w:spacing w:after="100"/>
      </w:pPr>
      <w:r>
        <w:t xml:space="preserve">La tesis depende de que la volatilidad de 2026 deje una base mayor de interés abierto en energía, tipos y agrícolas, y no solo un pico de volumen. La señal está en las estadísticas mensuales de ICE: si el interés abierto de energía pasa a caer en tasa interanual (en septiembre crecía un 4 % [35]) mientras el volumen se desinfla, el escenario bajista gana peso. La segunda señal es la guía de gastos de febrero de 2027 con MarketAxess dentro.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los ingresos de 2027 frente al pico de volumen de 2026 [35].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51 % de los ingresos y el suelo de la valoración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originación hipotecaria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185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las bajas de clientes de Encompass y el ciclo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3,5 veces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y recompras dependen de ello [83].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5,75 %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punto de WACC mueve el valor un 9 % [55].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21,0x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ICE nació en 2000 en Atlanta como mercado electrónico de contratos de energía [1]. En 2001 compró la International Petroleum Exchange de Londres (hoy ICE Futures Europe, casa del Brent) y en noviembre de 2005 salió a bolsa en la NYSE [17]. En 2007 compró la New York Board of Trade (café, cacao, azúcar, algodón) [17]. El salto de escala llegó en noviembre de 2013 con NYSE Euronext (11.100 M USD), de la que vendió Euronext en bolsa en 2014 [17]. Desde entonces ha girado hacia datos y software: Interactive Data en 2015 (5.600 M USD) [17], Ellie Mae en 2020 (11.400 M USD) [18] y Black Knight en 2023 (unos 11.800 M USD, con la venta de Optimal Blue y Empower que exigió la FTC) [1]. El 29 de julio de 2026 acordó comprar MarketAxess a 167 USD por acción en efectivo [11]. Jeffrey Sprecher es presidente y consejero delegado [1]. Los ingresos recurrentes pasaron del 34 % en 2014 al 51 %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ICE para llevar los mercados de energía a una red electrónica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International Petroleum Exchange de Londres, hoy ICE Futures Europe, donde cotiza el Brent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con el símbolo ICE (noviembre)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New York Board of Trade (hoy ICE Futures U.S.) y de la Winnipeg Commodity Exchange; paso del corro a la negociación electrónica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ICE Clear Europe, cámara propia para los futuros de Londres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NYSE Euronext por 11.100 M USD (13 de noviembre); en 2014 vende Euronext en una OPV y se queda con la NYSE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Interactive Data por 5.600 M USD y de Trayport; nace el negocio de datos de renta fija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Ellie Mae (Encompass) a Thoma Bravo por 11.400 M USD; entrada en la tecnología hipotecaria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Black Knight (MSP) por unos 11.800 M USD; por el acuerdo con la FTC vende Optimal Blue y Empower a Constellation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aprueba que ICE Clear Credit compense bonos del Tesoro de EE. UU. (febrero) [1]; acuerdo para comprar MarketAxess a 167 USD por acción en efectivo (29 de julio), pendiente de aprobaciones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ICE vende infraestructura de mercado, datos y software en tres segmentos [1]. </w:t>
      </w:r>
      <w:r>
        <w:rPr>
          <w:b/>
        </w:rPr>
        <w:t xml:space="preserve">Exchanges</w:t>
      </w:r>
      <w:r>
        <w:t xml:space="preserve"> (55 % de los ingresos netos de 2025, 5.400 M USD): 13 mercados regulados y seis cámaras de contrapartida central; futuros y opciones de energía (Brent, gas natural europeo TTF, gasóleo, derechos de emisión), blandos agrícolas, tipos de interés europeos (Euribor, SONIA, gilts) e índices bursátiles; la NYSE y otras cuatro bolsas de acciones al contado; cotización de empresas (alrededor del 70 % del S&amp;P 500) y de ETF (75 % del patrimonio en ETF, 10,1 billones USD); y los datos y la conectividad de esos mercados [1]. </w:t>
      </w:r>
      <w:r>
        <w:rPr>
          <w:b/>
        </w:rPr>
        <w:t xml:space="preserve">Fixed Income and Data Services</w:t>
      </w:r>
      <w:r>
        <w:t xml:space="preserve"> (24 %, 2.400 M USD): precios evaluados de más de tres millones de bonos, datos de referencia, índices ICE Data Indices, la plataforma ICE Bonds, la compensación de CDS en ICE Clear Credit y la red ICE Global Network [1]. </w:t>
      </w:r>
      <w:r>
        <w:rPr>
          <w:b/>
        </w:rPr>
        <w:t xml:space="preserve">Mortgage Technology</w:t>
      </w:r>
      <w:r>
        <w:t xml:space="preserve"> (21 %, 2.100 M USD): Encompass para originar hipotecas, MSP para administrarlas, MERS, cierre digital y datos de propiedad y valoración en EE. UU. [1]. Clientes: bancos, gestoras, empresas de energía, emisores y prestamistas hipotecarios [1].</w:t>
      </w:r>
    </w:p>
    <w:p>
      <w:pPr>
        <w:pStyle w:val="Heading2"/>
      </w:pPr>
      <w:r>
        <w:t xml:space="preserve">Cómo gana dinero</w:t>
      </w:r>
    </w:p>
    <w:p>
      <w:pPr>
        <w:spacing w:after="100"/>
      </w:pPr>
      <w:r>
        <w:t xml:space="preserve">En 2025 el 51 % de los ingresos netos (5.056 M de 9.931 M USD) fue recurrente y el 49 % transaccional (4.875 M) [1]. Lo recurrente son las suscripciones de datos (el valor anual suscrito de Fixed Income and Data Services subió un 8,3 %, a 1.990 M USD, y es casi el 100 % de sus ingresos de datos), las cuotas de cotización de la NYSE y las cuotas de software hipotecario [1]. Lo transaccional se cobra por contrato negociado y compensado, por lo que depende del volumen y de la volatilidad de energía y tipos; en hipotecas, por préstamo cerrado por encima del cupo de la suscripción y por ejecuciones hipotecarias [1]. Los costes son en gran parte fijos (tecnología y personal): el margen operativo GAAP pasó del 46 % al 50 % en 2025 con ingresos +7 % y gastos +1 % [1]. Mortgage Technology apenas tiene beneficio operativo GAAP (14 M USD en 2025, tras pérdidas de 170 M en 2024) por la amortización de intangibles de las compras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netos en 2023-2025 ni el 10 % de las cuentas por cobrar [1]. En futuros y CDS los ingresos llegan a través de los miembros compensadores de las cámaras propias, sobre todo grandes bancos y agencias de valores [1]. Los contratos de software hipotecario duran de uno a cinco años [1]; en 2025 los ingresos de originación crecieron un 4 % por volumen, compensado en parte por bajas de clientes, y los de servicing un 3 % por implantaciones, subidas contractuales de precios y ampliaciones en las renovaciones [1]. Poder de precios: ICE dice que puede repercutir la inflación porque sus tarifas de mercado no van ligadas a contratos largos y que sus suscripciones de datos tienen una tasa de renovación alta, sin publicar la cifra [1]. El 15 % de los ingresos netos está en libras o euros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total de futuros y opciones (miles de contratos,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102.652 (dic-25); 118.080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 +20 %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jun-26 frente a 98.612 en jun-25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62.776 (dic-25); 67.603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 2025; +6 %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dic-23 eran 51.556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futuros y opciones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5.003 (+15 %), financieros 3.835 (+16 %), agrícolas y metales 423 (−8 %)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datos (Fixed Income and Data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en 2025; +7,9 %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anualizadas de suscripción para los 12 meses siguientes; casi el 100 % de los ingresos de datos del segmento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M USD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 (2024, 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 (2025, 50,9 %)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Exchanges 1.526, FIDS 1.956 y Mortgage 1.574 en 2025; en 2023, 4.138 (51,8 %) [1, 5]. 1S26: 2.673 recurrentes frente a 2.970 transaccionales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Mortgage Technology: recurrentes / transaccionales,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 / 467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 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(Black Knight solo desde el 5-sep): 961 / 356. 1S26: 807 recurrentes (+2 %)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energía (Exchanges),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814 (+46 %); 2T26: 518 (−13 % frente a un 2T25 de 595)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de contado de la NYSE (casada)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gestionado subió un 40 %, pero el ingreso por cada 100 acciones bajó de 0,050 a 0,037 USD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ICE juega en tres mercados con ciclos distintos: (1) negociación y compensación de derivados y acciones, global, con el núcleo en futuros de energía (Brent, TTF) y tipos europeos [1]; (2) datos financieros e índices, global [1]; y (3) software y datos para la hipoteca residencial de EE. UU. [1]. No hay una cifra única de tamaño para el conjunto. Para los mercados usamos los volúmenes mundiales de la FIA [33]; para los datos, el gasto mundial en datos financieros de Burton-Taylor [34]; y como serie del ciclo, el volumen de originación hipotecaria unifamiliar de EE. UU. que estima Fannie Mae [27, 28, 29, 30, 31], contrastado con la previsión de la MBA [32]. La serie mide la actividad que mueve a Mortgage Technology (21 % de los ingresos), no el tamaño del mercado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mundial en datos y análisis financieros: 49.200 M USD en 2025, +6,5 % (Burton-Taylor) [34]. Derivados cotizados: 30.640 millones de contratos de futuros en 2025 (+8,6 %) y 1.520 millones de interés abierto a fin de año (+22,8 %) (FIA) [33]. Originación hipotecaria unifamiliar de EE. UU.: 1,96 billones USD en 2025, frente a 4,57 billones en el pico de 2021 (Fannie Mae) [27,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originación hipotecaria unifamiliar de EE. UU., 1-4 viviendas; estimación de Fannie Ma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necesidad de cobertura en energía, blandos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de 2026 el volumen medio diario de ICE subió un 51 % interanual y el interés abierto un 13 %; el Brent +51 % en volumen y el TTF +50 % en volumen y +17 % en interés abierto [35]. En el mundo, los futuros crecieron un 8,6 % en 2025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datos financieros, índices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mundial en datos de 49.200 M USD en 2025, +6,5 % [34]; el valor anual suscrito de datos de ICE creció un 8,3 %, a 1.990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originación hipotecaria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4,57 billones USD en 2021 a 1,50 billones en 2023; Fannie Mae prevé 2,12 billones en 2026 y 2,28 billones en 2027 con el hipotecario a 30 años en torno al 6,5-6,7 % [27, 29, 31]. La MBA es más prudente para 2027: 2,10 billones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NYSE cotiza el 75 % del patrimonio en ETF, unos 10,1 billones USD, a cierre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Compensación obligatoria y regulación de cámaras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Clear Credit autorizada para compensar Tesoro de EE. UU. (repos previstos en el 4T26) [1]; en contra, la cuenta activa de EMIR 3.0 empuja parte de los derivados de tipos cortos en euros hacia cámaras de la UE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futuros con referencia propia (Brent, TTF), pero intensa en acciones al contado: la NYSE casó el 19,0 % del volumen de EE. UU. en 2025 frente al 19,7 % de 2024 [1]. EEX gana terreno en el TTF: 3.161 TWh de futuros en 2025, +25 %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más del 10 % [1], pero los grandes bancos son a la vez miembros compensadores, clientes y competidores (internalización, sistemas alternativos), y pueden formar consorcios para crear mercados propios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diseña sus sistemas y escribe su propio software; los precios de hardware y software se han mantenido estables y la inflación no le ha afectado de forma material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de mercado y de cámara, garantías y liquidez: ICE aporta 381 M USD propios a los fondos de garantía de sus cámaras [1]. La liquidez atrae liquidez: el Brent sostiene más de 800 contratos relacionados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Sustitutos parciales: el OTC bilateral, la internalización de órdenes y, en hipotecas, los sistemas propios de los prestamistas y los procesos no digitales [1].</w:t>
            </w:r>
          </w:p>
        </w:tc>
      </w:tr>
    </w:tbl>
    <w:p>
      <w:pPr>
        <w:spacing w:after="160" w:before="0"/>
      </w:pPr>
    </w:p>
    <w:p>
      <w:pPr>
        <w:pStyle w:val="Heading2"/>
      </w:pPr>
      <w:r>
        <w:t xml:space="preserve">Ciclo</w:t>
      </w:r>
    </w:p>
    <w:p>
      <w:pPr>
        <w:spacing w:after="100"/>
      </w:pPr>
      <w:r>
        <w:t xml:space="preserve">Dos ciclos distintos. En hipotecas, la originación cayó de 4,57 billones USD en 2021 a 2,37 en 2022 y 1,50 en 2023, con la subida de tipos [29, 30, 31]; se recupera desde entonces (1,70 en 2024, 1,96 en 2025) y Fannie Mae espera 2,12 en 2026 y 2,28 en 2027, aún a la mitad del pico [27, 28]. En mercados, la volatilidad juega a favor: 2025 y el tercer trimestre de 2026 marcan récords de interés abierto [33, 35]. No hemos medido aquí el comportamiento de 2008-09 ni el de 2020.</w:t>
      </w:r>
    </w:p>
    <w:p>
      <w:pPr>
        <w:pStyle w:val="Heading2"/>
      </w:pPr>
      <w:r>
        <w:t xml:space="preserve">Regulación</w:t>
      </w:r>
    </w:p>
    <w:p>
      <w:pPr>
        <w:spacing w:after="100"/>
      </w:pPr>
      <w:r>
        <w:t xml:space="preserve">En EE. UU., la CFTC supervisa los futuros y la SEC la NYSE y las cámaras de valores; las nuevas reglas de la SEC sobre escalones de precio y topes a las tarifas de acceso entran en vigor en noviembre de 2026 [1]. La SEC aprobó en febrero de 2026 que ICE Clear Credit compense deuda del Tesoro, al calor de la compensación obligatoria [1]. En la UE, EMIR 3.0 (acto delegado de octubre de 2025) obliga a tener una cuenta activa en una cámara de la UE para derivados de tipos cortos en euros; ICE lo cubre con ICE Clear Netherlands, pero puede perder volumen en Londres [1]. La equivalencia de las cámaras británicas dura hasta el 30 de junio de 2028 [1]. Mortgage Technology está bajo la FFIEC y la CFPB [1]. La compra de MarketAxess necesita la autorización antimonopolio (HSR) y de supervisores financieros [11].</w:t>
      </w:r>
    </w:p>
    <w:p>
      <w:pPr>
        <w:pStyle w:val="Heading2"/>
      </w:pPr>
      <w:r>
        <w:t xml:space="preserve">Tendencias y disrupción</w:t>
      </w:r>
    </w:p>
    <w:p>
      <w:pPr>
        <w:spacing w:after="100"/>
      </w:pPr>
      <w:r>
        <w:t xml:space="preserve">Tres tendencias favorecen a ICE. La globalización del gas natural y del gas natural licuado amplía el uso de las referencias de gas de ICE [1]: en septiembre de 2026 el interés abierto del gas asiático subió un 31 % y el del TTF un 17 % [35]. La demanda de datos para la inteligencia artificial y la negociación automática sostiene el gasto en datos (+6,5 % en 2025) [34]. La digitalización de la hipoteca de punta a punta favorece a quien tiene originación y servicing integrados [1]. En contra: la regulación que fragmenta la compensación (EMIR 3.0), la presión sobre las tarifas de acciones y la entrada de plataformas nuevas, algunas con cadena de bloques y menos supervisión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mercado europeo del contrato de gas de referencia (TTF, en ICE Endex) y casa del Brent, el contrato del que cuelgan más de 800 productos de petróleo [1]. En cotización, la NYSE tiene alrededor del 70 % de las empresas del S&amp;P 500 y el 75 % del patrimonio en ETF; en negociación de acciones casó el 19,0 % del volumen de EE. UU. en 2025 [1]. En datos de renta fija es uno de los grandes proveedores de precios evaluados (más de tres millones de bonos) [1]. En hipotecas, Encompass y MSP son los sistemas de referencia de originación y servicing, pero no hemos encontrado una cuota publicada en un documento primario.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(WTI, gas Henry Hub) y tipos de EE. UU.; ingresos y beneficio operativo de 2025 de su 10-K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cotización de empresas y ETF y en opciones sobre acciones [1]. Ingresos netos de gastos ligados a transacciones (8.262 M menos 3.013 M) y beneficio operativo de 2.331 M de su 10-K; margen, estimación propia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opciones y cotización de ETF [1]. Ingresos menos costes de ingresos (4.714 M menos 2.285 M) y beneficio operativo de 1.467 M de su 10-K; margen, estimación propia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(Workspace), índices (FTSE Russell) y compensación (LCH). Ingresos sin recuperaciones de 8.986 M GBP y beneficio operativo de 2.127 M GBP [24]; pasado a USD al tipo del BCE de 31-dic-2025 (1,3465 USD/GBP)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EEX compite en gas y electricidad europeos (3.161 TWh de futuros TTF en 2025, +25 %) [36]. Ingresos netos de 6.026 M EUR y EBIT de 3.010 M EUR [25], a 1,175 USD/EUR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de mercado, precios de referencia e índices. Beneficio operativo de 6.478 M USD de su 10-K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índices y análisis de carteras; a la vez socio, porque ICE lista futuros sobre índices MSCI [1]. Beneficio operativo de 1.714 M USD de su 10-K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 (Dark Matter, Optimal Blue)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a ICE en 2023 el sistema de originación Empower y Optimal Blue, por orden de la FTC [1]; es hoy el rival más directo de Encompass. No publica cifras de estos negocios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interés abierto récord en futuros de tipos (15 millones de contratos) y azúcar en septiembre de 2026, TTF +17 % [21]; el Brent ancla más de 800 contratos [1]. Encompass y MSP conectan a miles de participantes de la hipoteca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Encompass es el sistema de registro de la hipoteca y los contratos duran de uno a cinco años [1]; el valor anual suscrito de datos es casi el 100 % de esos ingresos y crece un 8,3 % [1]. Pero hubo bajas de clientes en originación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precio propias (Brent, TTF, blandos), la marca NYSE y licencias de 13 mercados y seis cámaras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49,6 % en 2025 (4.929 M sobre 9.931 M USD) [1], por encima de Nasdaq (44 %), S&amp;P Global (42 %) y LSEG (24 %), pero por debajo de CME (65 %) y Cboe (60 %) [5-7,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referencia tiende a un solo mercado y una sola cámara; la FTC exigió vender Empower y Optimal Blue para aprobar Black Knight, prueba de lo concentrado del software hipotecario [1].</w:t>
            </w:r>
          </w:p>
        </w:tc>
      </w:tr>
    </w:tbl>
    <w:p>
      <w:pPr>
        <w:spacing w:after="160" w:before="0"/>
      </w:pPr>
    </w:p>
    <w:p>
      <w:pPr>
        <w:pStyle w:val="Heading2"/>
      </w:pPr>
      <w:r>
        <w:t xml:space="preserve">Amenazas</w:t>
      </w:r>
    </w:p>
    <w:p>
      <w:pPr>
        <w:spacing w:after="100"/>
      </w:pPr>
      <w:r>
        <w:t xml:space="preserve">Cuatro amenazas, por probabilidad. Alta: la cuenta activa de EMIR 3.0 puede llevar parte de los derivados de tipos en euros de Londres a cámaras de la UE, aunque ICE tiene ICE Clear Netherlands [1]. Media: EEX crece en el TTF (+25 % en 2025) [36] y las nuevas reglas de la SEC sobre tarifas de acceso entran en noviembre de 2026 [1]. Media: en originación hipotecaria hubo bajas de clientes en 2025 [1] y Constellation compite con Empower. Media-baja: la compra de MarketAxess puede chocar con el antimonopolio; ICE no está obligada a aceptar remedios y pagaría 327,4 M USD si se bloquea; fecha límite el 29 de julio de 2027, prorrogable dos veces seis meses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9,5 %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7.146 M USD en 2021 a 9.931 M en 2025, una TCAC del 8,6 %, y a 10.558 M en el LTM a jun-26 [1, 2, 6]. El crecimiento orgánico lo pone Exchanges, que sube de 3.856 a 5.411 M USD (+40 %) sin compras relevantes, gracias al volumen de energía y de tipos de interés y al interés abierto récord [1, 2]. El inorgánico es Black Knight: Mortgage Technology pasó de 1.129 M USD en 2022 a 2.022 M en 2024, el primer año completo [1, 2]. Antes, en 2022, había caído un 20 % (de 1.407 a 1.129 M) por el desplome de la originación hipotecaria [2]. El margen EBIT pasó del 48,3 % en 2021 al 49,6 % en 2025 y al 51,8 % en el LTM, con un primer trimestre de 2026 récord (56 %) [5, 6, 7]. La amortización de intangibles adquiridos pesa mucho: 622 M USD en 2021, 610 en 2022, 748 en 2023, 1.011 en 2024, 993 en 2025 y 474 en el 1S26 [5, 6, 9, 10]. </w:t>
      </w:r>
      <w:r>
        <w:rPr>
          <w:b/>
        </w:rPr>
        <w:t xml:space="preserve">2023 no es comparable</w:t>
      </w:r>
      <w:r>
        <w:t xml:space="preserve">: Black Knight consolidó cuatro meses y hubo 269 M USD de costes de transacción e integración. El beneficio neto de 2021 (4.058 M) y el de 2022 (1.446 M) están distorsionados por Bakkt y por las participadas (ver ajustes).</w:t>
      </w:r>
    </w:p>
    <w:p>
      <w:pPr>
        <w:pStyle w:val="Heading2"/>
      </w:pPr>
      <w:r>
        <w:t xml:space="preserve">Ajustes y partidas no recurrentes</w:t>
      </w:r>
    </w:p>
    <w:p>
      <w:pPr>
        <w:spacing w:after="100"/>
      </w:pPr>
      <w:r>
        <w:rPr>
          <w:b/>
        </w:rPr>
        <w:t xml:space="preserve">Ingresos</w:t>
      </w:r>
      <w:r>
        <w:t xml:space="preserve">: se usan los «revenues, less transaction-based expenses» que ICE publica como cifra principal, porque los ingresos brutos (9.168, 9.636, 9.903, 11.761 y 12.640 M USD de 2021 a 2025) incluyen las tasas de la Sección 31, que ICE repercute a la SEC, y los pagos de liquidez, enrutamiento y compensación: 2.022, 2.344, 1.915, 2.482 y 2.709 M [1, 2]. ICE no presenta coste de ventas: los gastos generales recogen todos los gastos operativos sin amortizaciones. </w:t>
      </w:r>
      <w:r>
        <w:rPr>
          <w:b/>
        </w:rPr>
        <w:t xml:space="preserve">No recurrentes en el EBITDA</w:t>
      </w:r>
      <w:r>
        <w:t xml:space="preserve">: la línea de costes de transacción e integración de la cuenta (102, 93, 269, 104 y 70 M USD; 81 M en el LTM). ICE ajusta además 17 M de «otros» en 2023, 47 M de asuntos regulatorios y otros en 2024 y un abono regulatorio de 10 M en el 1S26; esas partidas no se suman [5, 6, 9]. </w:t>
      </w:r>
      <w:r>
        <w:rPr>
          <w:b/>
        </w:rPr>
        <w:t xml:space="preserve">Debajo del EBIT</w:t>
      </w:r>
      <w:r>
        <w:t xml:space="preserve">: 2021 lleva 1.419 M USD de plusvalía por desconsolidar Bakkt y 1.321 M de plusvalías en participaciones (Coinbase); 2022, 1.340 M de pérdidas y deterioros de participadas (Bakkt); 2023, 160 M de pérdida por el pagaré de Optimal Blue; el 1S26, 389 M de revalorización de Polymarket y 62 M de Bakkt [1, 6, 8, 10]. El BPA ajustado de ICE fue de 5,06, 5,30, 5,62, 6,07 y 6,95 USD entre 2021 y 2025 [5, 9,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(30-jul-26)</w:t>
      </w:r>
      <w:r>
        <w:t xml:space="preserve">. La dirección habló de un segundo trimestre récord: BPA ajustado de 1,90 USD (+5 %), ingresos recurrentes de 1.353 M USD (+8 %) e interés abierto récord. El ingreso transaccional, en cambio, apenas creció (+2 %), porque la energía cayó un 13 % frente a un 2T25 excepcional [6]. En la presentación de la compra de MarketAxess dio estas cifras: valor empresa de 5.700 M USD, 10,6x el EBITDA ajustado con sinergias, 100 M USD de sinergias de costes (un tercio el primer año y el total al tercero), aumento del BPA ajustado desde el primer año, cierre en el 1S27 y apalancamiento máximo de unas 3,4x, con vuelta a 3x o menos en 18-24 meses [16]. Las recompras siguen, de 350 a 400 M USD por trimestre, con una autorización de 4.000 M [6, 16]. </w:t>
      </w:r>
      <w:r>
        <w:rPr>
          <w:b/>
        </w:rPr>
        <w:t xml:space="preserve">Cambio de discurso desde febrero</w:t>
      </w:r>
      <w:r>
        <w:t xml:space="preserve">: la guía de crecimiento recurrente subió de «un dígito medio» a «un dígito alto» en Exchanges y del mismo «un dígito medio» al 7-8 % en Fixed Income and Data Services. También subieron los gastos (no GAAP de 4.075-4.140 a 4.190-4.230 M USD) y el capex (de 740-790 a unos 850 M), por la remuneración variable, el plan de centros de datos y el desarrollo de producto [5, 6, 16]. El </w:t>
      </w:r>
      <w:r>
        <w:rPr>
          <w:b/>
        </w:rPr>
        <w:t xml:space="preserve">1T26</w:t>
      </w:r>
      <w:r>
        <w:t xml:space="preserve"> había sido récord: ingresos netos +20 %, energía +46 %, financieros +65 % y margen operativo del 56 %. A la vez, 389 M USD de revalorización de Polymarket inflaron el BPA GAAP a 2,48 USD [7, 8]. No se ha podido leer el turno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Bakkt desconsolidada en 2021 (plusvalía de 1.419 M USD en otros resultados); desde entonces, participada [10].; 2022: Sin compra, pero el balance lleva 5.000 M USD de bonos SMR emitidos para Black Knight y retenidos como caja restringida (6.149 M de caja restringida a corto) [3].; 2023: Black Knight, consolidada desde el 5-sep-23 (unos 4 meses en la cuenta, entera en el balance); Optimal Blue y Empower vendidos el 14-sep-23 por orden de la FTC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Exclusión de las cámaras</w:t>
      </w:r>
      <w:r>
        <w:t xml:space="preserve">: se restan del activo y del pasivo (corriente y total) los depósitos de margen y fondos de garantía de los miembros y los depósitos invertidos, contratos de entrega de ICE NGX y márgenes de variación pendientes: 150.429 M USD en 2021 (145.936 + 4.493), 147.372 en 2022, 80.794 en 2023, 84.312 en 2024, 81.226 en 2025 y 116.912 a jun-26 [1, 2, 3, 6]. Sin ellos, el activo pasa de 136.887 a 55.661 M USD en 2025, y el 83 % es fondo de comercio e intangibles (46.000 M). </w:t>
      </w:r>
      <w:r>
        <w:rPr>
          <w:b/>
        </w:rPr>
        <w:t xml:space="preserve">Deuda</w:t>
      </w:r>
      <w:r>
        <w:t xml:space="preserve">: la deuda bruta subió de 13.918 M USD en 2021 a 22.613 M en 2023 por Black Knight, y bajó a 20.368 M en 2024, 19.644 M en 2025 y 19.846 M en jun-26 [1, 8]. Son 18.628 M de bonos senior (vida media de 13 años, coste medio del 3,7 %) y 1.218 M de papel comercial [8]. Deuda/EBITDA: 4,6x en 2023 y 3,0x en 2025. MarketAxess, con un valor empresa de 5.700 M USD según la dirección, subirá la deuda: ICE emitió 3.750 M USD en bonos en ago-26. La dirección prevé un apalancamiento máximo de unas 3,4x el EBITDA pro forma y volver a 3x o menos en 18-24 meses [15, 16]. El circulante es negativo o casi nulo: se cobra por adelantado (ingresos diferidos de 567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16.524</w:t>
      </w:r>
      <w:r>
        <w:t xml:space="preserve">, conversión </w:t>
      </w:r>
      <w:r>
        <w:rPr>
          <w:b/>
          <w:bCs/>
        </w:rPr>
        <w:t xml:space="preserve">119 %</w:t>
      </w:r>
      <w:r>
        <w:t xml:space="preserve"> del beneficio neto; adquisiciones 10.380, dividendos 4.699, recompras 2.176.</w:t>
      </w:r>
    </w:p>
    <w:p>
      <w:pPr>
        <w:spacing w:after="100"/>
      </w:pPr>
      <w:r>
        <w:t xml:space="preserve">El flujo de explotación (después de intereses e impuestos) subió de 3.123 M USD en 2021 a 4.662 M en 2025, y fue de 3.324 M en el 1S26 frente a 2.472 M en el 1S25 [1, 2, 6]. El capex incluye el inmovilizado material y el software desarrollado capitalizado: 452 M en 2021, 791 M en 2025, y la guía de 2026 es de unos 850 M USD [6]. El salto de 2024-2025 se reparte entre el inmovilizado material (de 179 M en 2021 a 373 M en 2025) y el software capitalizado (de 273 a 418 M) [4]. ICE no separa mantenimiento y crecimiento. El flujo libre que publica ICE (explotación menos capex y software) fue de 3.857 M en 2024 y 3.871 M en 2025. El ajustado, que neutraliza el desfase de cobro y pago de las tasas de la Sección 31, fue de 3.620 y 4.187 M [5]. Ojo con esto: ICE cobra las tasas de la Sección 31 antes de pagarlas a la SEC, y eso mueve el flujo de explotación de un año a otro (−237 M en 2024, +316 M en 2025, −286 M en el 1S26) [5, 6]. Las inversiones en participadas no van en adquisiciones: 1.029 M USD en 2025 (Polymarket) y 600 M más en mar-26 [4, 8]. Los flujos excluyen las variaciones de los depósitos de margen de los miembros, que ICE presenta en financiación.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(Atlanta)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ICE desde 2002 y su única cuestión clave de auditoría de 2025 son las posiciones fiscales inciertas, no los ingresos ni los intangibles [1]. Tres asuntos piden atención. Primero, la </w:t>
      </w:r>
      <w:r>
        <w:rPr>
          <w:b/>
        </w:rPr>
        <w:t xml:space="preserve">amortización de intangibles adquiridos</w:t>
      </w:r>
      <w:r>
        <w:t xml:space="preserve"> (994 M USD en 2025) separa el beneficio GAAP (5,77 USD por acción) del ajustado que publica ICE (6,95 USD): el ajuste es legítimo en caja, pero oculta que ICE pagó por ese crecimiento [1, 5]. Segundo, los </w:t>
      </w:r>
      <w:r>
        <w:rPr>
          <w:b/>
        </w:rPr>
        <w:t xml:space="preserve">resultados de participadas</w:t>
      </w:r>
      <w:r>
        <w:t xml:space="preserve"> mueven el beneficio neto: plusvalías de 2.740 M USD en 2021 (Bakkt, Coinbase), pérdidas de 1.340 M en 2022 y 389 M de revalorización de Polymarket en el 1S26, contabilizada al precio de una ronda posterior, sin cotización [1, 8]. Tercero, el </w:t>
      </w:r>
      <w:r>
        <w:rPr>
          <w:b/>
        </w:rPr>
        <w:t xml:space="preserve">flujo de explotación</w:t>
      </w:r>
      <w:r>
        <w:t xml:space="preserve"> lleva el desfase de las tasas de la Sección 31 (−237 M USD en 2024, +316 M en 2025) [5]. La remuneración en acciones fue de 293 M USD en 2025, un 3,0 % de los ingresos [1]. Indicadores del motor: Piotroski de 8 sobre 9 y Beneish de −2,52, lejos de la zona de manipulación. El Altman Z (2,95, zona gris) se ha calculado sin los depósitos de las cámaras: con ellos saldría absurdo, y aun así este indicador no está pensado para un operador de mercados con cámaras de contrapartida; no lo usamos.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Polymarket sin precio de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Preferentes contabilizadas a unos 2.000 M USD por una ronda de marzo de 2026; 389 M de ganancia en el 1S26 [8]. Están en el puente a ese valor.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frente al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la amortización de intangibles adquiridos (unos 950 M USD anuales hasta 2027, según el calendario del 10-K)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 las tasas de la Sección 31 en 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flujo en ±300 M USD de un año a otro; ICE publica un flujo libre ajustado que lo neutraliza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durante 24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&amp; Young desde 2002 [1]; el socio rota según la norma de EE. UU., pero no la firma.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11,5 % · </w:t>
      </w:r>
      <w:r>
        <w:rPr>
          <w:b/>
          <w:bCs/>
        </w:rPr>
        <w:t xml:space="preserve">WACC</w:t>
      </w:r>
      <w:r>
        <w:t xml:space="preserve">: 8,8 %.</w:t>
      </w:r>
    </w:p>
    <w:p>
      <w:pPr>
        <w:spacing w:after="100"/>
      </w:pPr>
      <w:r>
        <w:t xml:space="preserve">En ICE, el capital invertido es sobre todo fondo de comercio e intangibles: 46.000 M USD de 55.661 M de activo sin márgenes en 2025 [1]. Por eso el ROIC contable es bajo para un negocio con un margen EBITDA del 65 %. Black Knight añadió unos 9.400 M de fondo de comercio y 4.200 M de intangibles netos entre 2022 y 2023, mientras el resultado operativo de Mortgage Technology pasó de 57 M USD en 2022 a 14 M en 2025 (de 511 a 859 M ajustado) [1, 9, 10]. El ROIC incremental de esa compra es, por tanto, bajo en términos contables. Exchanges, sin compras grandes, pasó de 2.523 a 3.982 M USD de resultado operativo entre 2021 y 2025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libre de 1.067 M USD a jun-26 (837 M a dic-25) y línea de crédito revolving de 3.900 M USD sin disponer; papel comercial emitido: 1.218 M USD a jun-26 [6, 8]. El 20-ago-26, para MarketAxess, ICE hizo tres cosas. Emitió 3.750 M USD en bonos (3.710 M netos). Firmó un préstamo a plazo de 2.000 M USD con disposición diferida, que vence a los 24 meses de disponerlo. Y amplió la línea revolving: hasta ago-31 para 3.670 M USD de compromisos, con un tramo de 1.500 M para la compra. El préstamo puente de 6.200 M USD quedó cancelado [12, 13, 15]. Tras la emisión, la deuda bruta ronda los 23.600 M USD (estimación propia: 19.846 M a jun-26 + 3.750 M), antes de disponer del préstamo a plazo.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y S&amp;P A-, ambas con perspectiva estable: calificación de los bonos senior emitidos el 11-ago-2026 para MarketAxess [83].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Garantías de las cámaras</w:t>
      </w:r>
      <w:r>
        <w:t xml:space="preserve">: ICE responde con capital propio aportado al fondo de garantía y con caja restringida regulatoria de sus cámaras: 748 M USD de caja restringida a corto, 629 M de inversiones restringidas a corto y 381 M a largo a dic-25. Son de ICE, pero no están disponibles y no cuentan como caja en el puente [1]. </w:t>
      </w:r>
      <w:r>
        <w:rPr>
          <w:b/>
        </w:rPr>
        <w:t xml:space="preserve">Pasivo por impuestos diferidos</w:t>
      </w:r>
      <w:r>
        <w:t xml:space="preserve">: 3.998 M USD a dic-25, casi todo por los intangibles adquiridos [1]. </w:t>
      </w:r>
      <w:r>
        <w:rPr>
          <w:b/>
        </w:rPr>
        <w:t xml:space="preserve">Arrendamientos operativos</w:t>
      </w:r>
      <w:r>
        <w:t xml:space="preserve">: 672 M USD de pasivo a dic-25, frente a 372 M en 2024. En US GAAP su gasto ya está en el EBITDA y no se suman al puente [1]. </w:t>
      </w:r>
      <w:r>
        <w:rPr>
          <w:b/>
        </w:rPr>
        <w:t xml:space="preserve">Pensiones</w:t>
      </w:r>
      <w:r>
        <w:t xml:space="preserve">: el plan de prestación definida (congelado) tiene un superávit de 69 M USD, pero el complementario de directivos (19 M) y las prestaciones posteriores a la jubilación (115 M) dejan un déficit neto de 65 M, 49 M después de impuestos, que va al puente [1]. </w:t>
      </w:r>
      <w:r>
        <w:rPr>
          <w:b/>
        </w:rPr>
        <w:t xml:space="preserve">Covenants</w:t>
      </w:r>
      <w:r>
        <w:t xml:space="preserve">: la línea de crédito exige una ratio de apalancamiento; no se publica la holgura [1]. </w:t>
      </w:r>
      <w:r>
        <w:rPr>
          <w:b/>
        </w:rPr>
        <w:t xml:space="preserve">MarketAxess</w:t>
      </w:r>
      <w:r>
        <w:t xml:space="preserve">: ICE pagará 327,4 M USD si la compra no se cierra por motivos de competencia [12]. </w:t>
      </w:r>
      <w:r>
        <w:rPr>
          <w:b/>
        </w:rPr>
        <w:t xml:space="preserve">Minoritarios rescatables</w:t>
      </w:r>
      <w:r>
        <w:t xml:space="preserve">: 32 M USD a jun-26 [6].</w:t>
      </w:r>
    </w:p>
    <w:p>
      <w:pPr>
        <w:pStyle w:val="Heading1"/>
      </w:pPr>
      <w:r>
        <w:t xml:space="preserve">12. Asignación de capital</w:t>
      </w:r>
    </w:p>
    <w:p>
      <w:pPr>
        <w:pStyle w:val="Confianza"/>
        <w:spacing w:after="100"/>
      </w:pPr>
      <w:r>
        <w:t xml:space="preserve">Confianza: Media</w:t>
      </w:r>
    </w:p>
    <w:p>
      <w:pPr>
        <w:spacing w:after="100"/>
      </w:pPr>
      <w:r>
        <w:t xml:space="preserve">ICE paga un dividendo trimestral creciente: 1,32 USD por acción en 2021, 1,92 en 2025 y 0,52 por trimestre en 2026 (1,04 en el 1S26) [1, 8]. En 2025 destinó 1.105 M USD a dividendos [1]. Las recompras se paran tras una compra grande: 0 en 2023 y 2024 por Black Knight, 1.294 M USD en 2025 y 1.200 M en el 1S26 (7,9 M de acciones) [1, 8]. El consejo aprobó 3.000 M USD de recompras desde el 1-ene-26 y subió la autorización a 4.000 M desde el 1-jul-26 [1, 6]. La dirección dice que las recompras «siguen siendo una prioridad» compatible con «inversión disciplinada» [6]. La empresa se marca un rango objetivo de apalancamiento, pero no publica su cifra; usa el papel comercial para desapalancarse con la caja que genera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Ellie Mae (originación hipotecaria, Encompass)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ICE emitió 9.606 M USD en bonos en 2020. El importe es la caja pagada, neta de la caja adquirida; el precio total no se ha comprobado en el 10-K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Mortgage Technology. Sus ingresos cayeron con la originación en 2022 (el segmento, de 1.407 a 1.129 M USD) y se recuperan despacio; parte de sus intangibles ya está totalmente amortizada, lo que bajó la amortización en 2025 [1,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de administración hipotecaria MSP,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10.542 M USD en caja (bonos SMR de 5.000 M emitidos en 2022, papel comercial y deuda) y 1.274 M en acciones (10,9 M de acciones); neto de la venta de Optimal Blue y Empower, 11.362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5-sep-23. Mortgage Technology llegó a 2.101 M USD de ingresos en 2025, con un margen ajustado del 41 % y un margen GAAP del 1 %. La deuda bajó de 22.613 M (2023) a 19.644 M (2025). Costes de integración: 269 M en 2023, 104 M en 2024, 70 M en 2025 y 53 M en el 1S26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Polymarket (participación preferente, 22 % del capital en circulación)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1.000 M USD (serie D, oct-25), 600 M (serie E, mar-26) y 40 M en ordinarias (abr-26)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389 M USD en el 1T26 por la ronda de la serie E; valor contable de unos 2.000 M a jun-26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(plataforma electrónica de bonos)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El 20-ago-26 ICE emitió 3.750 M USD en bonos senior (1.250 M al 4,70 % con vencimiento en 2029, 1.100 M al 4,90 % en 2031, 650 M al 5,15 % en 2033 y 750 M al 5,40 % en 2036). Además, un préstamo a plazo de 2.000 M USD, un tramo de 1.500 M de la línea revolving y papel comercial; el préstamo puente de 6.200 M quedó cancelado.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29-jul-26 a 167 USD por acción en efectivo; el cierre se espera en el 1S27, pendiente de autorizaciones. ICE pagará 327,4 M USD de comisión de ruptura si la competencia la bloquea [11, 12, 13, 15]. Valor empresa de 5.700 M USD y 10,6x EV/EBITDA ajustado con sinergias, según la dirección en la conferencia; 100 M USD de sinergias de costes al tercer año [16]. Contraste propio: 167 USD × 35,19 M de acciones a 4-ago-26 dan 5.877 M USD de valor de las acciones, unas 14,0x el EBITDA de MarketAxess de 2025 (341,8 de resultado operativo + 76,7 de amortizaciones) sin sinergias ni caja [14].</w:t>
            </w:r>
          </w:p>
        </w:tc>
      </w:tr>
    </w:tbl>
    <w:p>
      <w:pPr>
        <w:spacing w:after="160" w:before="0"/>
      </w:pPr>
    </w:p>
    <w:p>
      <w:pPr>
        <w:spacing w:after="100"/>
      </w:pPr>
      <w:r>
        <w:t xml:space="preserve">ICE ha crecido comprando. Ellie Mae (2020) y Black Knight (2023) costaron más de 21.000 M USD en caja y acciones y montaron un negocio hipotecario de 2.101 M USD de ingresos. Ese negocio gana 859 M USD ajustados, pero solo 14 M GAAP, porque arrastra 779 M de amortización de intangibles [1, 5]. Tras cada compra, ICE se desapalanca: deja de recomprar, usa el papel comercial y rebaja la deuda bruta (de 22.613 M USD en 2023 a 19.644 M en 2025) antes de volver a las recompras [1]. Entre 2021 y 2025 pagó 4.699 M USD en dividendos y 2.176 M en recompras [4]. Aun así, las acciones diluidas pasaron de 565 a 575 M, porque Black Knight se pagó en parte con 10,9 M de acciones [1]. MarketAxess vuelve a poner a prueba ese patrón de comprar y desapalancarse, aunque esta vez la dirección dice que mantendrá las recompras: de 350 a 400 M USD por trimestre según la transcripción de la conferencia del 2T26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1997 Continental Power Exchange (CPEX), predecesora de ICE, tras catorce años en Western Power Group; es primer ejecutivo desde la fundación (2000) y preside el consejo desde noviembre de 2002 [1, 38]. En 2025 ICE encadenó su vigésimo año de ingresos récord (9.900 M USD netos), BPA ajustado de 6,95 USD (+14 %) y una rentabilidad total para el accionista del 64 % en tres años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Benjamin R. Jackson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de 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2011 desde SunGard (negocio de energía y materias primas); fue presidente y COO de ICE Futures U.S. y director comercial antes de ser nombrado President en noviembre de 2017 [1]. Dirige tecnología, operaciones, futuros y la integración de adquisiciones, y preside ICE Mortgage Technology; el comité le atribuye el cumplimiento de los objetivos de sinergias de Black Knight en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Warren Gardiner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2021, antes responsable de relación con inversores de ICE (2017-2021) y analista de renta variable en Evercore ISI y Barclays [1]. Bajo su mandato la deuda bruta pasó de 22.600 M USD al cierre de 2023 a 19.600 M USD al cierre de 2025 y se reanudaron las recompras en 2025 [1,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C.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NYSE Group y presidenta (Chair)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NYSE Euronext desde 2001 (consejera delegada de NYSE Liffe U.S.), después presidenta de ICE Data Services (2015-2020) y de Fixed Income &amp; Data Services (2020-2022); preside NYSE Group desde enero de 2022 [1]. En 2025 lanzó NYSE Texas, primera bolsa operativa de ese estado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Edmonds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2010 como presidente de ICE Clear Credit; fue responsable global de compensación y riesgos (2014-2021) y director de desarrollo (2022-2023) antes de asumir FIDS en enero de 2024 [1]. En 2025 avanzó hacia la compensación de deuda pública estadounidense al contado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G.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ICE desde 2013; fue presidente de ICE Futures Europe (2017-2022) antes de ser COO en julio de 2022, con infraestructura, centros de datos, redes y continuidad de negocio a su cargo [1]. No es consejero ni directivo con remuneración publicada, por lo que el proxy no da su participación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2.830-2.880 M USD; capex (con desarrollo de software capitalizado) de 400-430 M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2.977 M USD y capex de 452 M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2.990-3.040 M USD; capex de 490-520 M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2.953 M USD y capex de 482 M USD, ambos por debajo del rango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3.040-3.090 M USD; capex de 450-500 M USD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3.260 M USD, por la compra de Black Knight en septiembre de 2023, que la guía de febrero no incluía; capex de 489 M USD, dentro del rango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3.810-3.860 M USD; capex de 600-650 M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3.810 M USD (extremo bajo) y capex de 752 M USD, un 16 % por encima del techo [5,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de 3.915-3.965 M USD; capex de 730-780 M USD; ingresos de Mortgage Technology con crecimiento de un dígito bajo-medio; reanudar las recompras en el 1T25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3.939 M USD; capex de 791 M USD (11 M por encima del techo); Mortgage Technology +4 % (2.101 M USD); 1.300 M USD recomprados en 2025 [1,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Sprecher fundó ICE y la dirige desde hace 26 años con un equipo muy estable: Jackson es President desde 2017, el abogado general y el director de tecnología siguen desde 2018 y 2016, y no ha cambiado el presidente ni el primer ejecutivo en 24 meses [1]. La guía anual es de gastos y capex, no de beneficios: los gastos ajustados cayeron dentro o por debajo del rango en tres de cinco años, pero el capex superó el techo en 2021, 2024 y 2025 [5, 9, 10, 51, 52, 53]. </w:t>
      </w:r>
      <w:r>
        <w:rPr>
          <w:b/>
        </w:rPr>
        <w:t xml:space="preserve">La sucesión es el punto débil</w:t>
      </w:r>
      <w:r>
        <w:t xml:space="preserve">: Sprecher tiene 71 años, no hay sucesor público y el proxy solo dice que se avanza en la planificación; en 2026 se creó una jubilación cualificada para directivos ligada a ella [38]. Jackson es el candidato natural, pero no está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(desde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Y. Bowen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Shantella E.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M.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Hague of Richmond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Hill of Oareford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por su contrato de consultoría con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 Mulhern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mayo de 2026);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 y COO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L. Silver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Martha A. Tirinnanzi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92,90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57,06 M acciones en el 13G/A de diciembre de 2025, [44]; el 13G/A de marzo de 2026 de The Vanguard Group declara 0 % [45] y el 13G de abril de 2026 de Vanguard Capital Management declara 42,55 M acciones (7,49 %) [46]: es una reordenación de entidades declarantes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39,07 M acciones en el 13G/A de abril de 2025, frente a 49,63 M (8,6 %) en el de febrero de 2025 [47, 48]; el proxy de 2026 la recoge con el 6,9 %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19 de marzo de 2026, con opciones ejercitables en 60 días; Sprecher, 3,48 M (0,61 %), de las que 1,65 M a través de CPEX y 81.570 de su esposa [38]; vendieron 92,9 M USD en los doce meses siguientes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M acciones en autocartera sobre 653 M emitidas al cierre de 2025 (77 M en 2024); 7,7 M recompradas en 2025 por 1.300 M USD y nuevo programa de 3.000 M USD desde enero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 tras ejercer 52.079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Mayur V. Kapani (director de tecnología), 14 ventas desde el 2025-10-08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Benjamin R. Jackson (President), 8 ventas desde el 2026-02-10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C. Martin (presidenta de NYSE Group), 7 ventas desde el 2026-02-20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Surdykowski (abogado general), 8 ventas desde el 2025-11-11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S. Edmonds (presidente de FIDS), 5 ventas desde el 2026-02-19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A. Foley (recursos humanos), 5 ventas desde el 2025-12-12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Warren Gardiner (director financiero), 4 ventas desde el 2025-11-20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A. Sprieser (consejera hasta mayo de 2026), 9 ventas desde el 2025-12-05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Martha A. Tirinnanzi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Lord Hague of Richmond (consejero),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Sharon Y. Bowen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Sprecher devengó 22,13 M USD en 2025: 1,40 M de fijo, 4,05 M de bonus y 16,67 M en acciones, 196 veces el empleado mediano (112.902 USD) [38]. El bonus (objetivo, 250 % del fijo; tope, 200 % del objetivo) mide ingresos netos (30 %) y beneficio operativo ajustado (70 %) y pagó el 108 % [38]. El largo plazo es 30 % PSU por TSR a tres años frente al S&amp;P 500, 40 % PSU por EBITDA de 2027 y 30 % acciones por permanencia; las PSU por TSR de 2023 pagaron el 168 % [38]. </w:t>
      </w:r>
      <w:r>
        <w:rPr>
          <w:b/>
        </w:rPr>
        <w:t xml:space="preserve">En 2024 votó en contra el 20,6 %</w:t>
      </w:r>
      <w:r>
        <w:t xml:space="preserve"> por un premio extraordinario ligado a Black Knight; ICE los suprimió y el apoyo subió al 93,5 % en 2025 y al 92,1 % en 2026 [38, 39, 40, 41]. Hay dos cláusulas de recuperación y doble condición en el cambio de control [38].</w:t>
      </w:r>
    </w:p>
    <w:p>
      <w:pPr>
        <w:pStyle w:val="Heading2"/>
      </w:pPr>
      <w:r>
        <w:t xml:space="preserve">Operaciones vinculadas, estructura de control y defensas</w:t>
      </w:r>
    </w:p>
    <w:p>
      <w:pPr>
        <w:spacing w:after="100"/>
      </w:pPr>
      <w:r>
        <w:t xml:space="preserve">No hay accionista de control: los mayores son Vanguard y BlackRock, gestoras pasivas, y consejo y dirección suman menos del 1 % [38]. </w:t>
      </w:r>
      <w:r>
        <w:rPr>
          <w:b/>
        </w:rPr>
        <w:t xml:space="preserve">Los estatutos limitan el voto al 10 % y la propiedad al 20 %</w:t>
      </w:r>
      <w:r>
        <w:t xml:space="preserve">, pero no es un blindaje elegido: lo exige la SEC a quien controla bolsas registradas (NYSE) y una plataforma de swaps sobre valores, y todo cambio estatutario pasa por la SEC; la ampliación de 2026 obtuvo el 99,8 % de los votos y rige desde el 28 de agosto [38, 39, 50]. Los votos de Vanguard por encima del 10 % no cuentan. Hay elección anual por mayoría, acceso al proxy y junta extraordinaria a petición del 20 %, sin acuerdos por consentimiento escrito [38]. Las vinculadas son menores: el avión de Sprecher en un pool de una filial y la consultoría de Lord Hill (198.000 GBP en 2024) [38, 42].</w:t>
      </w:r>
    </w:p>
    <w:p>
      <w:pPr>
        <w:pStyle w:val="Heading2"/>
      </w:pPr>
      <w:r>
        <w:t xml:space="preserve">Señales de alerta</w:t>
      </w:r>
    </w:p>
    <w:p>
      <w:pPr>
        <w:pStyle w:val="ListParagraph"/>
        <w:numPr>
          <w:ilvl w:val="0"/>
          <w:numId w:val="2"/>
        </w:numPr>
        <w:spacing w:after="60"/>
      </w:pPr>
      <w:r>
        <w:t xml:space="preserve">Mayo de 2024: ICE pagó 10 M USD a la SEC por no hacer que nueve filiales (entre ellas la NYSE) avisaran a tiempo de una intrusión informática de abril de 2021, como exige el Reglamento SCI [49].</w:t>
      </w:r>
    </w:p>
    <w:p>
      <w:pPr>
        <w:pStyle w:val="ListParagraph"/>
        <w:numPr>
          <w:ilvl w:val="0"/>
          <w:numId w:val="2"/>
        </w:numPr>
        <w:spacing w:after="60"/>
      </w:pPr>
      <w:r>
        <w:t xml:space="preserve">La propuesta de presidente independiente obtuvo el 29 % de los votos en 2024 y el 23,7 % en 2026: una minoría estable rechaza que Sprecher acumule presidencia y dirección ejecutiva [39, 41].</w:t>
      </w:r>
    </w:p>
    <w:p>
      <w:pPr>
        <w:pStyle w:val="ListParagraph"/>
        <w:numPr>
          <w:ilvl w:val="0"/>
          <w:numId w:val="2"/>
        </w:numPr>
        <w:spacing w:after="60"/>
      </w:pPr>
      <w:r>
        <w:t xml:space="preserve">Sucesión sin nombre: el presidente y primer ejecutivo tiene 71 años, lleva el cargo desde 2000 y no hay sucesor anunciado [38].</w:t>
      </w:r>
    </w:p>
    <w:p>
      <w:pPr>
        <w:pStyle w:val="ListParagraph"/>
        <w:numPr>
          <w:ilvl w:val="0"/>
          <w:numId w:val="2"/>
        </w:numPr>
        <w:spacing w:after="60"/>
      </w:pPr>
      <w:r>
        <w:t xml:space="preserve">Ventas sistemáticas de directivos: 92,9 M USD en doce meses sin ninguna compra; Sprecher vendió 429.937 acciones por 66,4 M USD, todas dentro de planes 10b5-1 [43].</w:t>
      </w:r>
    </w:p>
    <w:p>
      <w:pPr>
        <w:pStyle w:val="ListParagraph"/>
        <w:numPr>
          <w:ilvl w:val="0"/>
          <w:numId w:val="2"/>
        </w:numPr>
        <w:spacing w:after="60"/>
      </w:pPr>
      <w:r>
        <w:t xml:space="preserve">Lord Hill, consejero desde septiembre de 2025, no es independiente porque cobró 198.000 GBP en 2024 por consultoría para ICE Futures Europe [42].</w:t>
      </w:r>
    </w:p>
    <w:p>
      <w:pPr>
        <w:pStyle w:val="ListParagraph"/>
        <w:numPr>
          <w:ilvl w:val="0"/>
          <w:numId w:val="2"/>
        </w:numPr>
        <w:spacing w:after="60"/>
      </w:pPr>
      <w:r>
        <w:t xml:space="preserve">No se hallan multas de la CFTC, la FCA ni el Banco de Inglaterra a ICE en 2025-2026; la nota de litigios del 10-K de 2025 no recoge procedimientos materiales abiertos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ICE no da objetivo de beneficio: guía ingresos recurrentes, gastos, inversión y acciones. El 30-jul-2026, con el 2T26, la subió [6]: ingresos recurrentes de Bolsas con crecimiento de un dígito alto (en febrero, de un dígito medio [5]); ingresos recurrentes de Renta fija y datos, del 7-8 % (antes, un dígito medio); gastos operativos GAAP de 5.140-5.180 M USD (antes, 5.010-5.075 M) y ajustados de 4.190-4.230 M (antes, 4.075-4.140 M), que excluyen la amortización de intangibles adquiridos, la integración y asuntos regulatorios; inversión de unos 850 M (antes, 740-790 M) y 560-566 M de acciones medias en el 3T26 [5, 6]. En febrero, Tecnología hipotecaria esperaba crecer entre un dígito bajo y medio [5]. La guía no incluye MarketAxess, cuyo cierre se espera en el primer semestre de 2027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 236,00</w:t>
            </w:r>
          </w:p>
        </w:tc>
      </w:tr>
    </w:tbl>
    <w:p>
      <w:pPr>
        <w:spacing w:after="160" w:before="0"/>
      </w:pPr>
    </w:p>
    <w:p>
      <w:pPr>
        <w:pStyle w:val="Heading2"/>
      </w:pPr>
      <w:r>
        <w:t xml:space="preserve">Revisiones de estimaciones</w:t>
      </w:r>
    </w:p>
    <w:p>
      <w:pPr>
        <w:spacing w:after="100"/>
      </w:pPr>
      <w:r>
        <w:t xml:space="preserve">No hay gratis un historial de revisiones del BPA o el EBITDA a 3 y 12 meses: MarketScreener solo las muestra en gráficos [57]. Lo que sí consta es la revisión de la propia empresa: el 30-jul-2026 subió la guía de ingresos recurrentes de Bolsas y de Renta fija y datos, y también la de gastos e inversión [6]. Entre los analistas, BofA subió su precio objetivo a 236 USD, Raymond James mantiene compra fuerte con 211 USD y TD Cowen bajó a mantener con 166 USD a principios de octubre [57]. El consenso es de una sola fuente con estimaciones completas (MarketScreener [56]); Stock Analysis [58] coincide en ingresos de 2026 (11.040 M USD), en el número de analistas (16) y en el precio objetivo medio (185,33 frente a 185,20 USD), pero da un BPA de 8,17 USD para 2026, ajustado, frente a 7,17 en MarketScreener.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Rentabilidades totales con dividendos; índice, el ETF SPY del S&amp;P 500, y sector, el ETF XLF de financieras de EE. UU. [54]. La sesión del 8-oct-2026 no había cerrado: se usa el cierre del 7 de octubre (152,59 USD). ICE pierde un 4,8 % en el año frente al +14,9 % del S&amp;P 500 y el −0,7 % de las financieras, y en cinco años rinde un 4,9 % anual frente al 13,7 %. Tocó máximo el 29-ene-2026 (176,05 USD) y cayó un 5,8 % el 3 de febrero y un 7,8 % el 11 de febrero, sus dos peores sesiones del año; el mínimo, 121,79 USD, llegó el 29 de junio, un mes antes del acuerdo con MarketAxess (29 de julio) [8, 54]. La peor caída de cinco años (−34,3 %) fue entre noviembre de 2021 y junio de 2022, con la subida de tipos y el anuncio de la compra de Black Knight [2, 54]. Beta mensual a cinco años frente al SPY: 0,86 (ajustada, 0,91) [54]. Posición corta: 1,14 % de las acciones, según Stock Analysis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[54]; no hay múltiplos de los próximos 12 meses gratuitos por año. Dos cambios estructurales afectan a la comparación. Primero, Ellie Mae (2020) y Black Knight (septiembre de 2023) llevaron a ICE a la tecnología hipotecaria y elevaron la deuda bruta a 22.600 M USD a cierre de 2023 [2]. Segundo, desde entonces la amortización de intangibles adquiridos ronda 1.000 M USD al año (993 M en 2025) [5], de modo que el PER contable supera con holgura al PER sobre el BPA ajustado que usa la empresa (5,77 frente a 6,95 USD en 2025) [5]. El año 2022 (−23,9 %) recoge la subida de tipos y el anuncio de Black Knight; no se excluye porque el beneficio no se hundió.</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financieros. Bolsas con cámara y datos: CME, Nasdaq, Deutsche Börse y LSEG. Plataformas de renta fija electrónica, como la división de ICE que crecerá con MarketAxess: Tradeweb. Datos y índices puros, sin bolsa: S&amp;P Global y MSCI, que encajan peor (más márgenes de software y nada de compensación ni de hipotecas). Quedan fuera MarketAxess (su precio está anclado a la oferta de ICE), Cboe y Euronext (no se obtuvieron las estimaciones del mismo proveedor) y ninguna cotizada replica Tecnología hipotecaria. Todas las cifras son de MarketScreener [60, 61, 62, 63, 64, 65, 66] (real 2025 y estimaciones 2026-2027), las acciones de Stock Analysis [67, 68, 69, 70, 71, 72, 73] y el precio del 7-oct-2026 de Yahoo [54]; libras y euros a dólares con el tipo del BCE del 7-oct-2026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13,7 + 0,23 × crecimiento; R² = 0,08. El crecimiento explica poco los múltiplos de estos comparables (R² &lt; 0,3): la regresión no se usa en la valoración.</w:t>
      </w:r>
    </w:p>
    <w:p>
      <w:pPr>
        <w:spacing w:after="100"/>
      </w:pPr>
      <w:r>
        <w:t xml:space="preserve">Con la misma base de MarketScreener [56], ICE cotiza a unas 13,6 veces el EBITDA de los próximos 12 meses (estimación propia: capitalización de 85.969 M USD más 18.779 M de deuda neta a 30-jun-2026, sin restar participadas). La mediana de los siete comparables es 15,7 veces, y la del PER de los próximos 12 meses, 23,9 veces, frente a unas 21 de ICE. El descuento no se explica por el crecimiento: la mediana de los comparables es del 7 % y ICE crece algo más según el consenso. Tampoco por el margen: el 66 % de ICE en 2025 solo lo supera CME (71 %). Sí pesan dos cosas. El ROIC de ICE es del 8,6 % [59], bajo por el fondo de comercio de Ellie Mae y Black Knight. Y Tecnología hipotecaria depende del ciclo de la vivienda. S&amp;P Global crece un 0,1 % por la salida de Mobility, que distorsiona su crecimiento. LSEG (9 veces) arrastra el bajo margen de Refinitiv. Para ICE, la referencia más limpia son CME, Nasdaq y Deutsche Börse (13,7-18,5 veces los próximos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previsto en el 1S27 [8]. 167 USD en efectivo × 35,24 M de acciones diluidas (2T26) = 5.885 M, menos 305 M de caja neta a 30-jun-2026 (246 M de caja y 171 M de inversiones, menos 112 M de crédito). Ventas y EBITDA de los últimos 12 meses a junio de 2026: 870 M y 430 M (cuentas de MarketAxess) [11, 75, 76, 77]. La prima es la que publica el folleto sobre el cierre del 29-jul-2026.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(Thoma Bravo) como vendedor; 5.750 M en efectivo y 85,6 M de acciones de Nasdaq. Múltiplos sobre las previsiones de 2023 que publicó Nasdaq (unos 590 M de ventas y un margen EBITDA ajustado del 58 %), no sobre los últimos 12 meses: estimación propia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de S&amp;P Global por cada IHS Markit); valor empresa publicado de 44.000 M con 4.800 M de deuda neta [79]. Ventas (4.288 M) y EBITDA ajustado (1.837 M) del ejercicio cerrado en noviembre de 2020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(90 % en efectivo), tras rebajar el precio inicial y vender Optimal Blue y Empower a Constellation para obtener la aprobación de la FTC. La cifra es la contraprestación por las acciones (11.800 M); además, ICE asumió unos 1.000 M de bonos [2]. No hay EBITDA oficial del perímetro comprado: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204,68 – 316,16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se reparten en dos grupos. El activo de negociación de renta fija y crecimiento lento (MarketAxess) se paga a 13 veces el EBITDA de los últimos 12 meses, en lo bajo del rango de 13 a 20 veces que usó J.P. Morgan en su opinión de equidad [75]. Los activos de datos y software recurrente (IHS Markit, Adenza) se pagaron a 24-31 veces, en un momento de tipos más bajos. ICE es comprador habitual y no objetivo: con unos 86.000 M USD de capitalización, solo CME o S&amp;P Global podrían comprarla, y la competencia lo haría muy difícil. Las transacciones sirven para leer el valor de las partes (Tecnología hipotecaria frente a Black Knight y Ellie Mae; Renta fija frente a MarketAxess), no como precio de control de ICE entera.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(+11,0 %, fijo) replica el consenso de 11.038 M USD [56]: el 1S26 ya creció un 12,5 % (5.643 M frente a 5.016 M) [8] y el volumen medio diario del 3T26 subió un 31 % interanual, con Brent +38 % y TTF +39 % [35]. Para 2027e solo +5,0 %: la comparación con un 2026 de volatilidad récord en energía es exigente (el 1T26 creció un 20 %, el 2T26 un 4,8 %) [6, 7]. Después, 6,0 % en 2028-2029, apoyado en ingresos recurrentes que crecen un 8 % (2T26) [6], la recuperación hipotecaria que prevé Fannie Mae (2,12 billones USD en 2026 y 2,28 en 2027, aún la mitad de 2021) [27] y la compensación de bonos del Tesoro (repos desde el 4T26) [1]. Baja al 3 % en 2035e. La TCAC 2021-2025 fue del 8,6 %, con Black Knight dentro [1].</w:t>
      </w:r>
    </w:p>
    <w:p>
      <w:pPr>
        <w:keepNext/>
        <w:spacing w:after="100"/>
      </w:pPr>
      <w:r>
        <w:rPr>
          <w:b/>
          <w:bCs/>
        </w:rPr>
        <w:t xml:space="preserve">Márgenes.</w:t>
      </w:r>
    </w:p>
    <w:p>
      <w:pPr>
        <w:spacing w:after="100"/>
      </w:pPr>
      <w:r>
        <w:t xml:space="preserve">Margen EBITDA del 66,5 % en 2026-2027 y del 67,0 % desde 2029. Es el de 2025 (66,0 % sin los 70 M de integración) y queda por debajo del 66,8 % del 2T26 y del 68,8 % del 1T26, trimestres inflados por la energía [6, 7]. El consenso descuenta un 67,2 % ajustado en 2026, que equivale a un 66,5 % con el criterio de las cuentas (los costes de integración restan un 0,7 % de las ventas) [5, 56]. Solo CME, con un 71 % de margen EBITDA, está por encima entre los comparables [60]. No proyectamos expansión: la guía de gastos ajustados de 2026 subió dos veces (de 4.075-4.140 M a 4.190-4.230 M) [5, 6].</w:t>
      </w:r>
    </w:p>
    <w:p>
      <w:pPr>
        <w:keepNext/>
        <w:spacing w:after="100"/>
      </w:pPr>
      <w:r>
        <w:rPr>
          <w:b/>
          <w:bCs/>
        </w:rPr>
        <w:t xml:space="preserve">Inversión y circulante.</w:t>
      </w:r>
    </w:p>
    <w:p>
      <w:pPr>
        <w:spacing w:after="100"/>
      </w:pPr>
      <w:r>
        <w:t xml:space="preserve">Capex del 7,7 % de las ventas en 2026 (la guía de unos 850 M USD) [6], que baja al 6,0 % en 2034-2035, frente al 8,0-8,1 % de 2024-2025 y al 6,1-6,6 % de 2021-2023, cuando no se capitalizaba tanto software [1]. La amortización del DCF es solo la del inmovilizado y el software propio (5,5 % de las ventas; 566 M USD en 2025 [1]): la de intangibles adquiridos (994 M en 2025) no se deduce, porque no da escudo fiscal en caja. Lo confirma el pasivo por impuesto diferido de 4.064 M USD sobre 15.353 M de intangibles [1]. Circulante del 4,8 % de las ventas, como en 2023-2025.</w:t>
      </w:r>
    </w:p>
    <w:p>
      <w:pPr>
        <w:keepNext/>
        <w:spacing w:after="100"/>
      </w:pPr>
      <w:r>
        <w:rPr>
          <w:b/>
          <w:bCs/>
        </w:rPr>
        <w:t xml:space="preserve">Coste del capital.</w:t>
      </w:r>
    </w:p>
    <w:p>
      <w:pPr>
        <w:spacing w:after="100"/>
      </w:pPr>
      <w:r>
        <w:t xml:space="preserve">Tasa libre: bono del Tesoro de EE. UU. a 10 años del 5,27 % (FRED, 6-oct-2026) [55]. Beta de 0,91: la ajustada, mensual a 5 años, frente al SPY. Contraste: 0,85 frente a las financieras (XLF) y 1,01 frente a una cesta de CME, Nasdaq y Cboe [54]. CME (0,20) y Cboe (0,41) son casi acíclicas, con R² por debajo de 0,1, y no sirven de referencia; ICE se mueve como Nasdaq (0,99), con un negocio hipotecario y de datos más ligado al ciclo [54]. Prima de mercado del 5,0 %. Coste de la deuda del 6,1 %: el bono a 2036 de ago-26 salió a 82 puntos básicos sobre el Tesoro, y ICE tiene A3/A- [83]. Peso de la deuda del 19 % a valor de mercado. Resultado: WACC del 8,84 % y coste del capital del 9,82 %.</w:t>
      </w:r>
    </w:p>
    <w:p>
      <w:pPr>
        <w:keepNext/>
        <w:spacing w:after="100"/>
      </w:pPr>
      <w:r>
        <w:rPr>
          <w:b/>
          <w:bCs/>
        </w:rPr>
        <w:t xml:space="preserve">Valor terminal.</w:t>
      </w:r>
    </w:p>
    <w:p>
      <w:pPr>
        <w:spacing w:after="100"/>
      </w:pPr>
      <w:r>
        <w:t xml:space="preserve">Crecimiento a perpetuidad del 3,0 % en USD, Gordon. Es menos que el nominal de EE. UU. a largo plazo y queda entre la inflación esperada y la tasa libre menos medio punto (4,77 %). Implica un múltiplo de salida de 12,2 veces el EBITDA, por debajo de los 14,4 a los que cotiza hoy y de los 15,6 a 19,9 de los últimos cinco cierres de ejercicio. Es un terminal prudente para un negocio con un 51 % de ingresos recurrentes [1]. El valor terminal pesa el 61 % del valor. Cada medio punto de crecimiento a perpetuidad mueve el valor unos 10-11 USD por acción.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8,8 %)</w:t>
            </w:r>
          </w:p>
        </w:tc>
      </w:tr>
    </w:tbl>
    <w:p>
      <w:pPr>
        <w:spacing w:after="160" w:before="0"/>
      </w:pPr>
    </w:p>
    <w:p>
      <w:pPr>
        <w:spacing w:after="100"/>
      </w:pPr>
      <w:r>
        <w:t xml:space="preserve">El DCF vale 154,01 USD por acción, un 0,9 % sobre el precio de 152,59: el mercado paga lo que valen las previsiones del consenso descontadas al 8,84 %. El DCF inverso lo confirma: el precio descuenta un crecimiento del 4,6 % anual en 2027e-2035e con un margen del 66,5 %, prácticamente nuestro caso base (4,7 % y 67,0 %), y una rentabilidad implícita del 8,9 %, igual a nuestro WACC. No es exigente: ICE creció un 8,6 % anual en 2021-2025 y el consenso espera un 6-7 % en 2027-2028 [56]. Tampoco es una ganga: para ganar dinero hay que creer en más crecimiento que el de la base o en un coste de capital menor. Con la prima que hoy pide el mercado (4,2 % frente a nuestro 5,0 %), el WACC baja al 8,25 % y el DCF sube a 174,55 USD. La diferencia entre las dos lecturas es solo la tasa de descuento: nuestras cifras coinciden con el consenso (−0,1 % en ingresos y −0,2 % en EBITDA de 2026). El valor terminal pesa el 61 % y una variación de medio punto en el WACC mueve el valor entre 139,61 y 171,13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la energía se normaliza en 2027 y los ingresos de energía (2.362 M USD en los últimos 12 meses) vuelven a niveles de 2024: los ingresos caen un 3,5 % ese año, el margen pierde 2 puntos (1,5 en los siguientes). EMIR 3.0 desplaza parte de los derivados de tipos en euros a cámaras de la UE y la originación hipotecaria se estanca. Ya pasó en 2022: Mortgage Technology cayó un 20 % [3] y la acción, un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previsiones del consenso: +11 % en 2026, +5 % en 2027 tras un año de volatilidad récord y un 6 % después, con margen EBITDA estable en el 66,5-67 %. MarketAxess se integra sin destruir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interés abierto récord se mantiene, la compensación de bonos del Tesoro despega y la originación hipotecaria se acerca a los 2,3 billones USD que prevé Fannie Mae para 2027 [27]: el crecimiento es 1,5 puntos mayor cada año y el margen, un punto más alto, con un WACC 0,25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151,50 USD (-0,7 %).</w:t>
      </w:r>
    </w:p>
    <w:p>
      <w:pPr>
        <w:spacing w:after="100"/>
      </w:pPr>
      <w:r>
        <w:t xml:space="preserve">Con nuestro WACC, el alcista gana un 26,6 % (193,25 USD) y el bajista pierde un 31,4 % (104,71 USD): asimetría de 0,85 veces, que no compensa. El valor ponderado (151,50 USD) queda un 0,7 % por debajo del precio. Con la prima de riesgo que pide hoy el mercado, la asimetría pasa a 1,93 veces (alcista 221,30 USD, bajista 116,92 USD): es esa lectura la que da la recomendación. El bajista no es cosmético: incluye un año con caída de ingresos (algo que ICE no ha tenido en 2021-2025, pero su segmento hipotecario sí, en 2022 [3]) y un WACC medio punto mayor. La pérdida máxima de la acción en cinco años fue del 34,3 % [54].</w:t>
      </w:r>
    </w:p>
    <w:p>
      <w:pPr>
        <w:pStyle w:val="Heading1"/>
      </w:pPr>
      <w:r>
        <w:t xml:space="preserve">22. Suma de partes</w:t>
      </w:r>
    </w:p>
    <w:p>
      <w:pPr>
        <w:pStyle w:val="Confianza"/>
        <w:spacing w:after="100"/>
      </w:pPr>
      <w:r>
        <w:t xml:space="preserve">Confianza: Media</w:t>
      </w:r>
    </w:p>
    <w:p>
      <w:pPr>
        <w:spacing w:after="100"/>
      </w:pPr>
      <w:r>
        <w:t xml:space="preserve">La suma de partes vale 110.291 M USD de valor empresa y 167,40 USD por acción, un 9,7 % sobre el precio. Exchanges aporta el 67 % del valor. El ejercicio muestra que el precio no paga una prima por la mezcla: a 14,4 veces el EBITDA de los últimos 12 meses, el conjunto cotiza por debajo de cualquiera de sus partes valoradas a múltiplos de sus comparables. Mortgage Technology es la parte más discutible: a 13 veces vale 14.131 M USD, cuando ICE pagó unos 11.800 M por Black Knight y 11.000 M por Ellie Mae [1]; a 10 veces, el valor por acción bajaría unos 6 USD. No aplicamos descuento de conglomerado: los tres segmentos comparten tecnología, red y clientes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segmento de los últimos 12 meses sin costes de integración (resultado operativo 4.388 M + amortización 254 M + 3 M) [1, 8]. 16 veces: por debajo de CME (20,7 veces los últimos 12 meses) y Nasdaq (19,4), en línea con Deutsche Börse (16,1) [60, 61, 63], porque el LTM lleva un primer trimestre de energía excepcional.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últimos 12 meses: resultado operativo 1.017 M + amortización 345 M + 3 M [1, 8]. 16 veces, como S&amp;P Global (16,3 veces), por debajo de MSCI (24,2) y Tradeweb (20,8) y por encima de LSEG (10,5) [62, 64, 65, 66]: ingresos recurrentes que crecen un 7-8 % y un margen EBITDA del 54 %.</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los últimos 12 meses: resultado operativo 62 M + amortización 950 M + integración 75 M [1, 8]. 13 veces, el múltiplo que ICE paga ahora por MarketAxess [75, 76]: software con un 75 % de ingresos recurrentes, pero ligado al ciclo hipotecario y sin comparable cotizado puro.</w:t>
            </w:r>
          </w:p>
        </w:tc>
      </w:tr>
    </w:tbl>
    <w:p>
      <w:pPr>
        <w:spacing w:after="160" w:before="0"/>
      </w:pPr>
    </w:p>
    <w:p>
      <w:pPr>
        <w:spacing w:after="100"/>
      </w:pPr>
      <w:r>
        <w:rPr>
          <w:b/>
          <w:bCs/>
        </w:rPr>
        <w:t xml:space="preserve">Valor por acción por suma de partes:</w:t>
      </w:r>
      <w:r>
        <w:t xml:space="preserve"> 167,40 (+9,7 %); con ±1x en los múltiplos, 138,04 – 196,77.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160,42 USD (+5,1 % sobre 152,59).</w:t>
      </w:r>
    </w:p>
    <w:p>
      <w:pPr>
        <w:spacing w:after="100"/>
      </w:pPr>
      <w:r>
        <w:t xml:space="preserve">El DCF pesa el 40 % porque ICE es un negocio estable con un 51 % de ingresos recurrentes y flujos predecibles [1]. Los escenarios (25 %) recogen el riesgo de que la volatilidad de la energía se normalice. Los comparables (20 %) y la suma de partes (15 %) aportan la lectura de mercado: los dos dan más valor (179,17 y 167,40 USD) porque ICE cotiza a 13,3 veces el EBITDA de los próximos 12 meses, frente a la mediana de 15,7 de sus comparables, y a 14,4 veces el de los últimos 12, por debajo de su mínimo de cinco años (15,6) [54]. Las transacciones no pesan: llevan prima de control (mediana de 24 veces) y ICE es comprador, no objetivo. La dispersión es moderada (151-179 USD sin transacciones), con el precio en la parte baja. El valor objetivo de 160,42 USD queda un 5,1 % por encima del precio; con la prima del mercado sube a 173,73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+31 % y energía +18 % en el trimestre [35]: prueba de que el 2026e del consenso (+11 %)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fusión; el plazo de espera de la ley HSR debía vencer el 25-sep-2026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de repos del Tesoro en ICE Clear Credit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de compensación con la obligación de compensar del Tesoro de EE. UU.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 la SEC sobre escalones de precio y tarifas de acceso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los ingresos netos de acciones al contado de la NYSE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ingresos recurrentes; primera lectura de la comparación con un 2026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de hasta 3,4 veces el EBITDA y vuelta a 3 o menos en 18-24 meses [16]; si se bloquea, ICE paga 327,4 M USD y amortiza los bonos al 101 % [11, 83].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en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104,71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récord y 51 % de ingresos recurrentes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energía en las estadísticas mensuales de ICE; septiembre, +4 %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tasa libre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medio punto de WACC (139,61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de 13 años y coste del 3,7 %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MarketAxess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destruye un tercio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13,0 veces, bajo para un activo de datos y negociación [75].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MarketAxess en crédito de EE. UU. y bajas de clientes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y bajas de clientes en Encompass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6 USD) si Mortgage Technology vale 10 veces su EBITDA en vez de 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ingresos recurrentes y MSP como sistema de referencia en servicing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originación por debajo de 190 M USD por trimestre (197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 y la compensación de derivados de euros en Londres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Clear Netherlands en la UE; equivalencia británica hasta jun-2028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Euribor en ICE frente a Eurex.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Jeffrey Sprecher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−5 % de reacción plausible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Ben Jackson (presidente) y Lynn Martin (NYSE)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consejero delegado distinto del presidente.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EEX en el gas europeo (TTF)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y opciones del TTF en ICE Endex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TTF en EEX frente a ICE (EEX +25 % en 2025)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activos digitales (Polymarket, OKX)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 (3,9 USD) si se depreciaran a cero (2.200 M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EBITDA; se valoran aparte en el puente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a la baja o problemas regulatorios de los mercados de predicción.</w:t>
            </w:r>
          </w:p>
        </w:tc>
      </w:tr>
    </w:tbl>
    <w:p>
      <w:pPr>
        <w:spacing w:after="160" w:before="0"/>
      </w:pPr>
    </w:p>
    <w:p>
      <w:pPr>
        <w:pStyle w:val="Heading2"/>
      </w:pPr>
      <w:r>
        <w:t xml:space="preserve">Pre-mortem</w:t>
      </w:r>
    </w:p>
    <w:p>
      <w:pPr>
        <w:spacing w:after="100"/>
      </w:pPr>
      <w:r>
        <w:t xml:space="preserve">Octubre de 2029: la acción cotiza a 92 USD, un 40 % menos. La historia empezó en 2027: tras dos años de guerra comercial y tensión geopolítica, la volatilidad del petróleo y del gas europeo se normalizó y el volumen de energía cayó un 25 %. Como la base de costes de ICE es fija, el margen EBITDA bajó del 66,5 % al 63 %. A la vez, la cuenta activa de EMIR 3.0 se llevó parte de los Euribor a Fráncfort y la Fed, con la inflación pegajosa, no bajó los tipos: el bono a 10 años siguió por encima del 5 % y la originación hipotecaria se quedó en 2 billones USD. MarketAxess, comprada en lo alto del ciclo de renta fija electrónica, perdió cuota frente a Tradeweb y la deuda se quedó en 3,4 veces el EBITDA, sin recompras durante dos años. El mercado dejó de pagar 14 veces el EBITDA y pagó 11, como a LSEG. Los indicadores que lo habrían anticipado: el interés abierto de energía (que ya solo crecía un 4 % en septiembre de 2026 [35], frente al +31 % del volumen), los ingresos de originación hipotecaria por trimestre y la guía de gastos de febrero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Ciberseguridad y continuidad</w:t>
      </w:r>
      <w:r>
        <w:t xml:space="preserve">: ICE opera infraestructura crítica (Mortgage Technology está designada como tal por Seguridad Nacional y el Tesoro de EE. UU.) y un fallo trae multas y pérdida de confianza, como la sanción de la SEC de 2024 [1, 37]. </w:t>
      </w:r>
      <w:r>
        <w:rPr>
          <w:b/>
        </w:rPr>
        <w:t xml:space="preserve">Privacidad de datos de consumidores</w:t>
      </w:r>
      <w:r>
        <w:t xml:space="preserve">: el software hipotecario procesa datos personales bajo la supervisión de la FFIEC y la CFPB [1]. </w:t>
      </w:r>
      <w:r>
        <w:rPr>
          <w:b/>
        </w:rPr>
        <w:t xml:space="preserve">Transición energética</w:t>
      </w:r>
      <w:r>
        <w:t xml:space="preserve">: ICE vende mercados de derechos de emisión y combustibles renovables desde hace más de dos décadas y la UE ha intervenido el TTF (tope de precio hasta enero de 2025) [1]; la nueva regulación europea de calificaciones ESG (julio de 2026) alcanza a parte de ICE Data Services [1].</w:t>
      </w:r>
    </w:p>
    <w:p>
      <w:pPr>
        <w:pStyle w:val="Heading2"/>
      </w:pPr>
      <w:r>
        <w:t xml:space="preserve">Controversias</w:t>
      </w:r>
    </w:p>
    <w:p>
      <w:pPr>
        <w:spacing w:after="100"/>
      </w:pPr>
      <w:r>
        <w:t xml:space="preserve">Mayo de 2024: ICE pagó 10 M USD a la SEC por no avisar a tiempo, en nueve filiales incluida la NYSE, de una intrusión en su VPN detectada en abril de 2021 (Regulation SCI) [37]. 2023: la FTC impugnó la compra de Black Knight y la aprobó con la venta de Empower y Optimal Blue; ICE registró una pérdida de 160 M USD en el pagaré de esa venta, cobrado por 75 M en 2024 [1]. En 2024 cobró 160 M USD por un laudo arbitral frente a PennyMac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energía de 2026 es interés abierto nuevo y qué parte volumen especulativo que se irá con la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el volumen de energía subió un 26 % y el interés abierto solo un 4 % [35]; el bajista depende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ingresos y costes se esperan, con qué plazo y con qué costes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13,0 veces el EBITDA, la compra solo crea valor con sinergias; no se han publicado cifras en los documentos revisados.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es compatible con mantener el A3/A- y las recompras de 350-400 M USD por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hasta 3,4 veces y volver a 3 o menos en 18-24 meses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Encompass se perdieron en 2025 y cuál es la tasa de renovación de MSP?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bajas de clientes en originación [1] y no hay cuota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interés abierto de Euribor se ha trasladado a ICE Clear Netherlands y cuánto a Eurex?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competitiva con mayor probabilidad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Polymarket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con la participación en Polymarket y qué ingresos de datos genera para 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de valor contable sin precio de mercado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presidente y primer ejecutivo, de 71 años y en el cargo desde 2000?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sucesor anunciado y el 23,7 % votó en 2026 por separar presidencia y dirección [38, 39].</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83 (49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4,8 % frente a 4,8 % real: genera una variación de circulante de 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comparables de modelos distintos (bolsas, datos puros, plataformas de renta fija) el crecimiento no explica el múltiplo (R² 0,08):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del 2T26 y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ICE (solo audio archivado; no se descarga por la regla del navegador); 2) búsqueda web de la transcripción: Stock Taper sin resumen («No summary has been written»), AllMind con la intervención de la dirección pero sin turno de preguntas; 3) Beta Finch y otros agregadores no consultados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turno de preguntas; se usan la intervención de la dirección [16] y las notas de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 1T25 y 2T25; vs_consenso de todos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disponibles (solo dan el comparativo del propio trimestre); 2) Company Facts XBRL (sin ingresos netos de gastos transaccionales por trimestre); 3) no se descargaron las notas de prensa de 2024 por presupuesto; el consenso previo no se buscó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anteriores a 2020 (Interactive Data 2015, BondPoint, TMC, Chicago Stock Exchange) y precio total de Ellie Mae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2023: no las detallan; 2) Company Facts: caja neta pagada por compras de 425 M (2016), 423 M (2017), 1.246 M (2018), 352 M (2019) y 9.446 M (2020), sin desglose; 3) no se descargaron los 10-K de 2015-2020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en MSP e ingreso por préstamo cerrado en Encompass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sección de Mortgage Technology: no publica número de préstamos ni ingreso por préstamo; 2) 10-Q 2T26: tampoco; 3) notas de prensa del 4T25 y 2T26: solo ingresos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Ficha pública de Sustainalytics de ICE con descargar.mjs: redirige a la portada; 2) la misma ficha con WebFetch: la página no muestra la puntuación (carga por JavaScript); la herramienta pública de MSCI tampoco es legible sin navegador; 3) agregador secundario knowesg.com: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(Encompass en originación, MSP en servicing, ICE frente a EEX en TTF)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ICE: no publica cuotas de Encompass ni de MSP; 2) demanda de la FTC contra ICE/Black Knight (2023): la página de la FTC da 404, el PDF del tribunal redirige a la portada y la copia de appliedantitrust.com agota el tiempo; 3) 10-K 2022 de Black Knight en EDGAR: falla la descarga dos veces; para el TTF, EEX publica TWh e ICE contratos, sin base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FIA, volumen anual 2025: sin ranking accesible en la página; 2) Burton-Taylor 2026 (TP ICAP): de pago, la página solo da el resumen; 3) WFE: sin cuota agregada de los cinco primeros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originación de la MBA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Archivo de previsiones de mba.org con descargar.mjs: HTTP 403; 2) búsqueda del PDF de la previsión: sin enlace directo; 3) artículo de HousingWire que cita la previsión de septiembre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Fannie Mae como serie y la MBA por la prensa como contraste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(una presentación de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sobre EDGAR: la presentación 0001193125-26-354149 (agosto de 2026) agotó el tiempo de espera; 2) cuatro reintentos completos de la herramienta; las otras 91 se leyeron; 3) no se pudo identificar su contenido sin descargar el documento, y EDGAR seguía dando tiempos de espera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total de 92,9 M USD puede quedarse corto en una presentación)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State Street y otros por debajo del 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de 2026 (solo BlackRock y Vanguard superan el 5 %); 2) lista de 13G/13G/A de EDGAR desde 2024 (solo Vanguard y BlackRock); 3) los 13F no se consultaron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 numérico de desapalancamiento tras Black Knight (múltiplo deuda/EBITDA y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4T23, 4T24 y 4T25: solo dicen que se redujo el apalancamiento, que la empresa está dentro de su rango objetivo y que reanudaría recompras en el 1T25; 2) búsqueda web: aparecen 3,25x y 2,75-3,0x atribuidos a la conferencia de 2022, sin documento primario; 3) transcripción de la conferencia del 4T24 (Insider Monkey)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registra solo la reanudación de recompras y la deuda bruta (22.600 M USD en 2023 y 19.600 M USD en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ni varias clases de acciones;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aplica)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Stock Analysis, página de previsiones (sin historial); 3) Investing, página de consenso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revisión de la guía y los cambios de precio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(solo LTM); 3) no hay proveedor gratuito con NTM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y Euronext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Cboe en MarketScreener (solo el BDR de São Paulo, sin estimaciones); 2) búsqueda como «Cboe Holdings» (sin resultado); 3) Euronext no se intentó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Ellie Mae (2020), LSEG-Refinitiv (2021), Euronext-Borsa Italiana (2021), Deutsche Börse-SimCorp (2023) y CME-NEX (2018)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Euronext y Deutsche Börse con URL directa (404); 2) EDGAR no tiene los documentos de los emisores europeos; 3) Ellie Mae era privada y no publicó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https://www.sec.gov/Archives/edgar/data/1571949/000157194926000004/ice-20251231.htm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https://www.sec.gov/Archives/edgar/data/1571949/000157194923000006/ice-20221231.htm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Intercontinental Exchange (CIK 0001571949)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https://data.sec.gov/api/xbrl/companyfacts/CIK0001571949.json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https://www.sec.gov/Archives/edgar/data/1571949/000110465926088462/tm2621213d1_ex99-1.htm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https://www.sec.gov/Archives/edgar/data/1571949/000110465926052145/tm2612824d1_ex99-1.htm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https://www.sec.gov/Archives/edgar/data/1571949/000157194926000011/ice-20260630.htm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y del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https://www.sec.gov/Archives/edgar/data/1571949/000110465924011936/tm245272d1_ex99-1.htm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4T22 y del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https://www.sec.gov/Archives/edgar/data/1571949/000110465923009568/tm234867d1_ex99-1.htm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MarketAxess y préstamo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https://www.sec.gov/Archives/edgar/data/1571949/000119312526324909/d116245d8k.htm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2.000 M USD, 14.ª enmienda del crédito revolving y cancelación del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https://www.sec.gov/Archives/edgar/data/1571949/000119312526359930/d369319d8k.htm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https://www.sec.gov/Archives/edgar/data/1571949/000110465925104017/tm2529550d1_ex99-1.htm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MarketAxess Holdings (CIK 0001278021): acciones en circulación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https://data.sec.gov/api/xbrl/companyfacts/CIK0001278021.json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3.750 M USD en bonos senior (2029, 2031, 2033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https://www.sec.gov/Archives/edgar/data/1571949/000119312526359229/d124897d8k.htm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Intercontinental Exchange Inc Earnings Call (transcripción resumida de la intervención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https://www.sec.gov/Archives/edgar/data/1571949/000157194916000020/ice2015123110k.htm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https://www.sec.gov/Archives/edgar/data/1571949/000157194921000003/ice-20201231.htm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https://www.sec.gov/Archives/edgar/data/1120193/000162828026007703/ndaq-20251231.htm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https://www.sec.gov/Archives/edgar/data/1374310/000162828026010013/cboe-20251231.htm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resultados preliminares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company release Q4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referencia del BCE USD/EUR y GBP/EUR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MBA cuts 2027 originations (previsión de la MBA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https://www.housingwire.com/articles/mba-cuts-2027-originations/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 December 2025 (volumen anual de derivados cotizados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de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September and Third Quarter 2026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https://s2.q4cdn.com/154085107/files/doc_news/Intercontinental-Exchange-Reports-September-and-Third-Quarter-2026-Statistics-2026.pdf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 Annual Volume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https://www.eex.com/fileadmin/SAP_Marketing_Cloud_E-Mail_Attachments/communications_and_marketing/Press_Releases/20260113_EEX_Group_Annual_volume_report.pdf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https://www.sec.gov/Archives/edgar/data/1571949/000119312526134700/ice-20260330.htm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15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https://www.sec.gov/Archives/edgar/data/1571949/000110465926063863/tm2615096d1_8k.htm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https://www.sec.gov/Archives/edgar/data/1571949/000110465925051631/tm2515751d1_8k.htm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https://www.sec.gov/Archives/edgar/data/1571949/000110465924063868/tm2415083d1_8k.htm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Lord Hill of Oareford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https://www.sec.gov/Archives/edgar/data/1571949/000110465925091292/tm2525899d1_8k.htm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ICE, 8-oct-2025 a 8-oct-2026 (92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https://www.sec.gov/cgi-bin/browse-edgar?action=getcompany&amp;CIK=0001571949&amp;type=4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https://www.sec.gov/Archives/edgar/data/1571949/000010290925000359/xslSCHEDULE_13G_X01/primary_doc.xml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https://www.sec.gov/Archives/edgar/data/1571949/000010290926001524/xslSCHEDULE_13G_X02/primary_doc.xml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https://www.sec.gov/Archives/edgar/data/1571949/000210011926000658/xslSCHEDULE_13G_X02/primary_doc.xml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https://www.sec.gov/Archives/edgar/data/1571949/000157641925000615/xslSCHEDULE_13G_X01/primary_doc.xml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11)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https://www.sec.gov/Archives/edgar/data/1571949/000201238325000402/xslSCHEDULE_13G_X01/primary_doc.xml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(nota de prensa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entrada en vigor del Eighth Amended and Restated Certificate of Incorporation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https://www.sec.gov/Archives/edgar/data/1571949/000110465926103230/tm2624234d1_8k.htm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2020, con la guía de 2021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https://www.sec.gov/Archives/edgar/data/1571949/000110465921011938/tm214960d1_ex99-1.htm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2021, con la guía de 2022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https://www.sec.gov/Archives/edgar/data/1571949/000110465922011150/tm225009d1_ex99-1.htm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con la guía de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https://www.sec.gov/Archives/edgar/data/1571949/000110465925009884/tm255453d1_ex99-1.htm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(ICE, SPY, XLF, CME, NDAQ, CBOE, SPGI, MSCI, TW, LSEG.L, DB1.DE)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https://www.marketscreener.com/quote/stock/TRADEWEB-MARKETS-INC-56727793/finances/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(ETR:DB1)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https://stockanalysis.com/quote/etr/DB1/statistics/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(TW)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https://www.sec.gov/Archives/edgar/data/1278021/000119312526067009/mktx-20251231.htm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https://www.marketscreener.com/quote/stock/MARKETAXESS-HOLDINGS-INC-10039/finances/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senior 2029, 2031, 2033 y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https://www.sec.gov/Archives/edgar/data/1571949/000119312526345198/d177529dfwp.htm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acción ordinaria de ICE en la NYSE (USD). La sesión del 8-oct-2026 no había cerrado a la hora del análisis: se usa el cierre del 7 de octubre (152,59 USD). Ingresos: siempre netos de gastos por transacción (la cifra principal de ICE), en cuentas, segmentos, trimestres, consenso y DCF. Balance: se excluyen del activo, del pasivo, de la caja, de la deuda neta y del capital invertido los depósitos de margen y fondos de garantía de los miembros de las cámaras (116.912 M USD a jun-26), que no son de ICE; la caja restringida para capital regulatorio tampoco cuenta como caja. Arrendamientos operativos (US GAAP): fuera del puente, de la deuda y del capital invertido. MarketAxess (compra firmada el 29-jul-2026, cierre previsto en el 1S27) no está en el DCF ni en el puente: se valora como neutra al precio pagado (13,0 veces EBITDA) y su efecto se discute aparte. El consenso es de una sola fuente con estimaciones completas (MarketScreener), contrastado con Stock Analysis. Comparables europeos convertidos al tipo del BCE del 7-oct-2026. No se han leído las preguntas de los analistas en las conferencias (solo la intervención de la dirección).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Exchange, Inc. (ICE)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Exchanges</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5874</c:v>
                </c:pt>
                <c:pt idx="1">
                  <c:v>3856</c:v>
                </c:pt>
                <c:pt idx="2">
                  <c:v>4071</c:v>
                </c:pt>
                <c:pt idx="3">
                  <c:v>4440</c:v>
                </c:pt>
                <c:pt idx="4">
                  <c:v>4959</c:v>
                </c:pt>
                <c:pt idx="5">
                  <c:v>5411</c:v>
                </c:pt>
              </c:numCache>
            </c:numRef>
          </c:val>
        </c:ser>
        <c:ser>
          <c:idx val="1"/>
          <c:order val="1"/>
          <c:tx>
            <c:strRef>
              <c:f>Hoja1!$C$1</c:f>
              <c:strCache>
                <c:ptCount val="1"/>
                <c:pt idx="0">
                  <c:v>Fixed Income and Data Services</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2528</c:v>
                </c:pt>
                <c:pt idx="1">
                  <c:v>1883</c:v>
                </c:pt>
                <c:pt idx="2">
                  <c:v>2092</c:v>
                </c:pt>
                <c:pt idx="3">
                  <c:v>2231</c:v>
                </c:pt>
                <c:pt idx="4">
                  <c:v>2298</c:v>
                </c:pt>
                <c:pt idx="5">
                  <c:v>2419</c:v>
                </c:pt>
              </c:numCache>
            </c:numRef>
          </c:val>
        </c:ser>
        <c:ser>
          <c:idx val="2"/>
          <c:order val="2"/>
          <c:tx>
            <c:strRef>
              <c:f>Hoja1!$D$1</c:f>
              <c:strCache>
                <c:ptCount val="1"/>
                <c:pt idx="0">
                  <c:v>Mortgage Technology</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2156</c:v>
                </c:pt>
                <c:pt idx="1">
                  <c:v>1407</c:v>
                </c:pt>
                <c:pt idx="2">
                  <c:v>1129</c:v>
                </c:pt>
                <c:pt idx="3">
                  <c:v>1317</c:v>
                </c:pt>
                <c:pt idx="4">
                  <c:v>2022</c:v>
                </c:pt>
                <c:pt idx="5">
                  <c:v>2101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Exchanges</c:v>
                </c:pt>
                <c:pt idx="1">
                  <c:v>Fixed Income and Data Services</c:v>
                </c:pt>
                <c:pt idx="2">
                  <c:v>Mortgage Technology</c:v>
                </c:pt>
              </c:strCache>
            </c:strRef>
          </c:cat>
          <c:val>
            <c:numRef>
              <c:f>Hoja1!$B$2:$B$4</c:f>
              <c:numCache>
                <c:formatCode>General</c:formatCode>
                <c:ptCount val="3"/>
                <c:pt idx="0">
                  <c:v>54.5</c:v>
                </c:pt>
                <c:pt idx="1">
                  <c:v>24.4</c:v>
                </c:pt>
                <c:pt idx="2">
                  <c:v>21.2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 (sobre todo Reino Unido; también UE, India, Israel, Canadá y Singapur)</c:v>
                </c:pt>
              </c:strCache>
            </c:strRef>
          </c:cat>
          <c:val>
            <c:numRef>
              <c:f>Hoja1!$B$2:$B$3</c:f>
              <c:numCache>
                <c:formatCode>0"%"</c:formatCode>
                <c:ptCount val="2"/>
                <c:pt idx="0">
                  <c:v>63.6</c:v>
                </c:pt>
                <c:pt idx="1">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(originación hipotecaria unifamiliar de EE. UU., 1-4 viviendas; estimación de Fannie Mae))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4570</c:v>
                </c:pt>
                <c:pt idx="1">
                  <c:v>2374</c:v>
                </c:pt>
                <c:pt idx="2">
                  <c:v>1503</c:v>
                </c:pt>
                <c:pt idx="3">
                  <c:v>1695</c:v>
                </c:pt>
                <c:pt idx="4">
                  <c:v>1956</c:v>
                </c:pt>
                <c:pt idx="5">
                  <c:v>2121</c:v>
                </c:pt>
                <c:pt idx="6">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ICE</c:v>
                </c:pt>
                <c:pt idx="1">
                  <c:v>CME Group</c:v>
                </c:pt>
                <c:pt idx="2">
                  <c:v>Nasdaq</c:v>
                </c:pt>
                <c:pt idx="3">
                  <c:v>Cboe Global Markets</c:v>
                </c:pt>
                <c:pt idx="4">
                  <c:v>London Stock Exchange Group</c:v>
                </c:pt>
                <c:pt idx="5">
                  <c:v>Deutsche Börse (EEX)</c:v>
                </c:pt>
                <c:pt idx="6">
                  <c:v>S&amp;P Global</c:v>
                </c:pt>
                <c:pt idx="7">
                  <c:v>MSCI</c:v>
                </c:pt>
                <c:pt idx="8">
                  <c:v>Constellation Software (Dark Matter, Optimal Blue)</c:v>
                </c:pt>
              </c:strCache>
            </c:strRef>
          </c:cat>
          <c:val>
            <c:numRef>
              <c:f>Hoja1!$B$2:$B$10</c:f>
              <c:numCache>
                <c:formatCode>0.0"%"</c:formatCode>
                <c:ptCount val="9"/>
                <c:pt idx="0">
                  <c:v>50.3</c:v>
                </c:pt>
                <c:pt idx="1">
                  <c:v>64.9</c:v>
                </c:pt>
                <c:pt idx="2">
                  <c:v>44.4</c:v>
                </c:pt>
                <c:pt idx="3">
                  <c:v>60.4</c:v>
                </c:pt>
                <c:pt idx="4">
                  <c:v>23.7</c:v>
                </c:pt>
                <c:pt idx="5">
                  <c:v>50</c:v>
                </c:pt>
                <c:pt idx="6">
                  <c:v>42.2</c:v>
                </c:pt>
                <c:pt idx="7">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7146</c:v>
                </c:pt>
                <c:pt idx="1">
                  <c:v>7292</c:v>
                </c:pt>
                <c:pt idx="2">
                  <c:v>7988</c:v>
                </c:pt>
                <c:pt idx="3">
                  <c:v>9279</c:v>
                </c:pt>
                <c:pt idx="4">
                  <c:v>9931</c:v>
                </c:pt>
                <c:pt idx="5">
                  <c:v>11023</c:v>
                </c:pt>
                <c:pt idx="6">
                  <c:v>11575</c:v>
                </c:pt>
                <c:pt idx="7">
                  <c:v>12269</c:v>
                </c:pt>
                <c:pt idx="8">
                  <c:v>13005</c:v>
                </c:pt>
                <c:pt idx="9">
                  <c:v>13720</c:v>
                </c:pt>
                <c:pt idx="10">
                  <c:v>14407</c:v>
                </c:pt>
                <c:pt idx="11">
                  <c:v>15055</c:v>
                </c:pt>
                <c:pt idx="12">
                  <c:v>15657</c:v>
                </c:pt>
                <c:pt idx="13">
                  <c:v>16205</c:v>
                </c:pt>
                <c:pt idx="14">
                  <c:v>16691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4560</c:v>
                </c:pt>
                <c:pt idx="1">
                  <c:v>4762</c:v>
                </c:pt>
                <c:pt idx="2">
                  <c:v>5178</c:v>
                </c:pt>
                <c:pt idx="3">
                  <c:v>5950</c:v>
                </c:pt>
                <c:pt idx="4">
                  <c:v>6559</c:v>
                </c:pt>
                <c:pt idx="5">
                  <c:v>7331</c:v>
                </c:pt>
                <c:pt idx="6">
                  <c:v>7697</c:v>
                </c:pt>
                <c:pt idx="7">
                  <c:v>8196</c:v>
                </c:pt>
                <c:pt idx="8">
                  <c:v>8713</c:v>
                </c:pt>
                <c:pt idx="9">
                  <c:v>9193</c:v>
                </c:pt>
                <c:pt idx="10">
                  <c:v>9652</c:v>
                </c:pt>
                <c:pt idx="11">
                  <c:v>10087</c:v>
                </c:pt>
                <c:pt idx="12">
                  <c:v>10490</c:v>
                </c:pt>
                <c:pt idx="13">
                  <c:v>10857</c:v>
                </c:pt>
                <c:pt idx="14">
                  <c:v>11183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65.3</c:v>
                </c:pt>
                <c:pt idx="2">
                  <c:v>64.8</c:v>
                </c:pt>
                <c:pt idx="3">
                  <c:v>64.1</c:v>
                </c:pt>
                <c:pt idx="4">
                  <c:v>66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51.2</c:v>
                </c:pt>
                <c:pt idx="2">
                  <c:v>49.6</c:v>
                </c:pt>
                <c:pt idx="3">
                  <c:v>47.6</c:v>
                </c:pt>
                <c:pt idx="4">
                  <c:v>50.3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56.8</c:v>
                </c:pt>
                <c:pt idx="1">
                  <c:v>19.8</c:v>
                </c:pt>
                <c:pt idx="2">
                  <c:v>29.6</c:v>
                </c:pt>
                <c:pt idx="3">
                  <c:v>29.7</c:v>
                </c:pt>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5.5</c:v>
                </c:pt>
                <c:pt idx="4">
                  <c:v>2.6</c:v>
                </c:pt>
                <c:pt idx="5">
                  <c:v>7.8</c:v>
                </c:pt>
                <c:pt idx="6">
                  <c:v>20.4</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59</c:v>
                </c:pt>
                <c:pt idx="2">
                  <c:v>62</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2671</c:v>
                </c:pt>
                <c:pt idx="1">
                  <c:v>3072</c:v>
                </c:pt>
                <c:pt idx="2">
                  <c:v>3053</c:v>
                </c:pt>
                <c:pt idx="3">
                  <c:v>3857</c:v>
                </c:pt>
                <c:pt idx="4">
                  <c:v>3871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4058</c:v>
                </c:pt>
                <c:pt idx="1">
                  <c:v>1446</c:v>
                </c:pt>
                <c:pt idx="2">
                  <c:v>2368</c:v>
                </c:pt>
                <c:pt idx="3">
                  <c:v>2754</c:v>
                </c:pt>
                <c:pt idx="4">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7.7</c:v>
                </c:pt>
                <c:pt idx="3">
                  <c:v>7.1</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6.4</c:v>
                </c:pt>
                <c:pt idx="2">
                  <c:v>9.8</c:v>
                </c:pt>
                <c:pt idx="3">
                  <c:v>10.3</c:v>
                </c:pt>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2.99</c:v>
                </c:pt>
                <c:pt idx="1">
                  <c:v>3.49</c:v>
                </c:pt>
                <c:pt idx="2">
                  <c:v>4.26</c:v>
                </c:pt>
                <c:pt idx="3">
                  <c:v>3.34</c:v>
                </c:pt>
                <c:pt idx="4">
                  <c:v>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1037</c:v>
                </c:pt>
                <c:pt idx="1">
                  <c:v>2000</c:v>
                </c:pt>
                <c:pt idx="2">
                  <c:v>2200</c:v>
                </c:pt>
                <c:pt idx="3">
                  <c:v>1250</c:v>
                </c:pt>
                <c:pt idx="4">
                  <c:v>1250</c:v>
                </c:pt>
                <c:pt idx="5">
                  <c:v>12150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59</c:v>
                </c:pt>
                <c:pt idx="2">
                  <c:v>10198</c:v>
                </c:pt>
                <c:pt idx="3">
                  <c:v>38</c:v>
                </c:pt>
                <c:pt idx="4">
                  <c:v>19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747</c:v>
                </c:pt>
                <c:pt idx="1">
                  <c:v>853</c:v>
                </c:pt>
                <c:pt idx="2">
                  <c:v>955</c:v>
                </c:pt>
                <c:pt idx="3">
                  <c:v>1039</c:v>
                </c:pt>
                <c:pt idx="4">
                  <c:v>1105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250</c:v>
                </c:pt>
                <c:pt idx="1">
                  <c:v>632</c:v>
                </c:pt>
                <c:pt idx="2">
                  <c:v>0</c:v>
                </c:pt>
                <c:pt idx="3">
                  <c:v>0</c:v>
                </c:pt>
                <c:pt idx="4">
                  <c:v>1294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(22 personas)</c:v>
                </c:pt>
                <c:pt idx="3">
                  <c:v>Autocartera</c:v>
                </c:pt>
              </c:strCache>
            </c:strRef>
          </c:cat>
          <c:val>
            <c:numRef>
              <c:f>Hoja1!$B$2:$B$5</c:f>
              <c:numCache>
                <c:formatCode>0.0"%"</c:formatCode>
                <c:ptCount val="4"/>
                <c:pt idx="0">
                  <c:v>10.1</c:v>
                </c:pt>
                <c:pt idx="1">
                  <c:v>6.8</c:v>
                </c:pt>
                <c:pt idx="2">
                  <c:v>0.84</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11.5</c:v>
                </c:pt>
                <c:pt idx="1">
                  <c:v>26.6</c:v>
                </c:pt>
                <c:pt idx="2">
                  <c:v>8.1</c:v>
                </c:pt>
                <c:pt idx="3">
                  <c:v>24.5</c:v>
                </c:pt>
                <c:pt idx="4">
                  <c:v>26.2</c:v>
                </c:pt>
                <c:pt idx="5">
                  <c:v>19.9</c:v>
                </c:pt>
                <c:pt idx="6">
                  <c:v>-23.9</c:v>
                </c:pt>
                <c:pt idx="7">
                  <c:v>27.1</c:v>
                </c:pt>
                <c:pt idx="8">
                  <c:v>17.5</c:v>
                </c:pt>
                <c:pt idx="9">
                  <c:v>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19.9</c:v>
                </c:pt>
                <c:pt idx="6">
                  <c:v>15.6</c:v>
                </c:pt>
                <c:pt idx="7">
                  <c:v>18.3</c:v>
                </c:pt>
                <c:pt idx="8">
                  <c:v>17.8</c:v>
                </c:pt>
                <c:pt idx="9">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17.8</c:v>
                </c:pt>
                <c:pt idx="1">
                  <c:v>17.8</c:v>
                </c:pt>
                <c:pt idx="2">
                  <c:v>17.8</c:v>
                </c:pt>
                <c:pt idx="3">
                  <c:v>17.8</c:v>
                </c:pt>
                <c:pt idx="4">
                  <c:v>17.8</c:v>
                </c:pt>
                <c:pt idx="5">
                  <c:v>17.8</c:v>
                </c:pt>
                <c:pt idx="6">
                  <c:v>17.8</c:v>
                </c:pt>
                <c:pt idx="7">
                  <c:v>17.8</c:v>
                </c:pt>
                <c:pt idx="8">
                  <c:v>17.8</c:v>
                </c:pt>
                <c:pt idx="9">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ICE</c:v>
                </c:pt>
                <c:pt idx="1">
                  <c:v>CME Group</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0">
                  <c:v>13.3</c:v>
                </c:pt>
                <c:pt idx="1">
                  <c:v>18.5</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13.3</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13.7</c:v>
                </c:pt>
              </c:numCache>
            </c:numRef>
          </c:yVal>
          <c:smooth val="0"/>
        </c:ser>
        <c:ser>
          <c:idx val="5"/>
          <c:order val="5"/>
          <c:tx>
            <c:strRef>
              <c:f>Hoja1!$A$7</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15.6</c:v>
                </c:pt>
              </c:numCache>
            </c:numRef>
          </c:yVal>
          <c:smooth val="0"/>
        </c:ser>
        <c:ser>
          <c:idx val="6"/>
          <c:order val="6"/>
          <c:tx>
            <c:strRef>
              <c:f>Hoja1!$A$8</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10.8</c:v>
                </c:pt>
              </c:numCache>
            </c:numRef>
          </c:xVal>
          <c:yVal>
            <c:numRef>
              <c:f>Hoja1!$C$8</c:f>
              <c:numCache>
                <c:formatCode>0.0"x"</c:formatCode>
                <c:ptCount val="1"/>
                <c:pt idx="0">
                  <c:v>19.8</c:v>
                </c:pt>
              </c:numCache>
            </c:numRef>
          </c:yVal>
          <c:smooth val="0"/>
        </c:ser>
        <c:ser>
          <c:idx val="7"/>
          <c:order val="7"/>
          <c:tx>
            <c:strRef>
              <c:f>Hoja1!$A$9</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13.3</c:v>
                </c:pt>
              </c:numCache>
            </c:numRef>
          </c:xVal>
          <c:yVal>
            <c:numRef>
              <c:f>Hoja1!$C$9</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MarketAxess Holdings</c:v>
                </c:pt>
                <c:pt idx="1">
                  <c:v>Adenza</c:v>
                </c:pt>
                <c:pt idx="2">
                  <c:v>IHS Markit</c:v>
                </c:pt>
                <c:pt idx="3">
                  <c:v>Black Knight</c:v>
                </c:pt>
              </c:strCache>
            </c:strRef>
          </c:cat>
          <c:val>
            <c:numRef>
              <c:f>Hoja1!$B$2:$B$5</c:f>
              <c:numCache>
                <c:formatCode>0.0"x"</c:formatCode>
                <c:ptCount val="4"/>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4846</c:v>
                </c:pt>
                <c:pt idx="1">
                  <c:v>5143</c:v>
                </c:pt>
                <c:pt idx="2">
                  <c:v>5499</c:v>
                </c:pt>
                <c:pt idx="3">
                  <c:v>5888</c:v>
                </c:pt>
                <c:pt idx="4">
                  <c:v>6242</c:v>
                </c:pt>
                <c:pt idx="5">
                  <c:v>6587</c:v>
                </c:pt>
                <c:pt idx="6">
                  <c:v>6916</c:v>
                </c:pt>
                <c:pt idx="7">
                  <c:v>7228</c:v>
                </c:pt>
                <c:pt idx="8">
                  <c:v>7517</c:v>
                </c:pt>
                <c:pt idx="9">
                  <c:v>7746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40247</c:v>
                </c:pt>
                <c:pt idx="1">
                  <c:v>62499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152,59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104.71</c:v>
                </c:pt>
                <c:pt idx="1">
                  <c:v>154.01</c:v>
                </c:pt>
                <c:pt idx="2">
                  <c:v>193.25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