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Regeneron Pharmaceuticals, Inc.</w:t>
      </w:r>
    </w:p>
    <w:p>
      <w:pPr>
        <w:spacing w:after="60"/>
        <w:rPr>
          <w:color w:val="52514E"/>
          <w:sz w:val="22"/>
          <w:szCs w:val="22"/>
        </w:rPr>
      </w:pPr>
      <w:r>
        <w:rPr>
          <w:color w:val="52514E"/>
          <w:sz w:val="22"/>
          <w:szCs w:val="22"/>
        </w:rPr>
        <w:t xml:space="preserve">REGN · Nasdaq Global Select Market · ISIN US75886F1075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805,02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920,26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+14,8 % (base +18,0 %)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677,23 USD · mercado 741,52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86.942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Regeneron Pharmaceuticals,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REGN / US75886F1075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 (SPY)</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Biotecnología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Tarrytown (Nueva York) · 1988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15.410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www.regeneron.com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805,02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575,93 – 859,34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86.942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70.976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570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920,26 USD</w:t>
      </w:r>
      <w:r>
        <w:t xml:space="preserve"> frente a 805,02 · Rentabilidad a 12 meses </w:t>
      </w:r>
      <w:r>
        <w:rPr>
          <w:b/>
          <w:bCs/>
        </w:rPr>
        <w:t xml:space="preserve">+14,8 % (base +18,0 %)</w:t>
      </w:r>
      <w:r>
        <w:t xml:space="preserve"> · Valor intrínseco 677,23 USD · con la prima implícita del mercado: 741,52 (-7,9 %) · Alcista / bajista -7,9 % / -37,3 %</w:t>
      </w:r>
    </w:p>
    <w:p>
      <w:pPr>
        <w:spacing w:after="100"/>
      </w:pPr>
      <w:r>
        <w:rPr>
          <w:b/>
        </w:rPr>
        <w:t xml:space="preserve">La recomendación y por qué.</w:t>
      </w:r>
      <w:r>
        <w:t xml:space="preserve"> Mantener, con convicción media; para quien no la tiene, no comprar hoy. El objetivo a 12 meses es de 920,26 USD (nuestro BPA de 2028e × el PER de la regla común), un +14,8 % de rentabilidad ponderada y un +18,0 % en el base, casi en el umbral de compra (15 %). Pero el valor intrínseco (677,23 USD) está un 16 % por debajo del precio de 805,02 USD (cierre del 23-oct-2026), y la regla pide las dos cosas. Con el BPA un 10 % más bajo, la ponderada cae al 3,4 %. La convicción es media porque el BPA de 2026-2028 se ve bien (Dupixent, EYLEA HD) pero el valor depende de lo que pase tras 2031; subiría la convicción un 3T que confirme el salto de la parte de Dupixent, y la bajaría que EYLEA HD deje de crecer.</w:t>
      </w:r>
    </w:p>
    <w:p>
      <w:pPr>
        <w:spacing w:after="100"/>
      </w:pPr>
      <w:r>
        <w:rPr>
          <w:b/>
        </w:rPr>
        <w:t xml:space="preserve">El negocio.</w:t>
      </w:r>
      <w:r>
        <w:t xml:space="preserve"> Regeneron descubre y fabrica anticuerpos. La mitad del beneficio llega de Dupixent, que vende Sanofi y del que cobra la mitad; el resto es EYLEA HD y EYLEA (retina, en EE. UU.), Libtayo y otros [1]. Ingresos de 14.343 M USD en 2025 y margen operativo del 24,9 %, con una I+D del 41 % de las ventas [5].</w:t>
      </w:r>
    </w:p>
    <w:p>
      <w:pPr>
        <w:spacing w:after="100"/>
      </w:pPr>
      <w:r>
        <w:rPr>
          <w:b/>
        </w:rPr>
        <w:t xml:space="preserve">Finanzas.</w:t>
      </w:r>
      <w:r>
        <w:t xml:space="preserve"> Vuelve a crecer: +17,8 % en el 1S26 y, desde el 3T, la parte de Dupixent ya no descuenta la deuda de desarrollo con Sanofi [3]. Sin deuda neta: 17.823 M de caja e inversiones frente a 1.987 M de bonos [2]. El ROIC bajó del 42,4 % de 2022 al 21,1 % de 2025, frente a un WACC del 10,0 %: crea valor (11 puntos), pero menos cada año.</w:t>
      </w:r>
    </w:p>
    <w:p>
      <w:pPr>
        <w:spacing w:after="100"/>
      </w:pPr>
      <w:r>
        <w:rPr>
          <w:b/>
        </w:rPr>
        <w:t xml:space="preserve">Equipo y gobierno.</w:t>
      </w:r>
      <w:r>
        <w:t xml:space="preserve"> Los fundadores, Leonard Schleifer y George Yancopoulos, dirigen desde 1988-1989 [1]. Hay acciones de clase A con más votos (≈ 15 % del voto) y un plan de acciones a 10 años para los dos de hasta 5,6 M de acciones [21, 24]. No venden: los directivos vendieron solo 16,1 M en un año [23].</w:t>
      </w:r>
    </w:p>
    <w:p>
      <w:pPr>
        <w:spacing w:after="100"/>
      </w:pPr>
      <w:r>
        <w:rPr>
          <w:b/>
        </w:rPr>
        <w:t xml:space="preserve">Valoración.</w:t>
      </w:r>
      <w:r>
        <w:t xml:space="preserve"> El DCF da 657,62 USD (−18,3 %) y el DCF inverso descuenta un 11,6 % de crecimiento anual frente al 3,4 % de nuestro base, que incluye la pérdida de la patente de Dupixent en 2031. Con la prima del mercado (4,2 %), el DCF sube a 735,51 USD. La regla a 12 meses es más generosa porque el BPA de 2028e es bueno (64,40 USD) y el PER actual (13,5 veces el de 2027e) está por debajo de su mediana (16,1).</w:t>
      </w:r>
    </w:p>
    <w:p>
      <w:pPr>
        <w:spacing w:after="100"/>
      </w:pPr>
      <w:r>
        <w:rPr>
          <w:b/>
        </w:rPr>
        <w:t xml:space="preserve">Riesgos y catalizadores.</w:t>
      </w:r>
      <w:r>
        <w:t xml:space="preserve"> El riesgo de mayor impacto es Dupixent en 2031 (−15 a −25 %); después, EYLEA con biosimilares y los precios de EE. UU. Resultados del 3T el 30-oct; cobro de 1.000 M de Sanofi en el 4T.</w:t>
      </w:r>
    </w:p>
    <w:p>
      <w:pPr>
        <w:spacing w:after="100"/>
      </w:pPr>
      <w:r>
        <w:rPr>
          <w:b/>
        </w:rPr>
        <w:t xml:space="preserve">Qué cambiaría la decisión.</w:t>
      </w:r>
      <w:r>
        <w:t xml:space="preserve"> Comprar por debajo de 677,23 USD (−16 %), donde se cumplen la regla a 12 meses y el valor intrínseco; Vender por encima de 1.026,55. Unos resultados del 3T que suban el BPA de 2027-2028 más de un 10 %, o un éxito grande de la cartera, subirían el valor intrínseco.</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920,26 USD</w:t>
      </w:r>
      <w:r>
        <w:t xml:space="preserve"> (rentabilidad +14,8 % (base +18,0 %)) · Valor intrínseco: 677,23 USD (-15,9 % sobre 805,02) · con la prima implícita del mercado: 741,52 (-7,9 %)</w:t>
      </w:r>
    </w:p>
    <w:p>
      <w:pPr>
        <w:spacing w:after="100"/>
      </w:pPr>
      <w:r>
        <w:t xml:space="preserve">Regeneron es una empresa de ciencia con un gran producto (Dupixent) hasta 2031, un negocio de retina que cae y una cartera amplia. Crea valor (ROIC del 21 % frente a un WACC del 10 %) y tiene 18.000 M de caja. A 805 USD el precio ya descuenta que el crecimiento de 2026-2028 sigue después de 2031: el valor intrínseco es de 677 USD.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 × 56,48 = 666,46 · 14,7x × 64,40 = 946,68 · 16,1x × 69,64 = 1.121,20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14,8 % / 18,0 %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867,33 (nuestro base +9,1 %)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677,23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 -37,3 %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10,0 %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741,52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 frente a 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(5,4 % anual proyectado; financiable al ROIC actual: 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677,23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677,23 y 1.026,55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1.026,55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677,23 USD: Comprar (ponderada ≥ 15 %, base ≥ 12 % y valor intrínseco por encima).</w:t>
      </w:r>
    </w:p>
    <w:p>
      <w:pPr>
        <w:pStyle w:val="ListParagraph"/>
        <w:numPr>
          <w:ilvl w:val="0"/>
          <w:numId w:val="2"/>
        </w:numPr>
        <w:spacing w:after="60"/>
      </w:pPr>
      <w:r>
        <w:t xml:space="preserve">Precio por encima de 1.026,55 USD: Vender (ponderada ≤ −10 %).</w:t>
      </w:r>
    </w:p>
    <w:p>
      <w:pPr>
        <w:pStyle w:val="ListParagraph"/>
        <w:numPr>
          <w:ilvl w:val="0"/>
          <w:numId w:val="2"/>
        </w:numPr>
        <w:spacing w:after="60"/>
      </w:pPr>
      <w:r>
        <w:t xml:space="preserve">Resultados del 3T que suban el BPA de 2027-2028 más de un 10 %: repetir el análisis.</w:t>
      </w:r>
    </w:p>
    <w:p>
      <w:pPr>
        <w:pStyle w:val="ListParagraph"/>
        <w:numPr>
          <w:ilvl w:val="0"/>
          <w:numId w:val="2"/>
        </w:numPr>
        <w:spacing w:after="60"/>
      </w:pPr>
      <w:r>
        <w:t xml:space="preserve">Fracaso de olatorepatide en fase 3: revisar a la baja.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Dupixent y la cartera mantienen un crecimiento del 11-12 % anual durante siete años; los analistas ponen un objetivo medio de 867 USD con 19 de 28 en comprar [26].</w:t>
      </w:r>
    </w:p>
    <w:p>
      <w:pPr>
        <w:keepNext/>
        <w:spacing w:after="100"/>
      </w:pPr>
      <w:r>
        <w:rPr>
          <w:b/>
          <w:bCs/>
        </w:rPr>
        <w:t xml:space="preserve">Lo que creemos nosotros.</w:t>
      </w:r>
    </w:p>
    <w:p>
      <w:pPr>
        <w:spacing w:after="100"/>
      </w:pPr>
      <w:r>
        <w:t xml:space="preserve">Coincidimos en 2026-2028 (BPA de 64,40 en 2028e); discrepamos en lo que viene después: con la patente de Dupixent en 2031 el flujo de caja baja, y eso pesa en el valor intrínseco.</w:t>
      </w:r>
    </w:p>
    <w:p>
      <w:pPr>
        <w:keepNext/>
        <w:spacing w:after="100"/>
      </w:pPr>
      <w:r>
        <w:rPr>
          <w:b/>
          <w:bCs/>
        </w:rPr>
        <w:t xml:space="preserve">Por qué podemos tener razón.</w:t>
      </w:r>
    </w:p>
    <w:p>
      <w:pPr>
        <w:spacing w:after="100"/>
      </w:pPr>
      <w:r>
        <w:t xml:space="preserve">Las fechas de las patentes están en el 10-K (marzo y octubre de 2031) [1]; el ROIC lleva tres años bajando aunque la I+D sube.</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805,0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Dupixent</w:t>
      </w:r>
      <w:r>
        <w:t xml:space="preserve">: +38 % en el 2T26 y, desde el 3T, sin la deuda de desarrollo.</w:t>
      </w:r>
    </w:p>
    <w:p>
      <w:pPr>
        <w:pStyle w:val="ListParagraph"/>
        <w:numPr>
          <w:ilvl w:val="0"/>
          <w:numId w:val="2"/>
        </w:numPr>
        <w:spacing w:after="60"/>
      </w:pPr>
      <w:r>
        <w:rPr>
          <w:b/>
        </w:rPr>
        <w:t xml:space="preserve">Sin deuda neta</w:t>
      </w:r>
      <w:r>
        <w:t xml:space="preserve">: 17.823 M USD de caja e inversiones.</w:t>
      </w:r>
    </w:p>
    <w:p>
      <w:pPr>
        <w:pStyle w:val="ListParagraph"/>
        <w:numPr>
          <w:ilvl w:val="0"/>
          <w:numId w:val="2"/>
        </w:numPr>
        <w:spacing w:after="60"/>
      </w:pPr>
      <w:r>
        <w:rPr>
          <w:b/>
        </w:rPr>
        <w:t xml:space="preserve">PER bajo</w:t>
      </w:r>
      <w:r>
        <w:t xml:space="preserve">: 13,5 veces el BPA de 2027e frente a una mediana de 16,1.</w:t>
      </w:r>
    </w:p>
    <w:p>
      <w:pPr>
        <w:pStyle w:val="ListParagraph"/>
        <w:numPr>
          <w:ilvl w:val="0"/>
          <w:numId w:val="2"/>
        </w:numPr>
        <w:spacing w:after="60"/>
      </w:pPr>
      <w:r>
        <w:rPr>
          <w:b/>
        </w:rPr>
        <w:t xml:space="preserve">EYLEA HD</w:t>
      </w:r>
      <w:r>
        <w:t xml:space="preserve">: +52 % en el 2T26.</w:t>
      </w:r>
    </w:p>
    <w:p>
      <w:pPr>
        <w:pStyle w:val="ListParagraph"/>
        <w:numPr>
          <w:ilvl w:val="0"/>
          <w:numId w:val="2"/>
        </w:numPr>
        <w:spacing w:after="60"/>
      </w:pPr>
      <w:r>
        <w:rPr>
          <w:b/>
        </w:rPr>
        <w:t xml:space="preserve">Recompras y dividendo</w:t>
      </w:r>
      <w:r>
        <w:t xml:space="preserve">: 3.456 M en 2025 y programa nuevo de 3.000 M.</w:t>
      </w:r>
    </w:p>
    <w:p>
      <w:pPr>
        <w:pStyle w:val="Heading2"/>
      </w:pPr>
      <w:r>
        <w:t xml:space="preserve">En contra</w:t>
      </w:r>
    </w:p>
    <w:p>
      <w:pPr>
        <w:pStyle w:val="ListParagraph"/>
        <w:numPr>
          <w:ilvl w:val="0"/>
          <w:numId w:val="2"/>
        </w:numPr>
        <w:spacing w:after="60"/>
      </w:pPr>
      <w:r>
        <w:rPr>
          <w:b/>
        </w:rPr>
        <w:t xml:space="preserve">Valor intrínseco por debajo</w:t>
      </w:r>
      <w:r>
        <w:t xml:space="preserve">: 677 USD frente a 805.</w:t>
      </w:r>
    </w:p>
    <w:p>
      <w:pPr>
        <w:pStyle w:val="ListParagraph"/>
        <w:numPr>
          <w:ilvl w:val="0"/>
          <w:numId w:val="2"/>
        </w:numPr>
        <w:spacing w:after="60"/>
      </w:pPr>
      <w:r>
        <w:rPr>
          <w:b/>
        </w:rPr>
        <w:t xml:space="preserve">Patente de Dupixent en 2031</w:t>
      </w:r>
      <w:r>
        <w:t xml:space="preserve">: ≈ 40 % de los ingresos.</w:t>
      </w:r>
    </w:p>
    <w:p>
      <w:pPr>
        <w:pStyle w:val="ListParagraph"/>
        <w:numPr>
          <w:ilvl w:val="0"/>
          <w:numId w:val="2"/>
        </w:numPr>
        <w:spacing w:after="60"/>
      </w:pPr>
      <w:r>
        <w:rPr>
          <w:b/>
        </w:rPr>
        <w:t xml:space="preserve">ROIC a la baja</w:t>
      </w:r>
      <w:r>
        <w:t xml:space="preserve">: del 42 % al 21 % en tres años.</w:t>
      </w:r>
    </w:p>
    <w:p>
      <w:pPr>
        <w:pStyle w:val="ListParagraph"/>
        <w:numPr>
          <w:ilvl w:val="0"/>
          <w:numId w:val="2"/>
        </w:numPr>
        <w:spacing w:after="60"/>
      </w:pPr>
      <w:r>
        <w:rPr>
          <w:b/>
        </w:rPr>
        <w:t xml:space="preserve">EYLEA cae</w:t>
      </w:r>
      <w:r>
        <w:t xml:space="preserve"> con biosimilares y Vabysmo.</w:t>
      </w:r>
    </w:p>
    <w:p>
      <w:pPr>
        <w:pStyle w:val="ListParagraph"/>
        <w:numPr>
          <w:ilvl w:val="0"/>
          <w:numId w:val="2"/>
        </w:numPr>
        <w:spacing w:after="60"/>
      </w:pPr>
      <w:r>
        <w:rPr>
          <w:b/>
        </w:rPr>
        <w:t xml:space="preserve">I+D cara</w:t>
      </w:r>
      <w:r>
        <w:t xml:space="preserve">: 41 % de los ingresos, con fracasos recientes.</w:t>
      </w:r>
    </w:p>
    <w:p>
      <w:pPr>
        <w:pStyle w:val="Heading2"/>
      </w:pPr>
      <w:r>
        <w:t xml:space="preserve">Qué tiene que pasar para que la tesis funcione</w:t>
      </w:r>
    </w:p>
    <w:p>
      <w:pPr>
        <w:spacing w:after="100"/>
      </w:pPr>
      <w:r>
        <w:t xml:space="preserve">La tesis depende de cuánto sube el beneficio de Dupixent sin la deuda de desarrollo (se verá el 30-oct) y de que la cartera dé algo grande antes de 2031. La señal en contra sería que EYLEA HD deje de crecer o que Dupixent frene antes de 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Parte de Regeneron en Dupixent (colaboración con Sanofi)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2.174 M en el 2T26 (2.033 M de parte del beneficio)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beneficio.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EYLEA HD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la retina.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25 %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Debe subir sin la deuda de desarrollo.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ROIC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Lleva tres años bajando.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19,9x / 15,1x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Regeneron la fundaron en 1988 en Tarrytown (Nueva York) Leonard Schleifer y, un año después, el científico George Yancopoulos, que siguen al frente 38 años después [1]. Salió a bolsa en 1991. Su ventaja es una plataforma propia para hacer anticuerpos humanos (VelocImmune) y una cultura de ciencia: casi todos sus fármacos nacen en sus laboratorios [1]. EYLEA (2011) la convirtió en una gran empresa; Dupixent (2017, con Sanofi) la llevó a ser la que es hoy; en 2020-2021 su anticuerpo contra la COVID llegó a 5.800 M de ventas y desapareció en 2022 [1, 5]. Desde 2024 vive el paso de EYLEA a EYLEA HD con biosimilares en el mercado y prepara la década siguiente con unos 50 candidatos en ensayos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Leonard Schleifer en Tarrytown (Nueva York)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 las acciones de clase A (10 votos) no se han vuelto a emitir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anticuerpos con Sanofi, origen de Dupixent, Praluent y Kevzara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EYLEA para la degeneración macular; se vende con Bayer fuera de EE. UU.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Dupixent para la dermatitis atópica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REGEN-COV contra la COVID: ingresos de 16.071,7 M en 2021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 EYLEA HD (8 mg)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Llega el primer biosimilar de EYLEA a EE. UU. (Pavblu, de Amgen)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dividendo trimestral (0,88 USD)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de desarrollo con Sanofi pagada (junio); sexta enmienda con Sanofi por 1.000 M por adelantado (octubre) [3, 12].</w:t>
            </w:r>
          </w:p>
        </w:tc>
      </w:tr>
    </w:tbl>
    <w:p>
      <w:pPr>
        <w:spacing w:after="160" w:before="0"/>
      </w:pPr>
    </w:p>
    <w:p>
      <w:pPr>
        <w:pStyle w:val="Heading1"/>
      </w:pPr>
      <w:r>
        <w:t xml:space="preserve">2. Modelo de negocio</w:t>
      </w:r>
    </w:p>
    <w:p>
      <w:pPr>
        <w:spacing w:after="100"/>
      </w:pPr>
      <w:r>
        <w:t xml:space="preserve">Regeneron descubre, desarrolla y fabrica anticuerpos y otros fármacos biológicos. Vende directamente en EE. UU. EYLEA HD y EYLEA (retina), Libtayo (cáncer de piel y pulmón, también fuera de EE. UU.), Praluent (colesterol), Evkeeza, Lynozyfic (mieloma) y otros; los clientes son distribuidores especializados, y dos de ellos suman el 77 % de las ventas brutas [1]. Fuera de EE. UU., Bayer vende EYLEA y le paga parte del beneficio. Con Sanofi comparte al 50 % el beneficio mundial de Dupixent (dermatitis atópica, asma, EPOC, urticaria, esofagitis eosinofílica y otras) y Kevzara [1]. Tiene 15.410 empleados, la mayoría en EE. UU. e Irlanda, donde están sus fábricas [1].</w:t>
      </w:r>
    </w:p>
    <w:p>
      <w:pPr>
        <w:pStyle w:val="Heading2"/>
      </w:pPr>
      <w:r>
        <w:t xml:space="preserve">Cómo gana dinero</w:t>
      </w:r>
    </w:p>
    <w:p>
      <w:pPr>
        <w:spacing w:after="100"/>
      </w:pPr>
      <w:r>
        <w:t xml:space="preserve">Casi la mitad de los ingresos de 2025 (5.884 M de 14.343 M) es la colaboración con Sanofi: Regeneron no registra las ventas de Dupixent, sino su parte del beneficio, sin gastos comerciales propios fuera de EE. UU. [5]. Ese ingreso tiene un margen muy alto y crece con Dupixent (+26 % en 2025). El resto son ventas propias con margen bruto del 82-85 % (EYLEA, Libtayo) y la parte del beneficio de Bayer [5]. El gasto que manda es la I+D: 5.850 M en 2025, el 41 % de los ingresos, porque la empresa reinvierte en su cartera casi todo lo que no reparte [5]. El apalancamiento operativo es alto: cada dólar más de beneficio de Dupixent llega casi entero al resultado. No hay estacionalidad relevante, salvo descuentos de principio de año en EE. UU.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EYLEA HD y EYLEA (EE. UU.)</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Colaboración con Sanofi</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Colaboración con Bayer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productos propios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colaboraciones y otros ingresos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EYLEA HD y EYLEA (EE. UU.)</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Colaboración con Sanofi</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Colaboración con Bayer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Otros productos propios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Otras colaboraciones y otros ingresos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728</w:t>
            </w:r>
          </w:p>
        </w:tc>
      </w:tr>
    </w:tbl>
    <w:p>
      <w:pPr>
        <w:spacing w:after="160" w:before="0"/>
      </w:pPr>
    </w:p>
    <w:p>
      <w:pPr>
        <w:pStyle w:val="Heading2"/>
      </w:pPr>
      <w:r>
        <w:t xml:space="preserve">Clientes, recurrencia y poder de precios</w:t>
      </w:r>
    </w:p>
    <w:p>
      <w:pPr>
        <w:spacing w:after="100"/>
      </w:pPr>
      <w:r>
        <w:t xml:space="preserve">Los clientes directos son distribuidores de EE. UU. (dos de ellos, el 77 % de las ventas brutas de producto en 2025) y, a través de ellos, retinólogos, oncólogos y hospitales [1]. El pagador final es Medicare (EYLEA es un fármaco de la parte B, pagado por precio medio de venta) y los seguros privados [1]. El poder de precios es limitado y va a menos: el precio neto de EYLEA y EYLEA HD baja (2T26: «menor precio neto de venta») por los biosimilares y el bevacizumab reformulado, y los acuerdos de abril de 2026 con el Gobierno obligan a precios de nación más favorecida en Medicaid y en los fármacos nuevos [2, 3]. Dupixent, en cambio, gana volumen con indicaciones nuevas (EPOC, urticaria crónica) sin descuentos visibles [3].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Dupixent (M USD, las registra Sanofi)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14.148,0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17.806,7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10.878,3 M (+36 %); 2T26: 5.998,2 M (+38 %)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EYLEA HD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596 M (+52 %); ya vende más que EYLEA de 2 mg (412 M, −45 %)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EYLEA de 2 mg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Biosimilares (Pavblu de Amgen desde octubre de 2024) y paso a EYLEA HD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mundiales de Libtayo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489 M (+30 %)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Parte de Regeneron en los beneficios de la colaboración con Sanofi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3.923,5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5.241,6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2.032,6 M (+59 %); sin descuento de la deuda de desarrollo desde el 3T26 [3,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Concentración de clientes de producto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 distribuidores de EE. UU. suman el 77 % de las ventas brutas de producto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fármacos biológicos para dos áreas: las enfermedades de la retina tratadas con anti-VEGF (EYLEA, EYLEA HD, Vabysmo de Roche, biosimilares), que aportan EYLEA y la colaboración con Bayer, y la inflamación de tipo 2 (dermatitis atópica, asma, EPOC, urticaria), donde está Dupixent [1]. Usamos dos medidas de tamaño: el mercado mundial de anti-VEGF de Global Market Insights (18.200 M USD en 2025) [15] y el de fármacos para la dermatitis atópica (13.200 M según GMI y 19.470 M según Straits Research) [16, 17]. La serie suma anti-VEGF y dermatitis atópica de GMI; es un perímetro parcial, porque Dupixent vende también en asma, EPOC y otras enfermedades (17.807 M en 2025 frente a un mercado de dermatitis de 13.200-19.470 M)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31.400 M USD en 2025: 18.200 M de anti-VEGF [15] + 13.200 M de dermatitis atópica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indicaciones de Dupixent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EPOC (2024), urticaria crónica (2025, niños de 2-11 años en 2026): Dupixent +36 % en el 1S26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Biosimilares de aflibercept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Pavblu desde octubre de 2024, Yesafili desde agosto de 2026 y más en 2026-2027; EYLEA de 2 mg −42 % en 2025 [5,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Dosis más espaciadas en retina (EYLEA HD, Vabysmo)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EYLEA HD cada 20 semanas aprobado en abril de 2026; menos inyecciones por paciente y año [3].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en EE. UU. (Medicare, nación más favorecida)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Medicare de la parte B desde 2028; acuerdos de abril de 2026 con precios internacionales en Medicaid [2].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Envejecimiento y diabetes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degeneración macular y edema diabético: el mercado anti-VEGF crece un 5,2 % al año hasta 2034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retina, Roche (Vabysmo) y biosimilares baratos; en inmunología, Lilly (Ebglyss), AbbVie (Rinvoq) y nuevos anticuerpos de acción prolongada [1,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Medicare y los grandes seguros fijan el precio; dos distribuidores suman el 77 % de las ventas brutas [1,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en EE. UU. e Irlanda; algunas materias primas de un solo proveedor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biológico nuevo exige más de una década y miles de millones en ensayos; las patentes de Dupixent llegan a 2031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Biosimilares de EYLEA, bevacizumab sin indicación (barato) y orales para la inflamación (JAK) [1, 18].</w:t>
            </w:r>
          </w:p>
        </w:tc>
      </w:tr>
    </w:tbl>
    <w:p>
      <w:pPr>
        <w:spacing w:after="160" w:before="0"/>
      </w:pPr>
    </w:p>
    <w:p>
      <w:pPr>
        <w:pStyle w:val="Heading2"/>
      </w:pPr>
      <w:r>
        <w:t xml:space="preserve">Ciclo</w:t>
      </w:r>
    </w:p>
    <w:p>
      <w:pPr>
        <w:spacing w:after="100"/>
      </w:pPr>
      <w:r>
        <w:t xml:space="preserve">La demanda de fármacos no sigue el ciclo económico: en 2008-2009 y 2020 las ventas de las biofarmacéuticas apenas cayeron; lo que mueve el sector son las patentes y los precios. Hoy el ciclo de la industria lo marcan la política de precios de EE. UU. (Medicare, nación más favorecida, aranceles) y la ola de biosimilares de los grandes anticuerpos de 2025-2032 [1, 2]. Para Regeneron, EYLEA está en la fase de declive del ciclo de vida y Dupixent en plena madurez creciente hasta 2031 [1].</w:t>
      </w:r>
    </w:p>
    <w:p>
      <w:pPr>
        <w:pStyle w:val="Heading2"/>
      </w:pPr>
      <w:r>
        <w:t xml:space="preserve">Regulación</w:t>
      </w:r>
    </w:p>
    <w:p>
      <w:pPr>
        <w:spacing w:after="100"/>
      </w:pPr>
      <w:r>
        <w:t xml:space="preserve">La ley de reducción de la inflación (IRA) permite a Medicare negociar precios: los primeros de la parte B, donde está EYLEA, rigen desde 2028 [2]. En abril de 2026 Regeneron firmó con el Gobierno precios de nación más favorecida en Medicaid para sus productos propios y en los lanzamientos futuros, la venta directa de Praluent en TrumpRx y Otarmeni gratis; a cambio, no pagará los aranceles de la sección 232 hasta enero de 2029 si mantiene la inversión en EE. UU. [2]. La ley BIOSECURE (2025) limita a proveedores chinos [2].</w:t>
      </w:r>
    </w:p>
    <w:p>
      <w:pPr>
        <w:pStyle w:val="Heading2"/>
      </w:pPr>
      <w:r>
        <w:t xml:space="preserve">Tendencias y disrupción</w:t>
      </w:r>
    </w:p>
    <w:p>
      <w:pPr>
        <w:spacing w:after="100"/>
      </w:pPr>
      <w:r>
        <w:t xml:space="preserve">Dos tendencias marcan la década. En retina, el paso a dosis cada vez más espaciadas (EYLEA HD cada 20 semanas, Vabysmo) y los biosimilares de aflibercept; Regeneron gana con EYLEA HD (+52 % en el 2T26) pero pierde más con EYLEA de 2 mg [3]. En inmunología, los anticuerpos de acción prolongada (dosis cada tres o seis meses) que podrían sustituir a Dupixent tras 2031: Regeneron y Sanofi responden con cuatro moléculas nuevas de ese tipo en la sexta enmienda [12]. La IA acorta el descubrimiento de dianas; Regeneron tiene uno de los mayores bancos genéticos (Regeneron Genetics Center)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anti-VEGF de retina (más del 56,5 % en 2024, con Bayer) [15]; Dupixent es el primer biológico de la inflamación de tipo 2 (17.807 M USD en 2025, más que todo el mercado de dermatitis atópica de GMI) [5, 16]; Libtayo es un competidor menor de Keytruda en inmunoterapia del cáncer.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 (Vabysmo, Lucentis)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Vabysmo (faricimab) es el principal rival de EYLEA HD en degeneración macular y edema diabético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 (Pavblu, Tezspire)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38.095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Pavblu, el primer biosimilar de EYLEA (oct-2024); Tezspire compite con Dupixent en asma [18,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(Ebglyss)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Ebglyss (lebrikizumab, anti-IL-13) en dermatitis atópica, con dosis mensual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 (Rinvoq)</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64.386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Rinvoq (oral, JAK) en dermatitis atópica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 (Keytruda)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MRK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Keytruda domina la inmunoterapia en la que compite Libtayo; margen de los últimos doce meses deprimido por cargos de I+D adquirida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Novartis (Beovu, Lucentis)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jugador en anti-VEGF; con Roche y Regeneron suma el 90,9 % del mercado en 2024 [15].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fármacos.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pacientes estables con Dupixent o EYLEA HD rara vez cambian; pero los biosimilares de EYLEA de 2 mg ganan cuota rápido (−42 % en 2025)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 de composición de Dupixent hasta marzo de 2031 (formulación hasta octubre de 2031) y plataforma VelocImmune con 16 fármacos aprobados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Fabricación propia de biológicos a gran escala en EE. UU. e Irlanda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de 5.850 M al año y unos 50 candidatos en ensayos, difícil de igualar fuera de las grandes farmacéuticas [7, 11].</w:t>
            </w:r>
          </w:p>
        </w:tc>
      </w:tr>
    </w:tbl>
    <w:p>
      <w:pPr>
        <w:spacing w:after="160" w:before="0"/>
      </w:pPr>
    </w:p>
    <w:p>
      <w:pPr>
        <w:pStyle w:val="Heading2"/>
      </w:pPr>
      <w:r>
        <w:t xml:space="preserve">Amenazas</w:t>
      </w:r>
    </w:p>
    <w:p>
      <w:pPr>
        <w:spacing w:after="100"/>
      </w:pPr>
      <w:r>
        <w:t xml:space="preserve">Lo que puede erosionar el foso tiene fecha: los biosimilares de Dupixent a partir de 2031 (probabilidad alta, es el 50 % del beneficio del grupo), la llegada de anticuerpos de acción prolongada de otros (amlitelimab de Sanofi, que no es parte del acuerdo, y otros anti-OX40, anti-TSLP) y la extensión de los biosimilares de aflibercept a EYLEA HD (Alvotech ya presentó un biosimilar de 8 mg en Europa en octubre de 2026) [1, 18]. La política de precios de EE. UU. reduce el valor de cada fármaco nuevo [2].</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r>
    </w:tbl>
    <w:p>
      <w:pPr>
        <w:spacing w:after="160" w:before="0"/>
      </w:pPr>
    </w:p>
    <w:p>
      <w:pPr>
        <w:spacing w:after="100"/>
      </w:pPr>
      <w:r>
        <w:t xml:space="preserve">Crecimiento anual compuesto 2021-2025: ingresos </w:t>
      </w:r>
      <w:r>
        <w:rPr>
          <w:b/>
          <w:bCs/>
        </w:rPr>
        <w:t xml:space="preserve">-2,8 %</w:t>
      </w:r>
      <w:r>
        <w:t xml:space="preserve">, EBITDA </w:t>
      </w:r>
      <w:r>
        <w:rPr>
          <w:b/>
          <w:bCs/>
        </w:rPr>
        <w:t xml:space="preserve">-18,3 %</w:t>
      </w:r>
      <w:r>
        <w:t xml:space="preserve">, BPA </w:t>
      </w:r>
      <w:r>
        <w:rPr>
          <w:b/>
          <w:bCs/>
        </w:rPr>
        <w:t xml:space="preserve">-12,9 %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16.071,7 M USD en 2021 a 14.342,9 M en 2025: 2021 está inflado por el anticuerpo contra la COVID (REGEN-COV), que desapareció en 2022, y desde entonces el grupo crece poco porque EYLEA en EE. UU. cae (de 6.265 M en 2022 a 4.385 M en 2025 con EYLEA HD incluido) mientras sube la parte de Regeneron en los beneficios de Dupixent (colaboración con Sanofi: de 2.856 M a 5.884 M) [5, 8]. En 2026 el crecimiento vuelve: +19,0 % en el 1T y +16,7 % en el 2T, con Dupixent +38 %, EYLEA HD +52 % y Libtayo +30 % [3, 4]. El margen operativo bajó del 32,9 % de 2022 al 24,9 % de 2025 por la I+D (de 3.593 M a 5.850 M) y la caída de EYLEA; en el 1S26 fue del 24,5 %, con 176,1 M de costes por la parada temporal de la fábrica de Limerick y 228,9 M de I+D adquirida [2, 3].</w:t>
      </w:r>
    </w:p>
    <w:p>
      <w:pPr>
        <w:pStyle w:val="Heading2"/>
      </w:pPr>
      <w:r>
        <w:t xml:space="preserve">Ajustes y partidas no recurrentes</w:t>
      </w:r>
    </w:p>
    <w:p>
      <w:pPr>
        <w:spacing w:after="100"/>
      </w:pPr>
      <w:r>
        <w:t xml:space="preserve">La empresa publica un BPA ajustado (no GAAP) que quita los pagos en acciones (993,7 M en 2025), la amortización de intangibles (131,7 M en el coste de ventas), los costes de litigios y de compras, el bono de revisión prioritaria (155 M en 2025) y, sobre todo, las ganancias y pérdidas de valor de su cartera de acciones y bonos (−946,1 M en 2025: una ganancia que el ajustado quita) [5]. El ajustado fue de 44,31 USD en 2025 frente a 41,48 del GAAP [5]. No recurrente dentro del EBITDA de los últimos doce meses: 176,1 M de la parada de Limerick (161,3 M en coste de ventas y 14,8 M en COCM, 1S26) [3]. La I+D adquirida (124,1 M en 2025, 228,9 M en el 1S26) no se ajusta: es recurrente en esta empresa [3, 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4.291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(30-jul-2026) la dirección destacó el segundo trimestre seguido de crecimiento de dos cifras en ventas y BPA ajustado (+17 % y +11 %) y que la deuda de desarrollo con Sanofi quedó pagada a 30 de junio: desde el 3T26 ya no se descuenta de su parte en los beneficios de Dupixent, lo que según el director financiero «impulsará un salto significativo» de los beneficios de la colaboración [3]. Subió la guía de margen bruto (78-79 % frente a 77-78 %) y bajó la de capex (1.030-1.100 M frente a 1.100-1.200 M) [3]. Explicó que la caída del margen bruto de producto (78 % frente a 83 %) se debe a la parada temporal de la producción a granel en Limerick, ya normalizada [3]. En el 1T26 (29-abr) el mensaje fue el mismo sobre EYLEA HD y Dupixent, con el fracaso de fianlimab en melanoma pendiente (se conoció el 18-may) [4]. La guía es solo de gastos: la empresa no da objetivos de ventas ni de beneficio [3].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29.215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25.973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balance es de caja neta: 18.865,8 M USD de caja y valores negociables frente a 1.985,9 M de bonos a fin de 2025 [5]. La caja ha subido poco desde 2023 (16.241,3 M) pese al flujo libre de 4.000-4.500 M al año porque la empresa recompra acciones: 2.235 M en 2023, 2.603 M en 2024, 3.439 M en 2025 y 2.017 M en el 1S26, más 532-1.029 M al año de acciones retenidas para impuestos de los empleados [1, 2, 5]. El circulante comercial es alto (clientes 5.741,1 M y existencias 3.200,8 M en 2025): los clientes incluyen lo que debe Sanofi por la parte de Regeneron en los beneficios de Dupixent [1, 5].</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22.575</w:t>
      </w:r>
      <w:r>
        <w:t xml:space="preserve">, conversión </w:t>
      </w:r>
      <w:r>
        <w:rPr>
          <w:b/>
          <w:bCs/>
        </w:rPr>
        <w:t xml:space="preserve">89 %</w:t>
      </w:r>
      <w:r>
        <w:t xml:space="preserve"> del beneficio neto; adquisiciones 305, dividendos 370, recompras 12.005.</w:t>
      </w:r>
    </w:p>
    <w:p>
      <w:pPr>
        <w:spacing w:after="100"/>
      </w:pPr>
      <w:r>
        <w:t xml:space="preserve">La conversión es buena: flujo operativo de 4.978,9 M USD en 2025 (111 % del beneficio neto, que incluye 946,1 M de ganancias no realizadas de la cartera) y flujo libre de 4.080,5 M [5]. En el 1S26, 1.891,9 M de flujo operativo y 1.421,1 M libres (menos que un año antes por el circulante: clientes +824 M con el aumento de los beneficios de Dupixent) [3]. El capex sube (898,4 M en 2025, 6,3 % de las ventas; guía de 1.030-1.100 M en 2026) por la nueva fábrica de Saratoga Springs y el compromiso de invertir en EE. UU. de los acuerdos con el Gobierno [2, 3]. La empresa no separa mantenimiento de crecimiento; estimación propia: el mantenimiento es del orden de la amortización de inmovilizado (364,8 M en 2025) [1]. Aparte, pagos por intangibles de 315,3 M en 2025 (licencias), fuera del capex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y control interno)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pero tienen dos zonas de juicio. La primera son los ingresos de colaboración: Regeneron no vende Dupixent; Sanofi lo vende y le paga la mitad del beneficio, que Regeneron registra con los datos que le da Sanofi; por eso demandó a Sanofi para auditar esa información, y el pleito se retiró con la sexta enmienda de octubre de 2026 [2, 12]. La segunda es la cartera de inversiones: las ganancias y pérdidas de valor pasan por la cuenta (−946,1 M de ganancias en 2025, +266,4 M de pérdidas en 2023) y mueven el BPA GAAP; el ajustado las quita [1, 5]. Los pagos en acciones son altos (993,7 M, el 22 % del beneficio neto de 2025) y la dilución se compensa con recompras [1]. El tipo impositivo es bajo (13,9 % en 2025) por los beneficios en Irlanda y el crédito de I+D [5].</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993,7 M en 2025 (6,9 % de las ventas) y un plan de acciones de 10 años para el consejero delegado y el director científico aprobado el 24-sep-2026 (hasta 2,7 y 2,9 M de acciones) [1,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Ganancias de la cartera en el BPA GAAP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946,1 M de ganancias en 2025 (8,7 USD por acción); por eso usamos el BPA ajustado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Ingresos de colaboración con datos del socio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parte de los beneficios de Dupixent se calcula con datos de Sanofi; el litigio por el acceso a esa información terminó en octubre de 2026 [2, 12].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8.936</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11.733</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-82,1 % · </w:t>
      </w:r>
      <w:r>
        <w:rPr>
          <w:b/>
          <w:bCs/>
        </w:rPr>
        <w:t xml:space="preserve">WACC</w:t>
      </w:r>
      <w:r>
        <w:t xml:space="preserve">: 10,0 %.</w:t>
      </w:r>
    </w:p>
    <w:p>
      <w:pPr>
        <w:spacing w:after="100"/>
      </w:pPr>
      <w:r>
        <w:t xml:space="preserve">Regeneron crea valor, pero cada vez menos. El ROIC pasó del 86,7 % de 2021 (año de la COVID) al 42,4 % de 2022 y al 21,1 % de 2025, frente a un WACC del 10,0 %: sigue 11 puntos por encima, pero la tendencia es mala. Bajan las dos cosas: el NOPAT (de 4.231 M en 2022 a 3.081 M en 2025, porque la I+D subió de 3.593 a 5.850 M y EYLEA cae) y la rotación (el capital invertido sube de 9.984 a 14.621 M por las cuentas a cobrar de Sanofi y Bayer y las fábricas nuevas) [1, 5]. La caja (18.866 M) no cuenta como capital. El ROE (14,9 %) es menor que el ROIC porque la caja rinde poco. Desde 2026 debe mejorar: el 1S26 ya muestra ventas +17,8 % y, desde el 3T, la parte de Dupixent sin la deuda de desarrollo [3, 4]. Sin compras relevantes: el fondo de comercio es cero.</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-15.116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-15.966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valores negociables de 17.822,9 M USD a 30-jun-2026 y línea de crédito no dispuesta de 750 M hasta diciembre de 2027 [1, 3]. Después del balance: 1.000 M a cobrar de Sanofi por la sexta enmienda (octubre de 2026)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Grado de inversión; el 10-K no publica la calificación y no se ha comprobado en la agencia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Deuda financiera de 1.986,6 M a 30-jun-2026: 1.250 M de bonos al 1,75 % con vencimiento en septiembre de 2030 y 750 M al 2,80 % en 2050 (intereses de 44,4 M al año) [1]. Arrendamiento financiero de 720 M (financiación del campus de Tarrytown, con las mismas obligaciones que la línea de crédito) [1]. Litigios: demanda civil del Departamento de Justicia (Massachusetts, junio de 2020) por el apoyo a fundaciones que ayudan a pagar los copagos de EYLEA, con una segunda petición de sentencia parcial del fiscal en octubre de 2025, y otro procedimiento sobre comisiones de tarjetas en la declaración del precio medio de venta; sin provisión cuantificada en el 10-K [1]. La empresa cumple los covenants [1].</w:t>
      </w:r>
    </w:p>
    <w:p>
      <w:pPr>
        <w:pStyle w:val="Heading1"/>
      </w:pPr>
      <w:r>
        <w:t xml:space="preserve">12. Asignación de capital</w:t>
      </w:r>
    </w:p>
    <w:p>
      <w:pPr>
        <w:pStyle w:val="Confianza"/>
        <w:spacing w:after="100"/>
      </w:pPr>
      <w:r>
        <w:t xml:space="preserve">Confianza: Media</w:t>
      </w:r>
    </w:p>
    <w:p>
      <w:pPr>
        <w:spacing w:after="100"/>
      </w:pPr>
      <w:r>
        <w:t xml:space="preserve">Prioridad declarada: invertir en la cartera propia (I+D del 41 % de los ingresos), licencias de fármacos en desarrollo y fábricas en EE. UU.; el resto vuelve al accionista con recompras y, desde 2025, un dividendo trimestral (0,88 USD en 2025, 0,94 en 2026) [1, 2]. Recompras de 2.214,6 M en 2023, 2.613,9 M en 2024, 3.456,2 M en 2025 y 1.967,7 M en el 1S26; programa nuevo de 3.000 M aprobado en abril de 2026 [1, 2]. Sin deuda neta: 1.986,6 M de bonos (2030 y 2050) frente a 17.822,9 M de caja e inversiones a 30-jun-2026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Checkmate Pharmaceuticals (vacuna inmunoestimulante para el cáncer)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pequeño; sin ventas; se integró en la cartera de oncología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Decibel Therapeutics (terapia génica para la sordera)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pequeño; DB-OTO en ensayos; cargo de 53,4 M en 2024 por subir el pago contingente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terapia celular de 2seventy bio (derechos completos)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Preclínico y fase 1; sin ventas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Licencia de olatorepatide (GLP-1/GIP de Hansoh, fuera de China)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Pago inicial de 80 M; en fase 3 en China, la entrada de Regeneron en obesidad [2].</w:t>
            </w:r>
          </w:p>
        </w:tc>
      </w:tr>
    </w:tbl>
    <w:p>
      <w:pPr>
        <w:spacing w:after="160" w:before="0"/>
      </w:pPr>
    </w:p>
    <w:p>
      <w:pPr>
        <w:spacing w:after="100"/>
      </w:pPr>
      <w:r>
        <w:t xml:space="preserve">Buena asignadora en lo grande (EYLEA, Dupixent y Libtayo salieron de sus laboratorios, no de compras caras) y prudente en adquisiciones: todas pequeñas, sobre todo licencias de fármacos en desarrollo. Las recompras son crecientes (10.250 M desde 2023) pero bajan poco las acciones (de 115,1 M diluidas en 2024 a 108,6 M en 2025 y 108,0 M en el 2T26), porque compensan los pagos en acciones (≈ 1.000 M al año) [1, 2, 5]. El punto débil es la I+D: 5.850 M en 2025 con fracasos recientes (fianlimab en melanoma, mayo de 2026) [19]. El plan de acciones a 10 años del consejero delegado y del director científico (hasta 5,6 M de acciones si la acción se multiplica) liga su premio al precio, pero diluye [24].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S. Schleifer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del consejo, 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Neurólogo; fundó la empresa en 1988 y la ha dirigido 38 años, de cero a 14.343 M USD de ventas en 2025 y 16 fármacos aprobados, con un rendimiento para el accionista de más del 3.500 % desde 1991 [21, 24]. Tiene el 95 % de las acciones de clase A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D. Yancopoulos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del consejo, presidente y director científico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Científico fundador; inventor de las plataformas que dieron EYLEA, Dupixent y Libtayo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Fenimore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finanzas y 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las finanzas desde 2024 tras años en la empresa; con él llegaron el dividendo (2025) y la subida de las recompras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Andrew J. Murphy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Codirector científico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Investigador de la empresa desde los años noventa; codirige la ciencia con Yancopoulos [21,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Christine A. Poon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Exvicepresidenta de Johnson &amp; Johnson; preside la comisión de remuneración y diseñó el plan de acciones de 2026 [21,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 ajustada 5.000-5.200 M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5.149,8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Gastos generales y de venta ajustados 2.550-2.700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2.311,3 M (por debajo)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GAAP de producto 84-85 %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850-975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898,4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 impositivo GAAP 9-11 %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13,9 %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GAAP de producto 77-78 % (enero) → 78-79 % (julio); capex 1.100-1.200 M → 1.030-1.100 M</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margen del 77 %; capex de 470,8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el más estable del sector: los dos fundadores siguen al frente desde 1988-1989 y han creado la empresa desde cero [21]. La guía es solo de gastos y se cumple en lo que controla la dirección (I+D, gastos generales, capex), no en el margen bruto ni en el tipo impositivo [3, 5, 13]. El riesgo es de sucesión: Schleifer tiene 73 años y Yancopoulos 66, no hay sucesor nombrado y el plan de acciones de septiembre de 2026 los ata diez años más (hasta 2036) [21, 24].</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S. Schleifer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D. Yancopoulos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Copresidente; presidente y director científico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Christine A. Poon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(presidenta); Gobierno y Cumplimiento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George L. Sing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Arthur F. Ryan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Cumplimiento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L. Goldstein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S. Brown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 Tecnología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Bonnie L. Bassler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Huda Y. Zoghbi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 Anthony Coles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B. Thompson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Cumplimiento;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Guarini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P. Schenkein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Remuneración;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37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y control interno)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15,01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14-abr-2026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14-abr-2026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World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Declarado a 14-abr-2026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Leonard S. Schleifer (95 % de la clase A, ≈ 15 % de los votos con ella)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y consejero delegado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en 12 meses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George D. Yancopoulos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 y director científico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ventas en 12 meses [23]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1"/>
        <w:gridCol w:w="3381"/>
        <w:gridCol w:w="1521"/>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Christine A. Poon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Andrew J. Murphy (codirector científico)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Marion McCourt (vicepresidenta comercial)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Huda Y. Zoghbi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Jason Pitofsky (controller)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24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Bonnie L. Bassler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7,28 M USD en 2025: 1,98 M de fijo, 3,68 M de variable anual en efectivo y 1,62 M de otros conceptos; no recibió acciones en 2024 ni en 2025, porque cubría la gran concesión de 2020 [21]. El 24-sep-2026 el consejo le concedió, igual que al director científico, un plan único a diez años (2026-2035) 100 % por objetivos: unidades de acciones por cada solicitud y aprobación de un fármaco nuevo (10.000 y 15.000 por cada una) y por las ventas de los productos nuevos de 2032-2035 (250.000 a partir de 10.000 M USD y hasta 1,8 M de unidades con 30.000 M), con un máximo de 2,7 M de acciones para el consejero delegado y 2,9 M para el director científico, que no pueden vender hasta 2036 [24]. A 805 USD, el máximo de los dos vale unos 4.500 M USD (estimación propia). Premia la cartera y las ventas nuevas, no el ROIC ni el flujo libre; el voto de remuneración de 2026 fue del 93 % a favor [22].</w:t>
      </w:r>
    </w:p>
    <w:p>
      <w:pPr>
        <w:pStyle w:val="Heading2"/>
      </w:pPr>
      <w:r>
        <w:t xml:space="preserve">Operaciones vinculadas, estructura de control y defensas</w:t>
      </w:r>
    </w:p>
    <w:p>
      <w:pPr>
        <w:spacing w:after="100"/>
      </w:pPr>
      <w:r>
        <w:t xml:space="preserve">Doble clase: las acciones de clase A (1,82 M, el 95 % de Schleifer) votan diez veces y suman ≈ 15 % de los votos, frente al 95 % de la salida a bolsa; no se emiten nuevas desde 1991 [21]. No hay accionista de control: con la clase A y sus acciones ordinarias, Schleifer no decide la junta. El consejo se está desclasificando (elección anual de todos en 2028), hay voto por mayoría y el 25 % de los votos puede convocar una junta extraordinaria [21]. El consejo es largo en el cargo: cuatro consejeros llevan desde 1988-2003 y en 2026 tres recibieron más de un 20 % de votos en contra (Goldstein 29,9 %, Poon 23,2 %, Thompson 20,7 %) [22].</w:t>
      </w:r>
    </w:p>
    <w:p>
      <w:pPr>
        <w:pStyle w:val="Heading2"/>
      </w:pPr>
      <w:r>
        <w:t xml:space="preserve">Señales de alerta</w:t>
      </w:r>
    </w:p>
    <w:p>
      <w:pPr>
        <w:pStyle w:val="ListParagraph"/>
        <w:numPr>
          <w:ilvl w:val="0"/>
          <w:numId w:val="2"/>
        </w:numPr>
        <w:spacing w:after="60"/>
      </w:pPr>
      <w:r>
        <w:t xml:space="preserve">Plan de acciones por objetivos a diez años para los dos fundadores (hasta 5,6 M de acciones entre los dos, ≈ 5 % del capital) [24].</w:t>
      </w:r>
    </w:p>
    <w:p>
      <w:pPr>
        <w:pStyle w:val="ListParagraph"/>
        <w:numPr>
          <w:ilvl w:val="0"/>
          <w:numId w:val="2"/>
        </w:numPr>
        <w:spacing w:after="60"/>
      </w:pPr>
      <w:r>
        <w:t xml:space="preserve">Consejeros con más de 20 años en el cargo y votos en contra del 21-30 % en la junta de 2026 (Goldstein, Poon, Thompson) [22].</w:t>
      </w:r>
    </w:p>
    <w:p>
      <w:pPr>
        <w:pStyle w:val="ListParagraph"/>
        <w:numPr>
          <w:ilvl w:val="0"/>
          <w:numId w:val="2"/>
        </w:numPr>
        <w:spacing w:after="60"/>
      </w:pPr>
      <w:r>
        <w:t xml:space="preserve">Consejero delegado y presidente a la vez, con 73 años y sin sucesor nombrado [21].</w:t>
      </w:r>
    </w:p>
    <w:p>
      <w:pPr>
        <w:pStyle w:val="ListParagraph"/>
        <w:numPr>
          <w:ilvl w:val="0"/>
          <w:numId w:val="2"/>
        </w:numPr>
        <w:spacing w:after="60"/>
      </w:pPr>
      <w:r>
        <w:t xml:space="preserve">Doble clase de acciones (≈ 15 % de los votos en la clase A) [21].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solo guía gastos. Guía de 2026 (actualizada el 30-jul-2026): I+D GAAP 6.500-6.635 M USD, gastos generales y de venta GAAP 2.830-2.960 M, margen bruto GAAP de producto 78-79 %, coste de fabricación para socios 985-1.035 M, capex 1.030-1.100 M y tipo impositivo GAAP del 13-14 % [2]. No incluye operaciones corporativas no cerradas (la sexta enmienda con Sanofi es de octubre) [2]. Próximos resultados: 30-oct-2026, antes de la apertura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28 analistas, 24-oct-2026; BPA ajustado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9 analistas, 24-oct-2026; BPA ajustado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8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867,33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730,00 – 1.030,00</w:t>
            </w:r>
          </w:p>
        </w:tc>
      </w:tr>
    </w:tbl>
    <w:p>
      <w:pPr>
        <w:spacing w:after="160" w:before="0"/>
      </w:pPr>
    </w:p>
    <w:p>
      <w:pPr>
        <w:pStyle w:val="Heading2"/>
      </w:pPr>
      <w:r>
        <w:t xml:space="preserve">Revisiones de estimaciones</w:t>
      </w:r>
    </w:p>
    <w:p>
      <w:pPr>
        <w:spacing w:after="100"/>
      </w:pPr>
      <w:r>
        <w:t xml:space="preserve">El BPA ajustado de 2026 del consenso subió de 45.85 a 58.85 USD en 90 días y el de 2027 de 47.4 a 52.03 [26]: los resultados del 2T26 (EYLEA HD y Dupixent por encima de lo esperado) y el fin de la deuda de desarrollo con Sanofi. El de 2026 puede incluir parte de los 1.000 M de Sanofi del 4T26 (el BPA del 4T va de 14,35 a 25,95 USD entre analistas) [26]. El de 2027 solo lo dan 9 analistas. En agosto el consenso de Zacks para 2026 era de 53,11 USD [35]. UBS subió a Comprar el 14-oct con objetivo de 978 USD [34].</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2,2 %</w:t>
            </w:r>
          </w:p>
        </w:tc>
      </w:tr>
    </w:tbl>
    <w:p>
      <w:pPr>
        <w:spacing w:after="160" w:before="0"/>
      </w:pPr>
    </w:p>
    <w:p>
      <w:pPr>
        <w:spacing w:after="100"/>
      </w:pPr>
      <w:r>
        <w:t xml:space="preserve">La acción ha rendido un 7,3 % anual en cinco años frente al 12,4 % del S&amp;P 500 y un 0,7 % anual en tres años, con una caída máxima del 59,7 % de agosto de 2024 a junio de 2025 por los biosimilares de EYLEA y el fracaso de itepekimab en uno de sus dos ensayos de EPOC [25]. En el último año ha rendido un 40,6 % (S&amp;P 500 +14,4 %) por tres hechos: la vuelta al crecimiento en 2026, el salto de los resultados del 2T26 (+27,9 % en el mes hasta el 21-ago) y el pago de la deuda con Sanofi; en medio, −9,8 % el 18-may por fianlimab [19, 25, 35]. La beta mensual a cinco años (0,13) es poco fiable; usamos la semanal de cinco años (0,62) como referencia [25].</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 +20,7 % / +7,1 % / +37,7 %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 / +39,8 %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18-may-2026 (−16,6 % en el mes al 22-may)</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Fianlimab con Libtayo no mejora la supervivencia sin progresión en melanoma avanzado frente a Keytruda; la acción cae un 9,8 % ese día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22-jul a 21-ago-2026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2T26 por encima de lo esperado (ventas +16,7 %, EYLEA HD +52 %, Dupixent +38 %) y aprobación de la FDA en fibrodisplasia osificante progresiva (19-ago) [3, 34,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28-sep y 1-oct-2026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Primeros datos en cáncer de ovario recibidos con dudas; el 1-oct, sexta enmienda con Sanofi (1.000 M de cobro inicial y hasta 7.000 M en hitos, pleito retirado) [12,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sube a Comprar con precio objetivo de 978 USD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Cargo de I+D adquirida de 22 M en el 3T26 (−0,18 USD por acción) [14].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enmienda con Sanofi: cuatro anticuerpos nuevos, 1.000 M de cobro inicial, hasta 7.000 M en hitos y fin del pleito por la información de Dupixent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 acciones por objetivos a 10 años para el consejero delegado y el director científico (hasta 2,7 y 2,9 M de acciones)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Biocon lanza Yesafili, otro biosimilar de EYLEA en EE. UU. [18].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el Gobierno de EE. UU.: precios de nación más favorecida en Medicaid y fármacos nuevos, a cambio de alivio en aranceles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de 16,1 M USD en 12 meses, ninguna compra; el consejero delegado y el director científico no han vendido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2026-10-30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antes de la apertura: consenso de BPA ajustado de 16,19 USD [26,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sube un 37,7 % en un año y un 20,7 % en tres meses, con la media de 200 sesiones al alza, pero sigue un 33 % por debajo de su máximo de 2024 [25]. Cada movimiento fuerte tiene causa en un hecho de la empresa (fianlimab, resultados del 2T, FOP, Sanofi); no hay colocaciones, y los directivos venden poco (16,1 M en un año) [23]. Los resultados del 30-oct llegan en 6 días, pero con tendencia alcista no retrasan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Regeneron cotiza barata frente a su beneficio desde hace años: entre 14 y 19 veces el BPA ajustado del año siguiente al cierre de 2021-2025, con 6,5 veces al cierre de 2020 (el beneficio de 2021 lo infló la COVID) [25, 26]. Hoy, a 805,02 USD, cotiza a unas 13 veces el BPA de los próximos doce meses del consenso, en la parte baja de su historia [26]. Lo que ha cambiado es el riesgo: EYLEA tiene biosimilares y Dupixent, que es la mitad del beneficio, pierde la patente en 2031, así que el mercado paga menos por cada dólar de beneficio. 2021 se marca como excluido en la serie al cierre por el beneficio de la COVID.</w:t>
      </w:r>
    </w:p>
    <w:p>
      <w:pPr>
        <w:pStyle w:val="Heading1"/>
      </w:pPr>
      <w:r>
        <w:t xml:space="preserve">18. Comparables cotizados</w:t>
      </w:r>
    </w:p>
    <w:p>
      <w:pPr>
        <w:pStyle w:val="Confianza"/>
        <w:spacing w:after="100"/>
      </w:pPr>
      <w:r>
        <w:t xml:space="preserve">Confianza: Media</w:t>
      </w:r>
    </w:p>
    <w:p>
      <w:pPr>
        <w:spacing w:after="100"/>
      </w:pPr>
      <w:r>
        <w:t xml:space="preserve">Biofarmacéuticas grandes y rentables de EE. UU. y Europa, con pocos productos que pesan mucho y riesgo de patentes: Vertex, Amgen, Gilead, Biogen, Incyte, United Therapeutics, Neurocrine, Sanofi (socio de Dupixent), AbbVie y Merck. No usamos Eli Lilly (prima por la obesidad) ni Alnylam (crece al 26 % con poco beneficio). Todos con datos de Yahoo del 24-oct-2026 (cierre del 23-oct) y el PER sobre el BPA de los próximos doce meses del consenso (ajustado) [26]. El EBITDA de los próximos doce meses no está gratis en la misma base: solo EV/EBITDA de los últimos doce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Regeneron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237.478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Gilead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193.483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Incyte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United Therapeutics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Neurocrine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AbbVie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358.406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14,9x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 / 15,6x / 17,6x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15.535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4,3x / 6,6x / 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1.092,86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1.199,66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spacing w:after="100"/>
      </w:pPr>
      <w:r>
        <w:t xml:space="preserve">Regeneron cotiza a 12.8 veces el BPA ajustado de los próximos doce meses del consenso, por debajo de la mediana de los comparables (15.7 veces) y solo por encima de Neurocrine y Sanofi [26]. Su margen EBITDA (30 % de los últimos doce meses) es menor que el de Amgen, AbbVie o Vertex porque gasta el 41 % de las ventas en I+D, y su crecimiento esperado de 2027 (+5,6 % en Yahoo, con una base de 2026 que incluye el pago de Sanofi) está en la media [26]. El descuento se explica por EYLEA y por la patente de Dupixent de 2031; con 17.800 M de caja (21 % de la capitalización) el PER sin caja es aún menor. Usamos el PER como múltiplo principal.</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Soleno Therapeutics (VYKAT XR)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Neurocrine Biosciences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Enfermedad rara con un producto en lanzamiento; 12,2 veces las ventas de 2025 [30].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Intra-Cellular Therapies (CAPLYTA)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Johnson &amp; Johnson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en crecimiento con patentes largas; sobre ventas de 2024 de 680,9 M [31, 33].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GW Pharmaceuticals (EPIDIOLEX)</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producto para enfermedad rara; sobre ventas de 2020 de 527,2 M [32, 33].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2.118,44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2.010,56 – 2.672,22</w:t>
            </w:r>
          </w:p>
        </w:tc>
      </w:tr>
    </w:tbl>
    <w:p>
      <w:pPr>
        <w:spacing w:after="160" w:before="0"/>
      </w:pPr>
    </w:p>
    <w:p>
      <w:pPr>
        <w:spacing w:after="100"/>
      </w:pPr>
      <w:r>
        <w:t xml:space="preserve">Las compras de biofarmacéuticas con un producto en crecimiento se pagan a 12-21 veces las ventas [30, 31, 32, 33], frente a unas 4,8 veces que cotiza Regeneron (valor empresa ≈ 75.100 M sobre 15.535 M de ventas de los últimos doce meses [26]). No son comparables: son empresas pequeñas con un solo producto y patentes largas. Una oferta por Regeneron es muy improbable: vale más de 80.000 M, los fundadores controlan el 15 % de los votos con la clase A y nunca han querido vender. Por eso las transacciones no pesan en el valor.</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(+19,2 %, fijo): el 1S26 creció un 17,8 % (+19,0 % y +16,7 %) y, desde el 3T, la parte de Dupixent ya no descuenta la deuda de desarrollo con Sanofi [3, 4]; consenso de 17.600 M [26]. 2027e-2030e (+8,5 % a +4,0 %): Dupixent crece cada vez menos y EYLEA cae con los biosimilares, compensado por EYLEA HD, Libtayo, Lynozyfic y los lanzamientos de 2026-2027 (FOP, cemdisiran); el consenso de 2027e es de 18.592 M, casi igual que el nuestro (18.550) [26]. 2031e-2032e (0 % y −3 %): las patentes de Dupixent vencen en marzo y octubre de 2031 [1]. 2033e: +2 % con la cartera.</w:t>
      </w:r>
    </w:p>
    <w:p>
      <w:pPr>
        <w:keepNext/>
        <w:spacing w:after="100"/>
      </w:pPr>
      <w:r>
        <w:rPr>
          <w:b/>
          <w:bCs/>
        </w:rPr>
        <w:t xml:space="preserve">Márgenes.</w:t>
      </w:r>
    </w:p>
    <w:p>
      <w:pPr>
        <w:spacing w:after="100"/>
      </w:pPr>
      <w:r>
        <w:t xml:space="preserve">Margen EBITDA (con los pagos en acciones como gasto) del 32 % en 2026e, frente al 28,1 % de los últimos doce meses: la parte de Dupixent sin la deuda de desarrollo es casi todo margen [3]. Sube al 35,5 % en 2029e-2030e con la I+D estable (≈ 5.900-6.200 M según la guía) y baja al 33 % cuando Dupixent pierde la patente [3].</w:t>
      </w:r>
    </w:p>
    <w:p>
      <w:pPr>
        <w:keepNext/>
        <w:spacing w:after="100"/>
      </w:pPr>
      <w:r>
        <w:rPr>
          <w:b/>
          <w:bCs/>
        </w:rPr>
        <w:t xml:space="preserve">Inversión y circulante.</w:t>
      </w:r>
    </w:p>
    <w:p>
      <w:pPr>
        <w:spacing w:after="100"/>
      </w:pPr>
      <w:r>
        <w:t xml:space="preserve">Capex del 6,2 % de las ventas en 2026e (guía de 1.030-1.100 M) y del 7 % en 2027e por la fábrica de Saratoga Springs y el compromiso de invertir en EE. UU.; baja al 4,5 % en 2031e [2, 3]. Circulante del 54 % de las ventas, el nivel de 2025: cuentas a cobrar de Sanofi y Bayer y existencias de biológicos [1].</w:t>
      </w:r>
    </w:p>
    <w:p>
      <w:pPr>
        <w:keepNext/>
        <w:spacing w:after="100"/>
      </w:pPr>
      <w:r>
        <w:rPr>
          <w:b/>
          <w:bCs/>
        </w:rPr>
        <w:t xml:space="preserve">Coste del capital.</w:t>
      </w:r>
    </w:p>
    <w:p>
      <w:pPr>
        <w:spacing w:after="100"/>
      </w:pPr>
      <w:r>
        <w:t xml:space="preserve">Tasa libre del 5,00 % (Tesoro a 10 años, 23-oct-2026 [27]); beta de 0,85, por encima de la medida (0,62 [26]) porque la acción se mueve por ensayos binarios y por la política de precios de EE. UU.; prima del mercado del 5,5 % y prima adicional de 0,5 puntos por la dependencia de Dupixent (≈ 40 % de los ingresos) con patente hasta 2031. Coste de la deuda del 4,5 % con un peso del 3,2 %. WACC del 10,0 %.</w:t>
      </w:r>
    </w:p>
    <w:p>
      <w:pPr>
        <w:keepNext/>
        <w:spacing w:after="100"/>
      </w:pPr>
      <w:r>
        <w:rPr>
          <w:b/>
          <w:bCs/>
        </w:rPr>
        <w:t xml:space="preserve">Valor terminal.</w:t>
      </w:r>
    </w:p>
    <w:p>
      <w:pPr>
        <w:spacing w:after="100"/>
      </w:pPr>
      <w:r>
        <w:t xml:space="preserve">Crecimiento a perpetuidad del 2,0 %: después de 2033 los ingresos dependerán de la cartera de hoy (unos 50 candidatos), no de Dupixent ni de EYLEA; es una empresa de I+D que repone su cartera, por eso no es cero, pero tampoco más que la inflación.</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62.862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657,62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712,14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659,80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714,07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733,21</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6.993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(ROIC 21,1 %)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frente al 5,4 %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En parte: el capital nuevo tendría que rendir más de 1,25 veces el histórico; el crecimiento proyectado (5,4 %) supera con holgura el histórico de ingresos (-2,8 %)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 (histórico: -82,1 %)</w:t>
            </w:r>
          </w:p>
        </w:tc>
      </w:tr>
    </w:tbl>
    <w:p>
      <w:pPr>
        <w:spacing w:after="160" w:before="0"/>
      </w:pPr>
    </w:p>
    <w:p>
      <w:pPr>
        <w:spacing w:after="100"/>
      </w:pPr>
      <w:r>
        <w:t xml:space="preserve">La proyección reinvierte el 17 % del NOPAT. Con el ROIC del último ejercicio (21,1 %), eso financia un crecimiento del 3,5 % anual, frente al 5,4 % de ingresos proyectado. Supone que el capital nuevo rinde un 31,0 %, frente a un ROIC incremental histórico del -82,1 %.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+15,2 % (Dupixent +30 %, EYLEA HD, Libtayo), precio −1 % (EYLEA y EYLEA HD con menor precio neto) y +5 puntos de la parte de Sanofi sin la deuda de desarrollo desde el 3T [3].</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+9,5 %: Dupixent en EPOC y urticaria, EYLEA HD, Libtayo adyuvante, Lynozyfic y FOP, menos EYLEA con biosimilares; precio −1 % [3,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+8 % con los lanzamientos de 2026-2027; precio −1 % por los acuerdos de nación más favorecida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+6,5 %: Dupixent madura.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+5 %: último año completo de Dupixent con patente.</w:t>
            </w:r>
          </w:p>
        </w:tc>
      </w:tr>
    </w:tbl>
    <w:p>
      <w:pPr>
        <w:spacing w:after="160" w:before="0"/>
      </w:pPr>
    </w:p>
    <w:p>
      <w:pPr>
        <w:spacing w:after="100"/>
      </w:pPr>
      <w:r>
        <w:t xml:space="preserve">Las pruebas del motor dan «En parte» porque comparan con 2021, el año del anticuerpo de la COVID (5.800 M de ventas que desaparecieron en 2022). Sin la COVID, los ingresos crecieron un 5,6 % anual en 2022-2025 [5, 9], igual que el 5,4 % proyectado para 2026e-2033e, y el ROIC de esos años (21-42 %) está muy por encima del WACC (10 %). La mejora del margen de 2026-2027 no pide capital: es la parte de Dupixent que Sanofi deja de descontar desde el 3T26 [3]. Lo que sí limita el veredicto es la caída del ROIC (de 42,4 % a 21,1 % en tres años) y la patente de Dupixent en 2031: por eso el caso base baja los ingresos en 2031-2032.</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 (base: 3,4 %)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40,8 % (base: 33,0 %)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10,0 %)</w:t>
            </w:r>
          </w:p>
        </w:tc>
      </w:tr>
    </w:tbl>
    <w:p>
      <w:pPr>
        <w:spacing w:after="160" w:before="0"/>
      </w:pPr>
    </w:p>
    <w:p>
      <w:pPr>
        <w:spacing w:after="100"/>
      </w:pPr>
      <w:r>
        <w:t xml:space="preserve">El DCF da 657,62 USD por acción, un 18,3 % por debajo del precio, con un WACC del 10,0 % y un valor terminal que pesa el 58 %. El DCF inverso dice que el precio descuenta un crecimiento del 11,6 % anual en 2027e-2033e (o un margen del 40,8 %), frente al 3,4 % y el 33 % de nuestro base: el mercado no cree que Dupixent pierda tanto en 2031 o confía en la cartera. Con la prima implícita del mercado (4,2 %, WACC del 8,9 %), el DCF sube a 735,51 USD, todavía un 8,6 % por debajo. Lo que separa el DCF de la regla a 12 meses es el horizonte: el BPA de 2028e (64,40) es bueno; lo que pesa en el DCF es lo que pasa después de 2031.</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pierde cuota antes de 2031 con los orales y los anti-OX40, EYLEA cae más deprisa con cuatro biosimilares y los acuerdos de precios de EE. UU. aprietan; la cartera no da otro gran éxito: 4 puntos menos de crecimiento y 3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Dupixent crece hasta 2030 y pierde la patente en 2031; EYLEA HD sostiene la retina; Libtayo, Lynozyfic, FOP y cemdisiran suman; margen EBITDA del 32-35,5 %.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cartera da uno o dos éxitos grandes (obesidad con olatorepatide, alergia, hematología) y Dupixent resiste más: 3 puntos más de crecimiento y 1,5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USD) · precio actual 805,0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640,44 USD (-20,4 %).</w:t>
      </w:r>
    </w:p>
    <w:p>
      <w:pPr>
        <w:spacing w:after="100"/>
      </w:pPr>
      <w:r>
        <w:t xml:space="preserve">Los tres escenarios del DCF quedan por debajo del precio: alcista 741,75 USD (−7,9 %), base 657,62 (−18,3 %) y bajista 504,76 (−37,3 %). El DCF castiga la caída de Dupixent en 2031 y un WACC del 10 %; con la prima del mercado el rango es de 547,79 a 835,34 USD.</w:t>
      </w:r>
    </w:p>
    <w:p>
      <w:pPr>
        <w:pStyle w:val="Heading1"/>
      </w:pPr>
      <w:r>
        <w:t xml:space="preserve">22. Suma de partes</w:t>
      </w:r>
    </w:p>
    <w:p>
      <w:pPr>
        <w:pStyle w:val="Confianza"/>
        <w:spacing w:after="100"/>
      </w:pPr>
      <w:r>
        <w:t xml:space="preserve">Confianza: Baja</w:t>
      </w:r>
    </w:p>
    <w:p>
      <w:pPr>
        <w:spacing w:after="100"/>
      </w:pPr>
      <w:r>
        <w:t xml:space="preserve">No aplica: los negocios (retina, colaboración con Sanofi, oncología, otros) comparten I+D, fábricas y clientes, y no hay cifras de resultado por segmento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USD) · precio actual 805,02"/>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936,74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805,02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677,23 USD (-15,9 % sobre 805,02).</w:t>
      </w:r>
    </w:p>
    <w:p>
      <w:pPr>
        <w:spacing w:after="100"/>
      </w:pPr>
      <w:r>
        <w:t xml:space="preserve">Pesos: DCF 45 %, escenarios 40 % y comparables 15 %. El DCF es el método que recoge la patente de Dupixent en 2031 y la caída de EYLEA; los comparables (PER de 15,7 veces) se usan poco porque las grandes farmacéuticas tienen sus propios vencimientos de patentes. El valor intrínseco (677,23 USD) es el que limita la compra.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(13.5x) a mitad de camino hacia la mediana de 5 años (16.1x)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1.121,20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r>
    </w:tbl>
    <w:p>
      <w:pPr>
        <w:spacing w:after="160" w:before="0"/>
      </w:pPr>
    </w:p>
    <w:p>
      <w:pPr>
        <w:spacing w:after="100"/>
      </w:pPr>
      <w:r>
        <w:rPr>
          <w:b/>
          <w:bCs/>
        </w:rPr>
        <w:t xml:space="preserve">Objetivo a 12 meses (ponderado):</w:t>
      </w:r>
      <w:r>
        <w:t xml:space="preserve"> 920,26 USD · rentabilidad +14,8 % (base +18,0 %) · señal Mantener.</w:t>
      </w:r>
    </w:p>
    <w:p>
      <w:pPr>
        <w:spacing w:after="100"/>
      </w:pPr>
      <w:r>
        <w:t xml:space="preserve">Para comparar, con la regla v2 (historia al cierre, mismo precio): 11,5x / 13,5x / 17,4x, 12,3 %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de 2026e (55,30 USD) queda un 6 % por debajo del consenso (58,85), que parece incluir parte del cobro inicial de Sanofi; nosotros lo dejamos fuera del BPA y lo sumamos en el puente (850 M después de impuestos). En 2027e estamos un 15 % por encima (59,73 frente a 52,03), pero ese consenso es de solo 9 analistas y no es fiable; en ventas de 2027e coincidimos (18.550 frente a 18.592 M) [26].</w:t>
      </w:r>
    </w:p>
    <w:p>
      <w:pPr>
        <w:keepNext/>
        <w:spacing w:after="100"/>
      </w:pPr>
      <w:r>
        <w:rPr>
          <w:b/>
          <w:bCs/>
        </w:rPr>
        <w:t xml:space="preserve">Del valor intrínseco al objetivo a 12 meses.</w:t>
      </w:r>
    </w:p>
    <w:p>
      <w:pPr>
        <w:spacing w:after="100"/>
      </w:pPr>
      <w:r>
        <w:t xml:space="preserve">El objetivo a 12 meses (920,26 USD, ponderado) queda un 14,3 % por encima del precio, con un 14,8 % de rentabilidad ponderada y un 18,0 % en el caso base: casi en el umbral de compra (15 %), pero el valor intrínseco (677,23 USD) está un 16 % por debajo del precio y la regla pide las dos cosas. El objetivo medio de los analistas (867,33) queda un 8 % por debajo de nuestro base.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2026-10-30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(antes de la apertura)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de Dupixent sin la deuda de desarrollo; consenso de BPA de 16,19 USD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cemdisiran (miastenia grave)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nuevo en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2026-4T</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1.000 M USD de Sanofi (sexta enmienda)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7,9 USD por acción después de impuestos, en el puente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Avances de olatorepatide (obesidad) y del resto de la cartera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apuesta grande para después de 2031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biosimilares de EYLEA en 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EYLEA sin HD (≈ 410 M en el 2T26) sigue cayendo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2031-03 y 2031-10</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Vencen las patentes de Dupixent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Biosimilares del producto que da ≈ 40 %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8"/>
        <w:gridCol w:w="2095"/>
        <w:gridCol w:w="942"/>
        <w:gridCol w:w="628"/>
        <w:gridCol w:w="733"/>
        <w:gridCol w:w="1047"/>
        <w:gridCol w:w="1885"/>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 pierde la patente en 2031 (o antes cuota frente a orales y anti-OX40)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a −25 %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 50 candidatos y 18.866 M de caja para licencias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EYLEA y EYLEA HD con biosimilares y Vabysmo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EYLEA HD (+52 % en el 2T26) con dosis cada 4 meses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Precios de los medicamentos en EE. UU. (nación más favorecida, Medicare negociado)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de abril de 2026 con el Gobierno ya firmados [2].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I+D (fianlimab en melanoma, mayo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Ensayos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−15 % por fracaso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programas a la vez; ninguno pesa más del 10 % del valor.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Sanofi para la información y la venta de Dupixent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Sexta enmienda de 2026 y fin del pleito [12].</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Pleito civil del Departamento de Justicia (2020) por donaciones a fundaciones de pacientes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 abierto sin cifra; la caja lo cubre [1].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Riesgo de IA (descubrimiento de fármacos más rápido de rivales)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3-5 años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usa su base genética (Regeneron Genetics Center) con IA.</w:t>
            </w:r>
          </w:p>
        </w:tc>
      </w:tr>
    </w:tbl>
    <w:p>
      <w:pPr>
        <w:spacing w:after="160" w:before="0"/>
      </w:pPr>
    </w:p>
    <w:p>
      <w:pPr>
        <w:pStyle w:val="Heading2"/>
      </w:pPr>
      <w:r>
        <w:t xml:space="preserve">Pre-mortem</w:t>
      </w:r>
    </w:p>
    <w:p>
      <w:pPr>
        <w:spacing w:after="100"/>
      </w:pPr>
      <w:r>
        <w:t xml:space="preserve">Octubre de 2029: la acción ha perdido un 35 %. Dupixent siguió vendiendo, pero los orales y los anti-OX40 frenaron su crecimiento antes de lo esperado, y el mercado empezó a descontar la patente de 2031. EYLEA cayó a la mitad con cuatro biosimilares y Vabysmo, y la cartera no dio un gran éxito: olatorepatide llegó tarde a un mercado de obesidad dominado por Lilly y Novo. El BPA quedó plano en ≈ 55 USD y el PER bajó a 12 veces.</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±2 % a 3-5 años</w:t>
      </w:r>
    </w:p>
    <w:p>
      <w:pPr>
        <w:spacing w:after="100"/>
      </w:pPr>
      <w:r>
        <w:t xml:space="preserve">La IA no sustituye lo que vende Regeneron: anticuerpos con patente, fabricados por ella y recetados por especialistas. Puede ayudarla (su base de datos genéticos de más de 2 millones de personas acelera la búsqueda de dianas) y puede ayudar a sus rivales a diseñar moléculas más deprisa. El efecto neto en 3-5 años es pequeño.</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(Dow Jones Best-in-Class World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Incluida por séptimo año seguido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r>
    </w:tbl>
    <w:p>
      <w:pPr>
        <w:spacing w:after="160" w:before="0"/>
      </w:pPr>
    </w:p>
    <w:p>
      <w:pPr>
        <w:pStyle w:val="Heading2"/>
      </w:pPr>
      <w:r>
        <w:t xml:space="preserve">Asuntos materiales</w:t>
      </w:r>
    </w:p>
    <w:p>
      <w:pPr>
        <w:spacing w:after="100"/>
      </w:pPr>
      <w:r>
        <w:t xml:space="preserve">Los asuntos que mueven las cifras son el acceso y el precio de los fármacos (la mitad del negocio en EE. UU. depende de Medicare y de las ayudas al copago; los acuerdos de abril de 2026 fijan precios internacionales en Medicaid) [2, 3], la ética comercial (demanda del Departamento de Justicia por las donaciones a fundaciones de copago) [1] y la calidad de fabricación (la parada temporal de Limerick costó 176 M en el 1S26) [3].</w:t>
      </w:r>
    </w:p>
    <w:p>
      <w:pPr>
        <w:pStyle w:val="Heading2"/>
      </w:pPr>
      <w:r>
        <w:t xml:space="preserve">Controversias</w:t>
      </w:r>
    </w:p>
    <w:p>
      <w:pPr>
        <w:spacing w:after="100"/>
      </w:pPr>
      <w:r>
        <w:t xml:space="preserve">Demanda civil del Departamento de Justicia de junio de 2020 por presuntos pagos indirectos a pacientes de EYLEA a través de fundaciones (Ley contra sobornos y Ley de reclamaciones falsas), aún pendiente; el Primer Circuito confirmó en febrero de 2025 el criterio de causalidad del juzgado [1]. Litigio con Sanofi por el acceso a la información de Dupixent, retirado en octubre de 2026 [12].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sube la parte de Regeneron en Dupixent desde el 3T26 sin la deuda de desarrollo, y qué plan hay para 2031?</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mitad del beneficio y el riesgo mayor del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EYLEA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mantiene EYLEA HD frente a Vabysmo y los biosimilares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retina es un tercio de los ingresos y cae.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baja la I+D del 41 % de los ingresos, o qué ensayos la justifican?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ROIC de 2022-2025.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las recompras (10.250 M desde 2023) bajan poco las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en acciones (≈ 1.000 M al año) se comen buena parte.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Obesidad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espera de olatorepatide frente a Lilly y Novo?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la apuesta grande para después de 2031.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($REGN)</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alcistas, muchos de poco contenido; se repiten la subida de UBS a Comprar, la decisión de la FDA sobre cemdisiran en noviembre y la idea de Regeneron como valor refugio dentro de la biotecnología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autor ve el mercado infravalorando el crecimiento (22-oct); otro rebaja la recomendación porque «el dinero fácil ya se ha hecho» tras la subida (4-oct) [34].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Seeking Alpha (noticias)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favorables (Sanofi, UBS, FOP) con una caída por datos tempranos en cáncer de ovario el 1-oct y el ruido de los precios de nación más favorecida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Dupixent y el acuerdo ampliado con Sanofi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Dupixent crece al 36-38 % y la deuda de desarrollo está pagada; el riesgo de 2031 se menciona poco.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EYLEA HD frente a biosimilares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EYLEA HD sube un 52 %, pero la franquicia de EYLEA en EE. UU. cae un 12 % en el 2T26 y llegan más biosimilares.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Catalizadores de cartera (cemdisiran en noviembre, Otarmeni, obesidad)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Cemdisiran tiene fecha de la FDA en noviembre de 2026; los demás aportan poco a las ventas de 2027-2028.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la subida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ha subido un 40 % en un año, pero sigue a unas 13 veces el beneficio del consenso, por debajo de su historia.</w:t>
            </w:r>
          </w:p>
        </w:tc>
      </w:tr>
    </w:tbl>
    <w:p>
      <w:pPr>
        <w:spacing w:after="160" w:before="0"/>
      </w:pPr>
    </w:p>
    <w:p>
      <w:pPr>
        <w:spacing w:after="100"/>
      </w:pPr>
      <w:r>
        <w:t xml:space="preserve">El sentimiento de los particulares es positivo y mejora desde los resultados del 2T26, en línea con los analistas (19 de 28 recomiendan comprar). No es euforia: la acción está un 5,5 % por debajo de su máximo de septiembre y un 33 % por debajo del máximo de cinco años. Lo que los foros apenas mencionan es la patente de Dupixent de 2031 y la extensión de los biosimilares a EYLEA HD, que este informe pone en el bajista. Ninguna cifra del informe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16 de 21 controles correctos y 5 explicados. Fuentes: 38 (23 primarias); citas distintas en el texto: 35.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5,9 %: explica la causa (créditos fiscales, regularizaciones, mezcla de países) y no lo proyectes en el DCF. Explicación: 5,9 % en 2023: deducciones fiscales por el ejercicio de opciones de empleados, el crédito de I+D y la parte de beneficios en Irlanda (12,5 %) [1, 8]. No se proyecta: el DCF usa un 15-16 %, con el mínimo global del 15 %.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7,7 %: explica la causa (créditos fiscales, regularizaciones, mezcla de países) y no lo proyectes en el DCF. Explicación: 7,7 % en 2024, por las mismas causas (opciones ejercidas, crédito de I+D, Irlanda) [1, 13]. El DCF usa un 15-16 %.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«En parte» (el capital nuevo tendría que rendir más de 1,25 veces el histórico; el crecimiento proyectado (5,4 %) supera con holgura el histórico de ingresos (-2,8 %)): razónalo en la justificación. Explicación: El motor compara con 2021, el año del anticuerpo de la COVID (16.072 M de ingresos y 7.747 M de NOPAT), que cayó a cero en 2022: por eso el crecimiento histórico sale en −2,8 % y el ROIC incremental en −82 %. Sin la COVID, los ingresos crecieron un 5,6 % anual de 2022 a 2025 (12.173 → 14.343 M) [5, 9], lo mismo que el 5,4 % proyectado. La subida del margen de 2026-2027 no pide capital: es la parte de Dupixent que Sanofi ya no descuenta desde el 3T26 (deuda de desarrollo pagada) [3]. Ver sostenibilidad.justificacion.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31,0 % frente a un ROIC de 21,1 % y un incremental histórico de -82,1 %: crecimiento que la empresa no ha demostrado poder comprar. Explicación: Mismo motivo: el histórico (−82 %) lo hunde la COVID de 2021. El 31 % que supone la proyección viene de que el margen sube por el fin de la deuda de desarrollo con Sanofi, no de inversión nueva; con el ROIC de 2022-2025 (27-42 %) el supuesto es razonable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54,0 % frente a 51,9 % real: genera una variación de circulante de 1.782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Calculada 86.942, publicada 82.881: revisa acciones y precio. Explicación: La publicada (82.881 M USD) usa las acciones ordinarias en circulación sin la dilución; la calculada (86.942 M) usa 108,0 M de acciones diluidas del BPA ajustado del 2T26 (101,14 M ordinarias + 1,82 M de clase A + opciones y acciones restringidas) [2]. Se usa la diluida en toda la valoración.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 7,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crecimiento_pct (3T24-2T25) y vs_consenso (3T24-1T26)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de la empresa (no dan consenso; la comparación es con el año anterior en las que hemos descargado); 2) Yahoo Finance (solo el último trimestre); 3) titulares de Seeking Alpha (solo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geografias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 da ingresos por país: la mayor parte llega por colaboraciones mundiales); 2) notas de resultados (solo EE. UU. y resto del mundo por producto); 3) XBRL (sin desglose geográfico de ingresos totales)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GMI (solo 2024-2025 y previsión); 2) Straits Research (solo 2025-2034); 3) asociaciones sectoriales (sin serie histórica gratuita)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Roche y cuotas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(Roche en francos suizos, no comparable); 2) GMI (solo cuota conjunta de los tres primeros); 3) informes anuales (fuera del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Finance (solo 2026 y 2027, sin EBITDA); 2) MarketScreener (no abre sin JavaScript); 3) Zacks y RTTNews (solo BPA del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roic_pct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Finance (no da EBITDA de los próximos doce meses ni ROIC); 2) Stock Analysis (sin EBITDA de los próximos doce meses gratis); 3) cuentas de cada comparable (fuera del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notas, patentes (Dupixent 2031), clientes, empleados, litigios (Departamento de Justicia), deuda y auditor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https://www.sec.gov/Archives/edgar/data/872589/000087258926000008/regn-20251231.htm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flujos del semestre, acciones a 23-jul-2026, acuerdos con el Gobierno de EE. UU. (precio de nación más favorecida), litigio con Sanofi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https://www.sec.gov/Archives/edgar/data/872589/000087258926000025/regn-20260630.htm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Second Quarter 2026 Financial and Operating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https://www.sec.gov/Archives/edgar/data/872589/000087258926000023/exhibit991q22026.htm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First Quarter 2026 Financial and Operating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https://www.sec.gov/Archives/edgar/data/872589/000087258926000014/exhibit991q12026.htm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2025 Financial and Operating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https://www.sec.gov/Archives/edgar/data/872589/000087258926000004/exhibit991q42025.htm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Third Quarter 2025 Financial and Operating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https://www.sec.gov/Archives/edgar/data/872589/000087258925000026/exhibit991q32025.htm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Regeneron (cuenta, balance y flujos 2016-2025)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https://data.sec.gov/api/xbrl/companyfacts/CIK0000872589.json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2023 Financial and Operating Results (cifras de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https://www.sec.gov/Archives/edgar/data/872589/000180422024000006/exhibit991q42023.htm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2021 Financial and Operating Results (cifras de 2021 y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https://www.sec.gov/Archives/edgar/data/872589/000180422022000004/exhibit991q42021.htm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2019 Financial and Operating Results (BPA ajustado de 2019 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https://www.sec.gov/Archives/edgar/data/872589/000153217620000005/exhibit991q42019.htm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2017 Financial and Operating Results (BPA ajustado de 2017 y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https://www.sec.gov/Archives/edgar/data/872589/000153217618000010/exhibit991q42017.htm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sexta enmienda del acuerdo de anticuerpos con Sanofi (1.000 M USD por adelantado y hasta 7.000 M en hitos; fin del litigio) y cargo de I+D adquirida del 3T26 (≈ 22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https://www.sec.gov/Archives/edgar/data/872589/000110465926113895/tm2627077d1_8k.htm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Reports Fourth Quarter and Full Year 2024 Financial and Operating Results (guía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https://www.sec.gov/Archives/edgar/data/872589/000180422025000007/exhibit991q42024.htm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presentación en J.P. Morgan, cargo de I+D adquirida del 4T25 y aportación de 60 M a Good Days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https://www.sec.gov/Archives/edgar/data/872589/000110465926002691/tm262861d1_8k.htm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Anti-VEGF Therapeutics Market Size (16.900 M USD en 2024, 18.200 M en 2025, 28.600 M en 2034; Regeneron más del 56,5 %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https://gminsights.com/industry-analysis/anti-vegf-therapeutics-market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Atopic Dermatitis Drugs Market (13.200 M USD en 2025, 34.400 M en 2035, TCAC 10,1 %)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https://www.gminsights.com/industry-analysis/atopic-dermatitis-drugs-market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Atopic Dermatitis Treatment Market (19.470 M USD en 2025, 40.140 M en 2034, TCAC 8,37 %)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Straits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https://straitsresearch.com/report/atopic-dermatitis-treatment-market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Biocon launches aflibercept biosimilar in the United States (Yesafili, 3-ago-2026; Pavblu de Amgen desde octubre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Goodwin Procter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https://www.goodwinlaw.com/en/insights/blogs/2026/08/biocon-launches-aflibercept-biosimilar-in-the-united-states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Stock Tumbles 12% After Experimental Cancer Drug Misses Key Trial Goal (fianlimab, 18-may-2026)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https://www.tikr.com/blog/regeneron-nasdaq-regn-stock-tumbles-12-after-experimental-cancer-drug-misses-key-trial-goal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Amgen, AbbVie, Eli Lilly, Merck, Novartis, Roche y Sanofi (ingresos y margen operativo de los últimos doce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https://finance.yahoo.com/quote/AMGN/financials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accionistas, clases de acciones, ratio salarial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https://www.sec.gov/Archives/edgar/data/872589/000130817926000340/regn-20260424.htm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12-jun-2026 (consejeros, auditor,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https://www.sec.gov/Archives/edgar/data/872589/000110465926075127/tm2618117d1_8k.htm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de Regeneron (24-oct-2025 a 24-oct-2026; 45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https://www.sec.gov/cgi-bin/browse-edgar?action=getcompany&amp;CIK=0000872589&amp;type=4&amp;dateb=&amp;owner=include&amp;count=40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anexo 99.1: plan de acciones por objetivos a 10 años para el consejero delegado y el director científico (24-sep-2026)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https://www.sec.gov/Archives/edgar/data/872589/000110465926112340/tm2626090d1_ex99-1.htm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REGN, SPY y XBI (precio, rango,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https://finance.yahoo.com/quote/REGN/history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Regeneron y de los comparables (estimaciones, recomendaciones, objetivos, capitalización, valor empresa, EBITDA)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https://finance.yahoo.com/quote/REGN/analysis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5,00 % 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https://home.treasury.gov/resource-center/data-chart-center/interest-rates/daily-treasury-rates.csv/2026/all?type=daily_treasury_yield_curve&amp;field_tdr_date_value=2026&amp;page&amp;_format=csv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to Report Third Quarter 2026 Financial and Operating Results on October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Regeneron Pharmaceuticals (Finviz)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https://finviz.com/news/395385/regeneron-to-report-third-quarter-2026-financial-and-operating-results-and-host-conference-call-and-webcast-on-october-30-2026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Neurocrine: cierre de la compra de Soleno Therapeutics (2.900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Neurocrine Biosciences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https://www.sec.gov/Archives/edgar/data/914475/000119312526228013/d94926d8k.htm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 closes landmark Intra-Cellular Therapies acquisition (14.600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&amp; Johnson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https://www.jnj.com/media-center/press-releases/johnson-johnson-closes-landmark-intra-cellular-therapies-acquisition-to-solidify-neuroscience-leadership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 to acquire GW Pharmaceuticals (7.200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Jazz Pharmaceuticals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https://investor.jazzpharma.com/news-releases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facts XBRL de Intra-Cellular Therapies (ingresos 2024: 680,9 M USD) y de GW Pharmaceuticals (2020: 527,2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https://data.sec.gov/api/xbrl/companyfacts/CIK0001567514.json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REGN (UBS sube a Comprar el 14-oct-2026; rebaja de un autor el 4-oct; caída tras datos de cáncer de ovario el 1-oct; aprobación en FOP el 19-ago)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https://seekingalpha.com/api/sa/combined/REGN.xml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REGN Soars 21.9% in a Month: Buy, Sell or Hold the Stock? (resultados del 2T26 y EYLEA HD; consenso de BPA de 2026 de 53,11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https://www.zacks.com/stock/news/2972803/regn-soars-219-in-a-month-buy-sell-or-hold-the-stock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 Regeneron Sustain Growth Momentum In Q3? (resultados el 30-oct-2026)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https://www.rttnews.com/3694032/can-regeneron-sustain-growth-momentum-in-q3.aspx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$REGN (30 mensajes, 16 a 24-oct-2026)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https://api.stocktwits.com/api/2/streams/symbol/REGN.json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de REGN (UBS a Comprar, Sanofi, cáncer de ovario, FOP, precios de nación más favorecida)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https://seekingalpha.com/symbol/REGN/news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90,2 %</w:t>
      </w:r>
      <w:r>
        <w:t xml:space="preserve"> · Secciones con menos del 60 % de campos cubiertos: </w:t>
      </w:r>
      <w:r>
        <w:rPr>
          <w:b/>
          <w:bCs/>
        </w:rPr>
        <w:t xml:space="preserve">ninguna</w:t>
      </w:r>
      <w:r>
        <w:t xml:space="preserve"> · Generado el 24 oct 2026.</w:t>
      </w:r>
    </w:p>
    <w:p>
      <w:pPr>
        <w:pStyle w:val="Nota"/>
        <w:spacing w:after="100"/>
      </w:pPr>
      <w:r>
        <w:t xml:space="preserve">Cifras en millones de USD, ejercicio natural, US GAAP. Último trimestre publicado: 2T26 (30-jun-2026); el 3T26 se publica el 30-oct-2026 antes de la apertura [29]. El BPA de la valoración es el AJUSTADO (no GAAP) que publica la empresa, porque el GAAP lo mueven las ganancias y pérdidas de valor de su cartera de acciones; la diferencia se explica en financieros.ajustes. Regeneron no da guía de ventas ni de beneficio, solo de gastos [3]. El tamaño del mercado de cada fármaco viene de resúmenes públicos de casas de estudios (GMI, Straits), de calidad media [15, 16, 17]. El cobro inicial de 1.000 M USD de Sanofi (sexta enmienda, octubre de 2026) va al puente y no al BPA [12].</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Regeneron Pharmaceuticals, Inc. (REGN)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805,02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(575,93 – 859,34)</c:v>
                </c:pt>
                <c:pt idx="1">
                  <c:v>Precio objetivo de los analistas (730,00 – 1.030,00)</c:v>
                </c:pt>
                <c:pt idx="2">
                  <c:v>Comparables: PER NTM (738,20 – 936,74)</c:v>
                </c:pt>
                <c:pt idx="3">
                  <c:v>DCF (WACC y g ± 0,5) (611,81 – 716,19)</c:v>
                </c:pt>
                <c:pt idx="4">
                  <c:v>Escenarios (bajista – alcista) (504,76 – 741,75)</c:v>
                </c:pt>
                <c:pt idx="5">
                  <c:v>DCF con la prima implícita del mercado (4,2 %)</c:v>
                </c:pt>
                <c:pt idx="6">
                  <c:v>Precio actual (805,02)</c:v>
                </c:pt>
              </c:strCache>
            </c:strRef>
          </c:cat>
          <c:val>
            <c:numRef>
              <c:f>Hoja1!$B$2:$B$8</c:f>
              <c:numCache>
                <c:formatCode>#,##0</c:formatCode>
                <c:ptCount val="7"/>
                <c:pt idx="0">
                  <c:v>575.93</c:v>
                </c:pt>
                <c:pt idx="1">
                  <c:v>730</c:v>
                </c:pt>
                <c:pt idx="2">
                  <c:v>738.2</c:v>
                </c:pt>
                <c:pt idx="3">
                  <c:v>611.81</c:v>
                </c:pt>
                <c:pt idx="4">
                  <c:v>504.76</c:v>
                </c:pt>
                <c:pt idx="5">
                  <c:v>696.29</c:v>
                </c:pt>
                <c:pt idx="6">
                  <c:v>800.99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(575,93 – 859,34)</c:v>
                </c:pt>
                <c:pt idx="1">
                  <c:v>Precio objetivo de los analistas (730,00 – 1.030,00)</c:v>
                </c:pt>
                <c:pt idx="2">
                  <c:v>Comparables: PER NTM (738,20 – 936,74)</c:v>
                </c:pt>
                <c:pt idx="3">
                  <c:v>DCF (WACC y g ± 0,5) (611,81 – 716,19)</c:v>
                </c:pt>
                <c:pt idx="4">
                  <c:v>Escenarios (bajista – alcista) (504,76 – 741,75)</c:v>
                </c:pt>
                <c:pt idx="5">
                  <c:v>DCF con la prima implícita del mercado (4,2 %)</c:v>
                </c:pt>
                <c:pt idx="6">
                  <c:v>Precio actual (805,02)</c:v>
                </c:pt>
              </c:strCache>
            </c:strRef>
          </c:cat>
          <c:val>
            <c:numRef>
              <c:f>Hoja1!$C$2:$C$8</c:f>
              <c:numCache>
                <c:formatCode>#,##0</c:formatCode>
                <c:ptCount val="7"/>
                <c:pt idx="0">
                  <c:v>283.4100000000001</c:v>
                </c:pt>
                <c:pt idx="1">
                  <c:v>300</c:v>
                </c:pt>
                <c:pt idx="2">
                  <c:v>198.53999999999996</c:v>
                </c:pt>
                <c:pt idx="3">
                  <c:v>104.38000000000011</c:v>
                </c:pt>
                <c:pt idx="4">
                  <c:v>236.99</c:v>
                </c:pt>
                <c:pt idx="5">
                  <c:v>84.58000000000004</c:v>
                </c:pt>
                <c:pt idx="6">
                  <c:v>8.059999999999945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EYLEA HD y EYLEA (EE. UU.)</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6265</c:v>
                </c:pt>
                <c:pt idx="1">
                  <c:v>5886</c:v>
                </c:pt>
                <c:pt idx="2">
                  <c:v>5968</c:v>
                </c:pt>
                <c:pt idx="3">
                  <c:v>4385</c:v>
                </c:pt>
              </c:numCache>
            </c:numRef>
          </c:val>
        </c:ser>
        <c:ser>
          <c:idx val="1"/>
          <c:order val="1"/>
          <c:tx>
            <c:strRef>
              <c:f>Hoja1!$C$1</c:f>
              <c:strCache>
                <c:ptCount val="1"/>
                <c:pt idx="0">
                  <c:v>Colaboración con Sanofi</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2856</c:v>
                </c:pt>
                <c:pt idx="1">
                  <c:v>3800</c:v>
                </c:pt>
                <c:pt idx="2">
                  <c:v>4531</c:v>
                </c:pt>
                <c:pt idx="3">
                  <c:v>5884</c:v>
                </c:pt>
              </c:numCache>
            </c:numRef>
          </c:val>
        </c:ser>
        <c:ser>
          <c:idx val="2"/>
          <c:order val="2"/>
          <c:tx>
            <c:strRef>
              <c:f>Hoja1!$D$1</c:f>
              <c:strCache>
                <c:ptCount val="1"/>
                <c:pt idx="0">
                  <c:v>Colaboración con Bayer</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1431</c:v>
                </c:pt>
                <c:pt idx="1">
                  <c:v>1487</c:v>
                </c:pt>
                <c:pt idx="2">
                  <c:v>1499</c:v>
                </c:pt>
                <c:pt idx="3">
                  <c:v>1422</c:v>
                </c:pt>
              </c:numCache>
            </c:numRef>
          </c:val>
        </c:ser>
        <c:ser>
          <c:idx val="3"/>
          <c:order val="3"/>
          <c:tx>
            <c:strRef>
              <c:f>Hoja1!$E$1</c:f>
              <c:strCache>
                <c:ptCount val="1"/>
                <c:pt idx="0">
                  <c:v>Otros productos propios</c:v>
                </c:pt>
              </c:strCache>
            </c:strRef>
          </c:tx>
          <c:spPr>
            <a:solidFill>
              <a:srgbClr val="EDA100"/>
            </a:solidFill>
            <a:ln w="12700">
              <a:solidFill>
                <a:srgbClr val="FFFFFF"/>
              </a:solidFill>
            </a:ln>
          </c:spPr>
          <c:invertIfNegative val="0"/>
          <c:cat>
            <c:strRef>
              <c:f>Hoja1!$A$2:$A$5</c:f>
              <c:strCache>
                <c:ptCount val="4"/>
                <c:pt idx="0">
                  <c:v>2022</c:v>
                </c:pt>
                <c:pt idx="1">
                  <c:v>2023</c:v>
                </c:pt>
                <c:pt idx="2">
                  <c:v>2024</c:v>
                </c:pt>
                <c:pt idx="3">
                  <c:v>2025</c:v>
                </c:pt>
              </c:strCache>
            </c:strRef>
          </c:cat>
          <c:val>
            <c:numRef>
              <c:f>Hoja1!$E$2:$E$5</c:f>
              <c:numCache>
                <c:formatCode>#,##0</c:formatCode>
                <c:ptCount val="4"/>
                <c:pt idx="0">
                  <c:v>629</c:v>
                </c:pt>
                <c:pt idx="1">
                  <c:v>1192</c:v>
                </c:pt>
                <c:pt idx="2">
                  <c:v>1661</c:v>
                </c:pt>
                <c:pt idx="3">
                  <c:v>1924</c:v>
                </c:pt>
              </c:numCache>
            </c:numRef>
          </c:val>
        </c:ser>
        <c:ser>
          <c:idx val="4"/>
          <c:order val="4"/>
          <c:tx>
            <c:strRef>
              <c:f>Hoja1!$F$1</c:f>
              <c:strCache>
                <c:ptCount val="1"/>
                <c:pt idx="0">
                  <c:v>Otras colaboraciones y otros ingresos</c:v>
                </c:pt>
              </c:strCache>
            </c:strRef>
          </c:tx>
          <c:spPr>
            <a:solidFill>
              <a:srgbClr val="E87BA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Hoja1!$F$2:$F$5</c:f>
              <c:numCache>
                <c:formatCode>#,##0</c:formatCode>
                <c:ptCount val="4"/>
                <c:pt idx="0">
                  <c:v>992</c:v>
                </c:pt>
                <c:pt idx="1">
                  <c:v>752</c:v>
                </c:pt>
                <c:pt idx="2">
                  <c:v>543</c:v>
                </c:pt>
                <c:pt idx="3">
                  <c:v>728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EYLEA HD y EYLEA (EE. UU.)</c:v>
                </c:pt>
                <c:pt idx="1">
                  <c:v>Colaboración con Sanofi</c:v>
                </c:pt>
                <c:pt idx="2">
                  <c:v>Colaboración con Bayer</c:v>
                </c:pt>
                <c:pt idx="3">
                  <c:v>Otros productos propios</c:v>
                </c:pt>
                <c:pt idx="4">
                  <c:v>Otras colaboraciones y otros ingresos</c:v>
                </c:pt>
              </c:strCache>
            </c:strRef>
          </c:cat>
          <c:val>
            <c:numRef>
              <c:f>Hoja1!$B$2:$B$6</c:f>
              <c:numCache>
                <c:formatCode>General</c:formatCode>
                <c:ptCount val="5"/>
                <c:pt idx="0">
                  <c:v>30.6</c:v>
                </c:pt>
                <c:pt idx="1">
                  <c:v>41</c:v>
                </c:pt>
                <c:pt idx="2">
                  <c:v>9.9</c:v>
                </c:pt>
                <c:pt idx="3">
                  <c:v>13.4</c:v>
                </c:pt>
                <c:pt idx="4">
                  <c:v>5.1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2024</c:v>
                </c:pt>
                <c:pt idx="1">
                  <c:v>2025</c:v>
                </c:pt>
                <c:pt idx="2">
                  <c:v>2026e</c:v>
                </c:pt>
                <c:pt idx="3">
                  <c:v>2027e</c:v>
                </c:pt>
                <c:pt idx="4">
                  <c:v>2028e</c:v>
                </c:pt>
                <c:pt idx="5">
                  <c:v>2029e</c:v>
                </c:pt>
                <c:pt idx="6">
                  <c:v>2030e</c:v>
                </c:pt>
              </c:strCache>
            </c:strRef>
          </c:cat>
          <c:val>
            <c:numRef>
              <c:f>Hoja1!$B$2:$B$8</c:f>
              <c:numCache>
                <c:formatCode>#,##0</c:formatCode>
                <c:ptCount val="7"/>
                <c:pt idx="0">
                  <c:v>28889</c:v>
                </c:pt>
                <c:pt idx="1">
                  <c:v>31400</c:v>
                </c:pt>
                <c:pt idx="2">
                  <c:v>33680</c:v>
                </c:pt>
                <c:pt idx="3">
                  <c:v>36143</c:v>
                </c:pt>
                <c:pt idx="4">
                  <c:v>38807</c:v>
                </c:pt>
                <c:pt idx="5">
                  <c:v>41688</c:v>
                </c:pt>
                <c:pt idx="6">
                  <c:v>44806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2</c:v>
                </c:pt>
                <c:pt idx="4">
                  <c:v>4</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Regeneron</c:v>
                </c:pt>
                <c:pt idx="1">
                  <c:v>Roche (Vabysmo, Lucentis)</c:v>
                </c:pt>
                <c:pt idx="2">
                  <c:v>Amgen (Pavblu, Tezspire)</c:v>
                </c:pt>
                <c:pt idx="3">
                  <c:v>Eli Lilly (Ebglyss)</c:v>
                </c:pt>
                <c:pt idx="4">
                  <c:v>AbbVie (Rinvoq)</c:v>
                </c:pt>
                <c:pt idx="5">
                  <c:v>Merck &amp; Co. (Keytruda)</c:v>
                </c:pt>
                <c:pt idx="6">
                  <c:v>Novartis (Beovu, Lucentis)</c:v>
                </c:pt>
              </c:strCache>
            </c:strRef>
          </c:cat>
          <c:val>
            <c:numRef>
              <c:f>Hoja1!$B$2:$B$8</c:f>
              <c:numCache>
                <c:formatCode>0.0"%"</c:formatCode>
                <c:ptCount val="7"/>
                <c:pt idx="0">
                  <c:v>24.9</c:v>
                </c:pt>
                <c:pt idx="1">
                  <c:v>36.2</c:v>
                </c:pt>
                <c:pt idx="2">
                  <c:v>35.5</c:v>
                </c:pt>
                <c:pt idx="3">
                  <c:v>54.2</c:v>
                </c:pt>
                <c:pt idx="4">
                  <c:v>40</c:v>
                </c:pt>
                <c:pt idx="5">
                  <c:v>-0.2</c:v>
                </c:pt>
                <c:pt idx="6">
                  <c:v>34.6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Hoja1!$B$2:$B$14</c:f>
              <c:numCache>
                <c:formatCode>#,##0</c:formatCode>
                <c:ptCount val="13"/>
                <c:pt idx="0">
                  <c:v>16071.7</c:v>
                </c:pt>
                <c:pt idx="1">
                  <c:v>12172.9</c:v>
                </c:pt>
                <c:pt idx="2">
                  <c:v>13117.2</c:v>
                </c:pt>
                <c:pt idx="3">
                  <c:v>14202</c:v>
                </c:pt>
                <c:pt idx="4">
                  <c:v>14342.9</c:v>
                </c:pt>
                <c:pt idx="5">
                  <c:v>17097</c:v>
                </c:pt>
                <c:pt idx="6">
                  <c:v>18550</c:v>
                </c:pt>
                <c:pt idx="7">
                  <c:v>19848</c:v>
                </c:pt>
                <c:pt idx="8">
                  <c:v>20940</c:v>
                </c:pt>
                <c:pt idx="9">
                  <c:v>21778</c:v>
                </c:pt>
                <c:pt idx="10">
                  <c:v>21778</c:v>
                </c:pt>
                <c:pt idx="11">
                  <c:v>21124</c:v>
                </c:pt>
                <c:pt idx="12">
                  <c:v>21547</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strCache>
            </c:strRef>
          </c:cat>
          <c:val>
            <c:numRef>
              <c:f>Hoja1!$C$2:$C$14</c:f>
              <c:numCache>
                <c:formatCode>#,##0</c:formatCode>
                <c:ptCount val="13"/>
                <c:pt idx="0">
                  <c:v>9233</c:v>
                </c:pt>
                <c:pt idx="1">
                  <c:v>5080.3</c:v>
                </c:pt>
                <c:pt idx="2">
                  <c:v>4468.1</c:v>
                </c:pt>
                <c:pt idx="3">
                  <c:v>4473.6</c:v>
                </c:pt>
                <c:pt idx="4">
                  <c:v>4121.6</c:v>
                </c:pt>
                <c:pt idx="5">
                  <c:v>5471</c:v>
                </c:pt>
                <c:pt idx="6">
                  <c:v>6307</c:v>
                </c:pt>
                <c:pt idx="7">
                  <c:v>6947</c:v>
                </c:pt>
                <c:pt idx="8">
                  <c:v>7434</c:v>
                </c:pt>
                <c:pt idx="9">
                  <c:v>7731</c:v>
                </c:pt>
                <c:pt idx="10">
                  <c:v>7513</c:v>
                </c:pt>
                <c:pt idx="11">
                  <c:v>6971</c:v>
                </c:pt>
                <c:pt idx="12">
                  <c:v>7110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84.8</c:v>
                </c:pt>
                <c:pt idx="1">
                  <c:v>87.2</c:v>
                </c:pt>
                <c:pt idx="2">
                  <c:v>86.2</c:v>
                </c:pt>
                <c:pt idx="3">
                  <c:v>86.1</c:v>
                </c:pt>
                <c:pt idx="4">
                  <c:v>85.4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57.4</c:v>
                </c:pt>
                <c:pt idx="1">
                  <c:v>41.7</c:v>
                </c:pt>
                <c:pt idx="2">
                  <c:v>34.1</c:v>
                </c:pt>
                <c:pt idx="3">
                  <c:v>31.5</c:v>
                </c:pt>
                <c:pt idx="4">
                  <c:v>28.7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55.7</c:v>
                </c:pt>
                <c:pt idx="1">
                  <c:v>38.9</c:v>
                </c:pt>
                <c:pt idx="2">
                  <c:v>30.9</c:v>
                </c:pt>
                <c:pt idx="3">
                  <c:v>28.1</c:v>
                </c:pt>
                <c:pt idx="4">
                  <c:v>24.9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50.2</c:v>
                </c:pt>
                <c:pt idx="1">
                  <c:v>35.6</c:v>
                </c:pt>
                <c:pt idx="2">
                  <c:v>30.1</c:v>
                </c:pt>
                <c:pt idx="3">
                  <c:v>31.1</c:v>
                </c:pt>
                <c:pt idx="4">
                  <c:v>31.4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4">
                  <c:v>0.9</c:v>
                </c:pt>
                <c:pt idx="5">
                  <c:v>2.5</c:v>
                </c:pt>
                <c:pt idx="6">
                  <c:v>19</c:v>
                </c:pt>
                <c:pt idx="7">
                  <c:v>16.7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137</c:v>
                </c:pt>
                <c:pt idx="1">
                  <c:v>160</c:v>
                </c:pt>
                <c:pt idx="2">
                  <c:v>158</c:v>
                </c:pt>
                <c:pt idx="3">
                  <c:v>160</c:v>
                </c:pt>
                <c:pt idx="4">
                  <c:v>146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292</c:v>
                </c:pt>
                <c:pt idx="1">
                  <c:v>562</c:v>
                </c:pt>
                <c:pt idx="2">
                  <c:v>519</c:v>
                </c:pt>
                <c:pt idx="3">
                  <c:v>572</c:v>
                </c:pt>
                <c:pt idx="4">
                  <c:v>556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84</c:v>
                </c:pt>
                <c:pt idx="1">
                  <c:v>138</c:v>
                </c:pt>
                <c:pt idx="2">
                  <c:v>122</c:v>
                </c:pt>
                <c:pt idx="3">
                  <c:v>146</c:v>
                </c:pt>
                <c:pt idx="4">
                  <c:v>163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6529.400000000001</c:v>
                </c:pt>
                <c:pt idx="1">
                  <c:v>4424.799999999999</c:v>
                </c:pt>
                <c:pt idx="2">
                  <c:v>3875.4</c:v>
                </c:pt>
                <c:pt idx="3">
                  <c:v>3664.6</c:v>
                </c:pt>
                <c:pt idx="4">
                  <c:v>4080.4999999999995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8075.3</c:v>
                </c:pt>
                <c:pt idx="1">
                  <c:v>4338.4</c:v>
                </c:pt>
                <c:pt idx="2">
                  <c:v>3953.6</c:v>
                </c:pt>
                <c:pt idx="3">
                  <c:v>4412.6</c:v>
                </c:pt>
                <c:pt idx="4">
                  <c:v>4504.9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86.7</c:v>
                </c:pt>
                <c:pt idx="1">
                  <c:v>42.4</c:v>
                </c:pt>
                <c:pt idx="2">
                  <c:v>32.5</c:v>
                </c:pt>
                <c:pt idx="3">
                  <c:v>27.7</c:v>
                </c:pt>
                <c:pt idx="4">
                  <c:v>21.1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10</c:v>
                </c:pt>
                <c:pt idx="1">
                  <c:v>10</c:v>
                </c:pt>
                <c:pt idx="2">
                  <c:v>10</c:v>
                </c:pt>
                <c:pt idx="3">
                  <c:v>10</c:v>
                </c:pt>
                <c:pt idx="4">
                  <c:v>10</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43</c:v>
                </c:pt>
                <c:pt idx="1">
                  <c:v>20.9</c:v>
                </c:pt>
                <c:pt idx="2">
                  <c:v>16.3</c:v>
                </c:pt>
                <c:pt idx="3">
                  <c:v>16</c:v>
                </c:pt>
                <c:pt idx="4">
                  <c:v>14.9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-1.06</c:v>
                </c:pt>
                <c:pt idx="1">
                  <c:v>-2.29</c:v>
                </c:pt>
                <c:pt idx="2">
                  <c:v>-3.03</c:v>
                </c:pt>
                <c:pt idx="3">
                  <c:v>-3.4</c:v>
                </c:pt>
                <c:pt idx="4">
                  <c:v>-3.92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2030</c:v>
                </c:pt>
                <c:pt idx="1">
                  <c:v>2050</c:v>
                </c:pt>
              </c:strCache>
            </c:strRef>
          </c:cat>
          <c:val>
            <c:numRef>
              <c:f>Hoja1!$B$2:$B$3</c:f>
              <c:numCache>
                <c:formatCode>#,##0</c:formatCode>
                <c:ptCount val="2"/>
                <c:pt idx="0">
                  <c:v>1250</c:v>
                </c:pt>
                <c:pt idx="1">
                  <c:v>750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230.3</c:v>
                </c:pt>
                <c:pt idx="2">
                  <c:v>54.9</c:v>
                </c:pt>
                <c:pt idx="3">
                  <c:v>16.5</c:v>
                </c:pt>
                <c:pt idx="4">
                  <c:v>3.3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370.3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1645.4</c:v>
                </c:pt>
                <c:pt idx="1">
                  <c:v>2082.8</c:v>
                </c:pt>
                <c:pt idx="2">
                  <c:v>2235</c:v>
                </c:pt>
                <c:pt idx="3">
                  <c:v>2603.3</c:v>
                </c:pt>
                <c:pt idx="4">
                  <c:v>3438.6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11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The Vanguard Group</c:v>
                </c:pt>
                <c:pt idx="1">
                  <c:v>BlackRock</c:v>
                </c:pt>
                <c:pt idx="2">
                  <c:v>Capital World Investors</c:v>
                </c:pt>
                <c:pt idx="3">
                  <c:v>Leonard S. Schleifer (95 % de la clase A, ≈ 15 % de los votos con ella)</c:v>
                </c:pt>
                <c:pt idx="4">
                  <c:v>George D. Yancopoulos</c:v>
                </c:pt>
              </c:strCache>
            </c:strRef>
          </c:cat>
          <c:val>
            <c:numRef>
              <c:f>Hoja1!$B$2:$B$6</c:f>
              <c:numCache>
                <c:formatCode>0.0"%"</c:formatCode>
                <c:ptCount val="5"/>
                <c:pt idx="0">
                  <c:v>8.6</c:v>
                </c:pt>
                <c:pt idx="1">
                  <c:v>8.4</c:v>
                </c:pt>
                <c:pt idx="2">
                  <c:v>5</c:v>
                </c:pt>
                <c:pt idx="3">
                  <c:v>2.8</c:v>
                </c:pt>
                <c:pt idx="4">
                  <c:v>1.6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-32.4</c:v>
                </c:pt>
                <c:pt idx="1">
                  <c:v>2.4</c:v>
                </c:pt>
                <c:pt idx="2">
                  <c:v>-0.7</c:v>
                </c:pt>
                <c:pt idx="3">
                  <c:v>0.5</c:v>
                </c:pt>
                <c:pt idx="4">
                  <c:v>28.7</c:v>
                </c:pt>
                <c:pt idx="5">
                  <c:v>30.7</c:v>
                </c:pt>
                <c:pt idx="6">
                  <c:v>14.2</c:v>
                </c:pt>
                <c:pt idx="7">
                  <c:v>21.7</c:v>
                </c:pt>
                <c:pt idx="8">
                  <c:v>-18.9</c:v>
                </c:pt>
                <c:pt idx="9">
                  <c:v>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6.6</c:v>
                </c:pt>
                <c:pt idx="1">
                  <c:v>13.8</c:v>
                </c:pt>
                <c:pt idx="2">
                  <c:v>19.3</c:v>
                </c:pt>
                <c:pt idx="3">
                  <c:v>14.9</c:v>
                </c:pt>
                <c:pt idx="4">
                  <c:v>16.4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15.7</c:v>
                </c:pt>
                <c:pt idx="1">
                  <c:v>15.7</c:v>
                </c:pt>
                <c:pt idx="2">
                  <c:v>15.7</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1885</c:v>
                </c:pt>
                <c:pt idx="1">
                  <c:v>3370</c:v>
                </c:pt>
                <c:pt idx="2">
                  <c:v>4021</c:v>
                </c:pt>
                <c:pt idx="3">
                  <c:v>4592</c:v>
                </c:pt>
                <c:pt idx="4">
                  <c:v>5092</c:v>
                </c:pt>
                <c:pt idx="5">
                  <c:v>5471</c:v>
                </c:pt>
                <c:pt idx="6">
                  <c:v>5393</c:v>
                </c:pt>
                <c:pt idx="7">
                  <c:v>4913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23309</c:v>
                </c:pt>
                <c:pt idx="1">
                  <c:v>31747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805,02</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504.76</c:v>
                </c:pt>
                <c:pt idx="1">
                  <c:v>657.62</c:v>
                </c:pt>
                <c:pt idx="2">
                  <c:v>741.75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805,02</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(575,93 – 859,34)</c:v>
                </c:pt>
                <c:pt idx="1">
                  <c:v>Precio objetivo de los analistas (730,00 – 1.030,00)</c:v>
                </c:pt>
                <c:pt idx="2">
                  <c:v>Comparables: PER NTM (738,20 – 936,74)</c:v>
                </c:pt>
                <c:pt idx="3">
                  <c:v>DCF (WACC y g ± 0,5) (611,81 – 716,19)</c:v>
                </c:pt>
                <c:pt idx="4">
                  <c:v>Escenarios (bajista – alcista) (504,76 – 741,75)</c:v>
                </c:pt>
                <c:pt idx="5">
                  <c:v>DCF con la prima implícita del mercado (4,2 %)</c:v>
                </c:pt>
                <c:pt idx="6">
                  <c:v>Precio actual (805,02)</c:v>
                </c:pt>
              </c:strCache>
            </c:strRef>
          </c:cat>
          <c:val>
            <c:numRef>
              <c:f>Hoja1!$B$2:$B$8</c:f>
              <c:numCache>
                <c:formatCode>#,##0</c:formatCode>
                <c:ptCount val="7"/>
                <c:pt idx="0">
                  <c:v>575.93</c:v>
                </c:pt>
                <c:pt idx="1">
                  <c:v>730</c:v>
                </c:pt>
                <c:pt idx="2">
                  <c:v>738.2</c:v>
                </c:pt>
                <c:pt idx="3">
                  <c:v>611.81</c:v>
                </c:pt>
                <c:pt idx="4">
                  <c:v>504.76</c:v>
                </c:pt>
                <c:pt idx="5">
                  <c:v>696.29</c:v>
                </c:pt>
                <c:pt idx="6">
                  <c:v>800.99</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(575,93 – 859,34)</c:v>
                </c:pt>
                <c:pt idx="1">
                  <c:v>Precio objetivo de los analistas (730,00 – 1.030,00)</c:v>
                </c:pt>
                <c:pt idx="2">
                  <c:v>Comparables: PER NTM (738,20 – 936,74)</c:v>
                </c:pt>
                <c:pt idx="3">
                  <c:v>DCF (WACC y g ± 0,5) (611,81 – 716,19)</c:v>
                </c:pt>
                <c:pt idx="4">
                  <c:v>Escenarios (bajista – alcista) (504,76 – 741,75)</c:v>
                </c:pt>
                <c:pt idx="5">
                  <c:v>DCF con la prima implícita del mercado (4,2 %)</c:v>
                </c:pt>
                <c:pt idx="6">
                  <c:v>Precio actual (805,02)</c:v>
                </c:pt>
              </c:strCache>
            </c:strRef>
          </c:cat>
          <c:val>
            <c:numRef>
              <c:f>Hoja1!$C$2:$C$8</c:f>
              <c:numCache>
                <c:formatCode>#,##0</c:formatCode>
                <c:ptCount val="7"/>
                <c:pt idx="0">
                  <c:v>283.4100000000001</c:v>
                </c:pt>
                <c:pt idx="1">
                  <c:v>300</c:v>
                </c:pt>
                <c:pt idx="2">
                  <c:v>198.53999999999996</c:v>
                </c:pt>
                <c:pt idx="3">
                  <c:v>104.38000000000011</c:v>
                </c:pt>
                <c:pt idx="4">
                  <c:v>236.99</c:v>
                </c:pt>
                <c:pt idx="5">
                  <c:v>84.58000000000004</c:v>
                </c:pt>
                <c:pt idx="6">
                  <c:v>8.059999999999945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