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The Sage Group plc</w:t>
      </w:r>
    </w:p>
    <w:p>
      <w:pPr>
        <w:spacing w:after="60"/>
        <w:rPr>
          <w:color w:val="52514E"/>
          <w:sz w:val="22"/>
          <w:szCs w:val="22"/>
        </w:rPr>
      </w:pPr>
      <w:r>
        <w:rPr>
          <w:color w:val="52514E"/>
          <w:sz w:val="22"/>
          <w:szCs w:val="22"/>
        </w:rPr>
        <w:t xml:space="preserve">SGE · London Stock Exchange (cotiza en peniques; el informe va en GBP) · ISIN GB00B8C3BL03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10,73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13,18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+24,9 % (base +26,5 %)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9,51 GBP · mercado 11,15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9.844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The Sage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SGE / GB00B8C3BL03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(cotiza en peniques; el informe va en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Newcastle upon Tyne (Reino Unido) · 1981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www.sage.com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10,73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 – 11,81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9.844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11.624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31 M GBP/día (3 meses; ≈ 3,0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13,18 GBP</w:t>
      </w:r>
      <w:r>
        <w:t xml:space="preserve"> frente a 10,73 · Rentabilidad a 12 meses </w:t>
      </w:r>
      <w:r>
        <w:rPr>
          <w:b/>
          <w:bCs/>
        </w:rPr>
        <w:t xml:space="preserve">+24,9 % (base +26,5 %)</w:t>
      </w:r>
      <w:r>
        <w:t xml:space="preserve"> · Valor intrínseco 9,51 GBP · con la prima implícita del mercado: 11,15 (+3,9 %) · Alcista / bajista +4,3 % / -51,1 %</w:t>
      </w:r>
    </w:p>
    <w:p>
      <w:pPr>
        <w:spacing w:after="100"/>
      </w:pPr>
      <w:r>
        <w:rPr>
          <w:b/>
        </w:rPr>
        <w:t xml:space="preserve">La recomendación y por qué.</w:t>
      </w:r>
      <w:r>
        <w:t xml:space="preserve"> Mantener, con convicción baja. La regla a 12 meses da un objetivo de 13,18 GBP (ponderado) y una rentabilidad del 24,9 % ponderada y del 26,5 % en el base, con dividendo, porque Sage cotiza a 21,4 veces nuestro BPA de FY2027 frente a una mediana histórica de 28,2 veces; el objetivo medio de los 19 analistas es de 11,43 GBP [18]. Pero no pasa el filtro de valor real: el valor intrínseco es de 9,51 GBP, un 11,4 % por debajo del precio de 10,73 GBP, porque con el gilt al 5,39 % nuestro WACC es del 8,93 %. La convicción es baja porque las dos reglas del valor intrínseco discrepan (absoluta Vender, relativa Mantener) y la diferencia es de tasa de descuento, no de cifras; subiría si el gilt bajara del 4,75 % o si FY2026 (19-nov) confirmara un crecimiento orgánico del 10 % con guía de dos cifras para FY2027.</w:t>
      </w:r>
    </w:p>
    <w:p>
      <w:pPr>
        <w:spacing w:after="100"/>
      </w:pPr>
      <w:r>
        <w:rPr>
          <w:b/>
        </w:rPr>
        <w:t xml:space="preserve">El negocio.</w:t>
      </w:r>
      <w:r>
        <w:t xml:space="preserve"> Software de contabilidad, nómina y ERP para pymes con un 97 % de ingresos recurrentes, renovación por valor del 102 % y crecimiento orgánico acelerándose al 10 % en 2026 [3, 4]. Crea valor: ROIC publicado del 21,5 % frente a un WACC del 8,93 % (12,6 puntos); sin fondo de comercio el capital operativo es negativo, porque los clientes pagan por adelantado. </w:t>
      </w:r>
      <w:r>
        <w:rPr>
          <w:b/>
        </w:rPr>
        <w:t xml:space="preserve">Veredicto de calidad: En parte.</w:t>
      </w:r>
      <w:r>
        <w:t xml:space="preserve"> La rentabilidad sobre el capital pasa de sobra, pero la sostenibilidad del crecimiento es «En parte»: la mitad del crecimiento es precio y la parte de pequeñas empresas es la más expuesta a la IA; ninguna prueba numérica falla, así que el base no se rebaja.</w:t>
      </w:r>
    </w:p>
    <w:p>
      <w:pPr>
        <w:spacing w:after="100"/>
      </w:pPr>
      <w:r>
        <w:rPr>
          <w:b/>
        </w:rPr>
        <w:t xml:space="preserve">El riesgo de IA.</w:t>
      </w:r>
      <w:r>
        <w:t xml:space="preserve"> Es el riesgo central y el motivo de la caída del 42 % desde el máximo de febrero de 2025 hasta febrero de 2026. Exposición alta y sentido mixto: ≈30-35 % de las ventas (contabilidad simple y nómina de pequeñas empresas) puede pasar a ser una función gratuita de bancos y agentes; el ERP para medianas (Intacct, X3) está más protegido, y Sage vende sus propios agentes. Nuestra estimación: −15 % de valor a 3-5 años en el ponderado. Hoy las cifras no muestran daño.</w:t>
      </w:r>
    </w:p>
    <w:p>
      <w:pPr>
        <w:spacing w:after="100"/>
      </w:pPr>
      <w:r>
        <w:rPr>
          <w:b/>
        </w:rPr>
        <w:t xml:space="preserve">Finanzas.</w:t>
      </w:r>
      <w:r>
        <w:t xml:space="preserve"> Caja libre de 517 M en FY2025 (140 % del beneficio), margen EBITDA publicado del 24,7 % y subiendo. La deuda neta subió a 2,0 veces el EBITDA subyacente por recompras de 1.205 M en 18 meses [1, 3]: el ritmo de recompras no puede repetirse sin más deuda.</w:t>
      </w:r>
    </w:p>
    <w:p>
      <w:pPr>
        <w:spacing w:after="100"/>
      </w:pPr>
      <w:r>
        <w:rPr>
          <w:b/>
        </w:rPr>
        <w:t xml:space="preserve">Valoración.</w:t>
      </w:r>
      <w:r>
        <w:t xml:space="preserve"> El DCF da 9,78 GBP; el DCF inverso dice que el precio descuenta un crecimiento del 8,3 % anual en FY2027-FY2032 frente al 6,8 % de nuestro base, una rentabilidad implícita del 8,5 %. Con la prima implícita del mercado el valor objetivo sería 11,15 GBP (+3,9 %). Por PER de comparables, 11,60. Nuestro precio base a 12 meses supera en un 16,8 % al objetivo medio de los analistas porque la regla aplica el PER de FY2028; el BPA que usamos (56,8 peniques) está un 6 % por debajo del consenso.</w:t>
      </w:r>
    </w:p>
    <w:p>
      <w:pPr>
        <w:spacing w:after="100"/>
      </w:pPr>
      <w:r>
        <w:rPr>
          <w:b/>
        </w:rPr>
        <w:t xml:space="preserve">Riesgos y catalizadores.</w:t>
      </w:r>
      <w:r>
        <w:t xml:space="preserve"> Los dos riesgos que más pesan: que la IA corte las subidas de precio en pequeñas empresas (bajista del DCF −51,1 %; a 12 meses, −18 %) y otra subida de los tipos británicos. Catalizadores: resultados de FY2026 y guía de FY2027 el 19-nov-2026 (en cinco semanas) y una posible recompra nueva. Los foros han pasado del pánico al optimismo prudente; no es un extremo.</w:t>
      </w:r>
    </w:p>
    <w:p>
      <w:pPr>
        <w:spacing w:after="100"/>
      </w:pPr>
      <w:r>
        <w:rPr>
          <w:b/>
        </w:rPr>
        <w:t xml:space="preserve">Qué cambiaría la decisión.</w:t>
      </w:r>
      <w:r>
        <w:t xml:space="preserve"> Compraríamos por debajo de 9,51 GBP (valor intrínseco), donde pasan los tres filtros; venderíamos por encima de 14,89 GBP. Pasaríamos a Vender si la renovación por valor baja del 100 % o el crecimiento orgánico de FY2027 se guía por debajo del 8 %.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13,18 GBP</w:t>
      </w:r>
      <w:r>
        <w:t xml:space="preserve"> (rentabilidad +24,9 % (base +26,5 %)) · Valor intrínseco: 9,51 GBP (-11,4 % sobre 10,73) · con la prima implícita del mercado: 11,15 (+3,9 %)</w:t>
      </w:r>
    </w:p>
    <w:p>
      <w:pPr>
        <w:spacing w:after="100"/>
      </w:pPr>
      <w:r>
        <w:t xml:space="preserve">Sage es el proveedor de contabilidad, nómina y ERP de millones de pymes en EE. UU., Reino Unido y Europa, con un 97 % de ingresos recurrentes, un 102 % de renovación por valor y un crecimiento orgánico que ha subido del 4-5 % de 2021 al 10 % de 2026 gracias a Sage Intacct [3, 4]. Crea valor: ROIC del 21,5 % frente a un WACC del 8,93 % y caja libre de 517 M al año [1].</w:t>
      </w:r>
    </w:p>
    <w:p>
      <w:pPr>
        <w:spacing w:after="100"/>
      </w:pPr>
      <w:r>
        <w:t xml:space="preserve">El precio (10,73 GBP, 21,4 veces nuestro BPA de FY2027) descuenta un crecimiento del 8,3 % anual hasta FY2032 con nuestro WACC: casi lo que hace hoy. El mercado ha quitado un cuarto del múltiplo histórico (28,2 veces) por miedo a que la IA abarate la contabilidad de las pymes, y los tipos británicos al 5,39 % hacen el resto.</w:t>
      </w:r>
    </w:p>
    <w:p>
      <w:pPr>
        <w:spacing w:after="100"/>
      </w:pPr>
      <w:r>
        <w:t xml:space="preserve">Para invertir hay que creer que Sage sigue creciendo cerca del 9 % tres años más y que la IA es un módulo que se cobra, no un sustituto gratuito. Las cifras de 2026 lo apoyan; el valor intrínseco con nuestro coste de capital no deja margen de seguridad. Es una buena empresa a un precio justo, no barata.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 × 0,46 = 8,57 · 23,5x × 0,57 = 13,35 · 28,4x × 0,61 = 17,44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 / 26,5 %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 (nuestro base +16,8 %)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 -51,1 %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8,9 %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9,51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9,51 y 14,89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14,89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9,51 GBP con las cifras intactas, pasaríamos a Comprar (pasa el valor real).</w:t>
      </w:r>
    </w:p>
    <w:p>
      <w:pPr>
        <w:pStyle w:val="ListParagraph"/>
        <w:numPr>
          <w:ilvl w:val="0"/>
          <w:numId w:val="2"/>
        </w:numPr>
        <w:spacing w:after="60"/>
      </w:pPr>
      <w:r>
        <w:t xml:space="preserve">Si la guía de FY2027 (19-nov-2026) es de crecimiento orgánico por debajo del 8 %, revisaríamos el base a la baja y probablemente a Vender.</w:t>
      </w:r>
    </w:p>
    <w:p>
      <w:pPr>
        <w:pStyle w:val="ListParagraph"/>
        <w:numPr>
          <w:ilvl w:val="0"/>
          <w:numId w:val="2"/>
        </w:numPr>
        <w:spacing w:after="60"/>
      </w:pPr>
      <w:r>
        <w:t xml:space="preserve">Si la renovación por valor baja del 100 % en el 1S27, pasaríamos a Vender.</w:t>
      </w:r>
    </w:p>
    <w:p>
      <w:pPr>
        <w:pStyle w:val="ListParagraph"/>
        <w:numPr>
          <w:ilvl w:val="0"/>
          <w:numId w:val="2"/>
        </w:numPr>
        <w:spacing w:after="60"/>
      </w:pPr>
      <w:r>
        <w:t xml:space="preserve">Si el gilt a 10 años baja del 4,75 %, el valor intrínseco superaría el precio y revisaríamos a Comprar.</w:t>
      </w:r>
    </w:p>
    <w:p>
      <w:pPr>
        <w:pStyle w:val="ListParagraph"/>
        <w:numPr>
          <w:ilvl w:val="0"/>
          <w:numId w:val="2"/>
        </w:numPr>
        <w:spacing w:after="60"/>
      </w:pPr>
      <w:r>
        <w:t xml:space="preserve">Si el precio supera 14,89 GBP,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8,3 % anual en FY2027-FY2032 y una rentabilidad del 8,5 %, con un múltiplo de 21,4 veces el beneficio de FY2027, un cuarto por debajo de su historia por el miedo a la IA [17].</w:t>
      </w:r>
    </w:p>
    <w:p>
      <w:pPr>
        <w:keepNext/>
        <w:spacing w:after="100"/>
      </w:pPr>
      <w:r>
        <w:rPr>
          <w:b/>
          <w:bCs/>
        </w:rPr>
        <w:t xml:space="preserve">Lo que creemos nosotros.</w:t>
      </w:r>
    </w:p>
    <w:p>
      <w:pPr>
        <w:spacing w:after="100"/>
      </w:pPr>
      <w:r>
        <w:t xml:space="preserve">Proyectamos algo menos (6,8 % de media) y un margen que sube la mitad de lo que espera el consenso. Creemos que el miedo a la IA es exagerado para el ERP de medianas y razonable para la contabilidad de pequeñas empresas.</w:t>
      </w:r>
    </w:p>
    <w:p>
      <w:pPr>
        <w:keepNext/>
        <w:spacing w:after="100"/>
      </w:pPr>
      <w:r>
        <w:rPr>
          <w:b/>
          <w:bCs/>
        </w:rPr>
        <w:t xml:space="preserve">Por qué podemos tener razón.</w:t>
      </w:r>
    </w:p>
    <w:p>
      <w:pPr>
        <w:spacing w:after="100"/>
      </w:pPr>
      <w:r>
        <w:t xml:space="preserve">Las cifras de 2026 no muestran daño, pero la mitad del crecimiento es precio y la IA ataca justo eso. A 12 meses el múltiplo puede rebotar (+24,9 %); a largo plazo el precio solo rinde nuestro coste de capital si el crecimiento sigue por encima del 8 %. No tenemos una visión distinta del mercado en el valor; sí en el plazo.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10,7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que se acelera</w:t>
      </w:r>
      <w:r>
        <w:t xml:space="preserve">: orgánico del 10 % en nueve meses de FY2026 frente al 9 % de FY2025 [4].</w:t>
      </w:r>
    </w:p>
    <w:p>
      <w:pPr>
        <w:pStyle w:val="ListParagraph"/>
        <w:numPr>
          <w:ilvl w:val="0"/>
          <w:numId w:val="2"/>
        </w:numPr>
        <w:spacing w:after="60"/>
      </w:pPr>
      <w:r>
        <w:rPr>
          <w:b/>
        </w:rPr>
        <w:t xml:space="preserve">Ingresos recurrentes</w:t>
      </w:r>
      <w:r>
        <w:t xml:space="preserve">: 97 % de los ingresos y renovación por valor del 102 % [3].</w:t>
      </w:r>
    </w:p>
    <w:p>
      <w:pPr>
        <w:pStyle w:val="ListParagraph"/>
        <w:numPr>
          <w:ilvl w:val="0"/>
          <w:numId w:val="2"/>
        </w:numPr>
        <w:spacing w:after="60"/>
      </w:pPr>
      <w:r>
        <w:rPr>
          <w:b/>
        </w:rPr>
        <w:t xml:space="preserve">Crea valor</w:t>
      </w:r>
      <w:r>
        <w:t xml:space="preserve">: ROIC del 21,5 % frente a un WACC del 8,93 %.</w:t>
      </w:r>
    </w:p>
    <w:p>
      <w:pPr>
        <w:pStyle w:val="ListParagraph"/>
        <w:numPr>
          <w:ilvl w:val="0"/>
          <w:numId w:val="2"/>
        </w:numPr>
        <w:spacing w:after="60"/>
      </w:pPr>
      <w:r>
        <w:rPr>
          <w:b/>
        </w:rPr>
        <w:t xml:space="preserve">Caja</w:t>
      </w:r>
      <w:r>
        <w:t xml:space="preserve">: 517 M de caja libre en FY2025, el 140 % del beneficio [1].</w:t>
      </w:r>
    </w:p>
    <w:p>
      <w:pPr>
        <w:pStyle w:val="ListParagraph"/>
        <w:numPr>
          <w:ilvl w:val="0"/>
          <w:numId w:val="2"/>
        </w:numPr>
        <w:spacing w:after="60"/>
      </w:pPr>
      <w:r>
        <w:rPr>
          <w:b/>
        </w:rPr>
        <w:t xml:space="preserve">Múltiplo deprimido</w:t>
      </w:r>
      <w:r>
        <w:t xml:space="preserve">: 21,4 veces el BPA de FY2027 frente a una mediana de 28,2 veces.</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9,51 GBP, un 11,4 % menos.</w:t>
      </w:r>
    </w:p>
    <w:p>
      <w:pPr>
        <w:pStyle w:val="ListParagraph"/>
        <w:numPr>
          <w:ilvl w:val="0"/>
          <w:numId w:val="2"/>
        </w:numPr>
        <w:spacing w:after="60"/>
      </w:pPr>
      <w:r>
        <w:rPr>
          <w:b/>
        </w:rPr>
        <w:t xml:space="preserve">IA</w:t>
      </w:r>
      <w:r>
        <w:t xml:space="preserve">: ≈30-35 % de las ventas en contabilidad simple y nómina de pequeñas empresas, la parte más fácil de sustituir.</w:t>
      </w:r>
    </w:p>
    <w:p>
      <w:pPr>
        <w:pStyle w:val="ListParagraph"/>
        <w:numPr>
          <w:ilvl w:val="0"/>
          <w:numId w:val="2"/>
        </w:numPr>
        <w:spacing w:after="60"/>
      </w:pPr>
      <w:r>
        <w:rPr>
          <w:b/>
        </w:rPr>
        <w:t xml:space="preserve">Deuda</w:t>
      </w:r>
      <w:r>
        <w:t xml:space="preserve">: 2,0 veces el EBITDA subyacente tras 1.205 M de recompras en 18 meses [3].</w:t>
      </w:r>
    </w:p>
    <w:p>
      <w:pPr>
        <w:pStyle w:val="ListParagraph"/>
        <w:numPr>
          <w:ilvl w:val="0"/>
          <w:numId w:val="2"/>
        </w:numPr>
        <w:spacing w:after="60"/>
      </w:pPr>
      <w:r>
        <w:rPr>
          <w:b/>
        </w:rPr>
        <w:t xml:space="preserve">Asimetría del DCF</w:t>
      </w:r>
      <w:r>
        <w:t xml:space="preserve">: bajista −51,1 % frente a alcista +4,3 %.</w:t>
      </w:r>
    </w:p>
    <w:p>
      <w:pPr>
        <w:pStyle w:val="ListParagraph"/>
        <w:numPr>
          <w:ilvl w:val="0"/>
          <w:numId w:val="2"/>
        </w:numPr>
        <w:spacing w:after="60"/>
      </w:pPr>
      <w:r>
        <w:rPr>
          <w:b/>
        </w:rPr>
        <w:t xml:space="preserve">Tipos</w:t>
      </w:r>
      <w:r>
        <w:t xml:space="preserve">: con el gilt al 5,39 % el coste de capital no justifica pagar más de 22 veces el beneficio.</w:t>
      </w:r>
    </w:p>
    <w:p>
      <w:pPr>
        <w:pStyle w:val="Heading2"/>
      </w:pPr>
      <w:r>
        <w:t xml:space="preserve">Qué tiene que pasar para que la tesis funcione</w:t>
      </w:r>
    </w:p>
    <w:p>
      <w:pPr>
        <w:spacing w:after="100"/>
      </w:pPr>
      <w:r>
        <w:t xml:space="preserve">La tesis depende de que Sage siga cobrando más a sus clientes cada año sin perderlos. La señal está en dos datos semestrales: la renovación por valor (102 % en el 1S26) y el ARR nuevo de clientes nuevos (200 M en doce meses). Si la renovación baja del 100 % o el ARR nuevo cae dos semestres seguidos, la IA está quitando precio o volumen, y el bajista pasa a ser el caso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proyección.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por valor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frente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nuevo de clientes nuevos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M GBP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pequeñas empresas.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Intacct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 las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 / 15,7x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27,0x / 20,4x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Sage nació en 1981 en Newcastle como programa de contabilidad para pequeñas empresas británicas y salió a bolsa en Londres en 1989. Creció durante dos décadas comprando programas locales de contabilidad y nómina en Europa, EE. UU., Sudáfrica y Asia, que vendía con licencia y mantenimiento a través de una red de asesorías y distribuidores. Desde 2014 (Stephen Kelly) y sobre todo desde 2018 (Steve Hare, consejero delegado) se transformó en un negocio de suscripción: compró Intacct en 2017 por 850 M USD, vendió los negocios no estratégicos (Sage Pay, Brasil, Polonia, Australia, Asia, Suiza) en 2019-2022 y se concentró en tres regiones y en la nube [7, 8]. Hoy el 97 % de los ingresos es recurrente y la mitad del negocio en EE. UU. es Intacct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Newcastle: contabilidad para pymes británicas.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Londres; entra en el FTSE 100 en 1999.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Intacct (EE. UU.), contabilidad en la nube para medianas empresas, por 850 M USD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 Hare, director financiero desde 2014, pasa a consejero delegado tras un aviso de resultados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Sage Pay, Brasil, Polonia, Australia, Asia y Suiza; reestructuración de 2021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Brightpearl y Lockstep para ampliar la red de pagos y cobros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Sage Copilot y agentes de IA en Intacct, X3, Sage Accounting y Sage 50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las acciones del software por el miedo a la IA (mínimo de 771,66 peniques el 24-feb); el crecimiento orgánico sube al 10 %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Sage vende software de contabilidad, gestión financiera, nómina y RR. HH. a pequeñas y medianas empresas, casi todo por suscripción. Tres familias: (1) </w:t>
      </w:r>
      <w:r>
        <w:rPr>
          <w:b/>
        </w:rPr>
        <w:t xml:space="preserve">Sage Intacct</w:t>
      </w:r>
      <w:r>
        <w:t xml:space="preserve">, ERP financiero en la nube para empresas medianas, el motor del crecimiento (+26 % en EE. UU. en el 1S26, la mitad de los ingresos de EE. UU.) [3]; (2) los programas «conectados a la nube» para pequeñas y medianas (Sage 50, Sage 200, Sage X3), que migran a suscripción; (3) los nativos de la nube para pequeñas empresas y autónomos (Sage Accounting, Payroll, HR, Sole Trader), también integrados en bancos como NatWest, Monzo o Tide [1]. Vende en EE. UU. y Canadá (45 % de las ventas), Reino Unido, Irlanda, África y Asia-Pacífico (29 %) y Francia, Iberia y Centroeuropa (26 %), sobre todo a través de asesorías contables y distribuidores [3].</w:t>
      </w:r>
    </w:p>
    <w:p>
      <w:pPr>
        <w:pStyle w:val="Heading2"/>
      </w:pPr>
      <w:r>
        <w:t xml:space="preserve">Cómo gana dinero</w:t>
      </w:r>
    </w:p>
    <w:p>
      <w:pPr>
        <w:spacing w:after="100"/>
      </w:pPr>
      <w:r>
        <w:t xml:space="preserve">El 97 % de los ingresos es recurrente y el 84 % suscripción de software [4]. El cliente paga por adelantado (850 M GBP de ingresos diferidos), así que el circulante es negativo y crecer libera caja. El coste de ventas es el 7 % de los ingresos: el margen depende de los gastos comerciales y de desarrollo, que crecen menos que las ventas (apalancamiento operativo: margen EBIT subyacente del 19,4 % en FY2021 al 23,9 % en FY2025) [1]. El crecimiento sale a medias de clientes nuevos (200 M GBP de ARR nuevo al año) y de vender más a los existentes: renovación por valor del 102 %, con subidas de precio dirigidas, módulos de IA y migraciones a la nube [3]. Poca estacionalidad; el ARR (2.727 M) adelanta los ingresos del año siguiente.</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UKIA (Reino Unido, Irlanda, África y 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UKIA (Reino Unido, Irlanda, África y Asia-Pacífico)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Millones de pymes y unas decenas de miles de empresas medianas, sin concentración: ningún cliente pesa de forma apreciable [2]. Contratos anuales o mensuales que se renuevan; la tasa de renovación por valor (ARR que repiten los clientes de inicio de año, con subidas y ventas adicionales) fue del 101 % en FY2024 y FY2025 y del 102 % en el 1S26 [1, 3]. El poder de precios está demostrado: Sage sube tarifas cada año (Sage 50 en Iberia creció «por precios más altos y fuerte retención») sin perder renovación [3]. La empresa no publica la tasa de bajas en volumen; en su prueba de estrés de liquidez supone una baja de clientes un 75 % mayor que la actual y sigue sin necesitar la línea de crédito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anualizados (ARR,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 M GBP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 M GBP (FY25); 2.727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repartido entre clientes nuevos y existentes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renovación por valor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 (FY25); 102 %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subidas de precio, ventas adicionales y módulos de IA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Sage Business Cloud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 M GBP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 M GBP (FY25)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ellos, nativos de la nube 885 M (+23 %); 1.762 M en 9 meses de FY26 (+15 %)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suscripción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(FY25); 84 %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97 % de los ingresos es recurrente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Sage Intacct en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M GBP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M GBP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es la mitad de los ingresos de EE. UU.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 nuevo por clientes nuevos (orgánico,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M GBP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M GBP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adelantado de volumen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Software de gestión financiera, nómina y RR. HH. para pequeñas y medianas empresas (contabilidad, ERP para empresas medianas, nómina), vendido por suscripción en la nube o conectado a la nube, en EE. UU., Reino Unido, Francia, Iberia, Centroeuropa y Sudáfrica. Es la parte «pymes» del software empresarial horizontal de la ficha sectorial [11]: Sage compite en contabilidad simple (Intuit QuickBooks, Xero), en ERP para medianas (Intacct frente a NetSuite de Oracle, Microsoft Dynamics 365 Business Central, Acumatica) y en nómina (ADP, Paychex, empresas locales). No encontramos una cifra pública fiable del tamaño de este nicho con dos fuentes: usamos el ERP mundial como referencia (≈145.582 M USD en 2025, +7,1 % anual, Apps Run The World vía la ficha [11]) y hacemos la prueba de cuota con la propia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109.700 M GBP de mercado mundial de ERP en 2025 (145.582 M USD, ARTW) [11]; el nicho de pymes de Sage es una fracción que no se publica con fuente fiable.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licencia a suscripción y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de suscripción del 84 % (82 % en FY2024); nube nativa +25 % en el 1S26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obligatoria (factura electrónica, Making Tax Digital, nómina)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Iberia creció un 9 % con el impulso de la normativa a asesorías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y módulos (IA, pagos, cuentas por pagar y cobrar)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por valor del 102 % con subidas de precio dirigidas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y herramientas nativas de IA (Rillet, asistentes de los bancos)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herramientas de Anthropic del 3-feb-2026 hundieron todo el software; Deutsche Bank habla de competencia emergente de empresas nativas de IA en algunos verticales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las pymes (altas y cierres de empresas, empleo)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estrés de liquidez de la empresa la baja de clientes sube un 75 %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domina las microempresas en EE. UU. y Xero en Reino Unido, Australia y Nueva Zelanda; en medianas compiten NetSuite y Dynamics. La rivalidad es por canal (asesorías) más que por precio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Millones de pymes sin poder individual; el precio sube con la renovación (102 % por valor)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pública (AWS) y modelos de IA: proveedores grandes, pero con alternativas; coste de ventas del 7 % [3,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abarata hacer software contable; bancos y fintechs dan contabilidad integrada; empresas nativas de IA (Rillet) atacan a las medianas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agente de IA puede llevar la contabilidad simple sobre el banco, pero el registro auditable, la normativa fiscal y la nómina de cada país siguen haciendo falta [3, 11].</w:t>
            </w:r>
          </w:p>
        </w:tc>
      </w:tr>
    </w:tbl>
    <w:p>
      <w:pPr>
        <w:spacing w:after="160" w:before="0"/>
      </w:pPr>
    </w:p>
    <w:p>
      <w:pPr>
        <w:pStyle w:val="Heading2"/>
      </w:pPr>
      <w:r>
        <w:t xml:space="preserve">Ciclo</w:t>
      </w:r>
    </w:p>
    <w:p>
      <w:pPr>
        <w:spacing w:after="100"/>
      </w:pPr>
      <w:r>
        <w:t xml:space="preserve">Negocio poco cíclico: en 2009 cayeron las licencias nuevas y aguantó el mantenimiento; en 2020 la pandemia frenó las altas pero el 90 % era ya recurrente; en 2022 cayeron los múltiplos del software por los tipos, no las ventas de Sage, que crecieron un 6 % [11]. Hoy el crecimiento orgánico se acelera (10 % en nueve meses) mientras el múltiplo se ha comprimido por el miedo a la IA: el ciclo del negocio y el de la bolsa van en sentido contrario [3].</w:t>
      </w:r>
    </w:p>
    <w:p>
      <w:pPr>
        <w:pStyle w:val="Heading2"/>
      </w:pPr>
      <w:r>
        <w:t xml:space="preserve">Regulación</w:t>
      </w:r>
    </w:p>
    <w:p>
      <w:pPr>
        <w:spacing w:after="100"/>
      </w:pPr>
      <w:r>
        <w:t xml:space="preserve">La normativa empuja la demanda: factura electrónica obligatoria en Francia (calendario 2026-2027), Alemania, España (Verifactu) y la UE (ViDA), Making Tax Digital en Reino Unido para autónomos desde abril de 2026, y cambios de nómina constantes en cada país, que exigen un proveedor que mantenga el programa al día. En contra, la Ley de IA de la UE y la protección de datos (RGPD) imponen obligaciones a los agentes que tocan datos financieros [11].</w:t>
      </w:r>
    </w:p>
    <w:p>
      <w:pPr>
        <w:pStyle w:val="Heading2"/>
      </w:pPr>
      <w:r>
        <w:t xml:space="preserve">Tendencias y disrupción</w:t>
      </w:r>
    </w:p>
    <w:p>
      <w:pPr>
        <w:spacing w:after="100"/>
      </w:pPr>
      <w:r>
        <w:t xml:space="preserve">La IA es a la vez la amenaza y la palanca. Sage vende Copilot y agentes de cuentas por pagar, cobros y cierre, cobrados como módulos, sobre datos contables de millones de clientes [3]. El riesgo es que la contabilidad simple pase a ser una función gratuita de un banco o de un agente genérico y que el precio por cliente deje de subir. En la ficha del sector, el software de contabilidad simple y nómina para pymes es de riesgo «medio» y el ERP para medianas de riesgo «bajo-medio» [11].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software contable para pymes en sus mercados: n.º 1 en Reino Unido, Francia, Iberia y Sudáfrica en contabilidad y nómina de pymes; en EE. UU., Intacct es uno de los dos o tres primeros ERP en la nube para medianas junto a NetSuite (sin cuota con fuente)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 (QuickBooks)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 microempresas en EE. UU.; capitalización de 81.561 M USD y margen EBITDA del 32,7 % según su informe del repositorio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Zelanda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XRO.AX</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Reino Unido, Australia y Nueva Zelanda en contabilidad en la nube para pequeñas empresas; compró Melio (pagos, EE. UU.) en 2025.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NetSuite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de Intacct en ERP en la nube para medianas.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Dynamics 365 Business Central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ERP para medianas vendido por integradores; integración con Copilot.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Paychex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PAYX</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Nómina para pymes en EE. UU. (rival de Sage HR y Criterion); margen EBITDA del 46,6 % según su informe del repositorio.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asesorías y la Sage Platform conectan clientes, bancos y proveedores; ARR por clientes nuevos de 200 M al año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programa contable o de nómina exige migrar años de datos y reformar a la asesoría; renovación por valor del 101-102 % durante años [3,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45 años y localización fiscal y de nómina en cada país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subyacente del 23,9 %, por debajo de Intuit y de Paychex [3,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nacionales donde mantener la normativa al día solo compensa a dos o tres proveedores [2].</w:t>
            </w:r>
          </w:p>
        </w:tc>
      </w:tr>
    </w:tbl>
    <w:p>
      <w:pPr>
        <w:spacing w:after="160" w:before="0"/>
      </w:pPr>
    </w:p>
    <w:p>
      <w:pPr>
        <w:pStyle w:val="Heading2"/>
      </w:pPr>
      <w:r>
        <w:t xml:space="preserve">Amenazas</w:t>
      </w:r>
    </w:p>
    <w:p>
      <w:pPr>
        <w:spacing w:after="100"/>
      </w:pPr>
      <w:r>
        <w:t xml:space="preserve">La amenaza principal es la IA: si un agente genérico o el banco de la pyme llevan la contabilidad simple y la nómina gratis o a menor precio, las subidas de precio que hoy explican la mitad del crecimiento dejarían de pasar, y las altas de pequeñas empresas irían a otros [11, 13]. Probabilidad media a cinco años en la contabilidad simple (≈ 30-35 % de los ingresos, estimación propia: Sage Accounting, parte de Sage 50 y nómina de pequeñas empresas) y baja en el ERP para medianas (Intacct, X3, Sage 200), donde el cliente necesita registro auditable, consolidación y normativa [3]. Segunda amenaza: NetSuite y Dynamics en medianas, y Xero e Intuit en pequeñas.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FY2021-FY2025: ingresos </w:t>
      </w:r>
      <w:r>
        <w:rPr>
          <w:b/>
          <w:bCs/>
        </w:rPr>
        <w:t xml:space="preserve">8,0 %</w:t>
      </w:r>
      <w:r>
        <w:t xml:space="preserve">, EBITDA </w:t>
      </w:r>
      <w:r>
        <w:rPr>
          <w:b/>
          <w:bCs/>
        </w:rPr>
        <w:t xml:space="preserve">11,6 %</w:t>
      </w:r>
      <w:r>
        <w:t xml:space="preserve">, BPA </w:t>
      </w:r>
      <w:r>
        <w:rPr>
          <w:b/>
          <w:bCs/>
        </w:rPr>
        <w:t xml:space="preserve">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1.846 M GBP en FY2021 a 2.513 M en FY2025 (+8,0 % anual), casi todo orgánico: las compras de 2022-2025 (Brightpearl, Lockstep, Infineo, ForceManager, Fyle) aportan menos de un punto al año [1, 6]. El crecimiento orgánico subió del 4-5 % de FY2021 al 9 % de FY2025 y al 10 % en los nueve primeros meses de FY2026 [4]. El margen EBIT publicado pasó del 20,2 % al 21,1 % con un bache en FY2023 (14,4 %) por 44 M de reestructuración de oficinas y la inversión en Sage Business Cloud; el subyacente de la empresa subió del 19,4 % de FY2021 al 23,9 % de FY2025 por el apalancamiento operativo de un modelo de suscripción con coste de ventas del 7 % [1, 7]. Años no comparables: FY2021 incluye 126 M de plusvalías por la venta de los negocios de Polonia, Australia y Asia (neto de 62 M de reestructuración) [7].</w:t>
      </w:r>
    </w:p>
    <w:p>
      <w:pPr>
        <w:pStyle w:val="Heading2"/>
      </w:pPr>
      <w:r>
        <w:t xml:space="preserve">Ajustes y partidas no recurrentes</w:t>
      </w:r>
    </w:p>
    <w:p>
      <w:pPr>
        <w:spacing w:after="100"/>
      </w:pPr>
      <w:r>
        <w:t xml:space="preserve">Usamos cifras publicadas. Sage publica cifras «subyacentes» que excluyen la amortización de intangibles de compras (42 M en FY2025), los gastos de fusiones y adquisiciones (31 M, que se repiten cada año), los no recurrentes y el efecto divisa; su EBITDA subyacente además suma los pagos en acciones (46 M) [1]. Por eso el EBITDA subyacente de FY2025 (694 M) supera al nuestro (620 M) en 74 M, el 2,9 % de las ventas. No recurrentes dentro del EBIT: FY2021 −55 M (plusvalías netas de reestructuración), FY2023 +44 M (oficinas, nómina en Francia y reestructuración), FY2024 −5 M y FY2025 −3 M (reversiones) [1, 5, 7]. El BPA publicado de FY2023 (20,43 peniques) queda deprimido por esos 44 M; normalizado, unos 23,7 peniques (estimación propia: 44 M × 0,75 ÷ 1.036 M de acciones).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los resultados del 1S26 (21-may-2026) la dirección cambió el tono: subió la guía de crecimiento orgánico de «9 % o más» a «más del 9 %» y dedicó la presentación a la IA, con agentes de cuentas por pagar, cobros y cierre contable, Copilot en todos los productos y precios nuevos para agentes de socios [3]. El mensaje fue que los sistemas de registro con datos propios y normativa ganan con la IA y que Sage la usa también para su coste (programación, atención al cliente) [3]. En la actualización del 3T (29-jul-2026), la nueva directora financiera habló de «nueve meses de crecimiento acelerado»: el 3T creció un 12 % y el orgánico de nueve meses un 10 % [4]. Las preguntas de los analistas se repitieron sobre la amenaza de los agentes de IA en la contabilidad simple y el precio por cliente; según Deutsche Bank, la empresa reconoció «competencia emergente de empresas nativas de IA» en algunos verticales [13]. La dirección no ha dado cifra de margen para FY2026 ni objetivo a medio plazo; solo «márgenes al alza en FY2026 y después» [3,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(con arrendamientos) subió de 738 M GBP en septiembre de 2024 a 1.189 M en septiembre de 2025 y 1.504 M en marzo de 2026, 2,0 veces el EBITDA subyacente de doce meses (742 M), en el techo de la política de 1-2 veces [3]. No es por el negocio: la caja libre fue de 517 M en FY2025, pero se recompraron acciones por 605 M y se pagaron 207 M de dividendos; en el 1S26 otros 353 M de recompras con bonos nuevos (500 M EUR al 3,821 % a 7 años) [1, 3]. El circulante es negativo por los ingresos diferidos (967 M), así que crecer libera caja. Vencimientos: bonos en euros de 2028 (500 M EUR) y de 2033 (500 M EUR), y en libras de 2031, 2034 y 2037 [3]; importes en EUR pasados a GBP a 0,87 (estimación).</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FY2021-FY2025: FCF </w:t>
      </w:r>
      <w:r>
        <w:rPr>
          <w:b/>
          <w:bCs/>
        </w:rPr>
        <w:t xml:space="preserve">1.749</w:t>
      </w:r>
      <w:r>
        <w:t xml:space="preserve">, conversión </w:t>
      </w:r>
      <w:r>
        <w:rPr>
          <w:b/>
          <w:bCs/>
        </w:rPr>
        <w:t xml:space="preserve">121 %</w:t>
      </w:r>
      <w:r>
        <w:t xml:space="preserve"> del beneficio neto; adquisiciones 423, dividendos 968, recompras 1.555.</w:t>
      </w:r>
    </w:p>
    <w:p>
      <w:pPr>
        <w:spacing w:after="100"/>
      </w:pPr>
      <w:r>
        <w:t xml:space="preserve">El flujo operativo (después de intereses e impuestos) pasó de 376 M GBP en FY2021 a 528 M en FY2025 y la caja libre de la empresa fue de 517 M en FY2025 (524 M en FY2024), un 140 % del beneficio neto [1]. La conversión de beneficio operativo subyacente en caja fue del 110 % en FY2025 y del 116 % en el 1S26 [3]: los clientes pagan por adelantado. El capex es pequeño (59 M en FY2025, el 2,3 % de las ventas, más alto por la renovación de oficinas; 22 M en FY2023) y casi todo de mantenimiento; el desarrollo de producto se lleva a gastos (no se activa I+D). Usos de la caja en cinco años: 1.555 M de recompras y 968 M de dividendos frente a 423 M en compras [9].</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(desde FY2025; antes EY)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contabilidad es sencilla: ingresos por suscripción reconocidos en el plazo del contrato, sin I+D activado y con un circulante que financian los clientes (850 M GBP de ingresos diferidos) [1, 2]. Las cifras «subyacentes» que destaca la empresa excluyen cada año los gastos de compras (31 M en FY2025) y suman al EBITDA los pagos en acciones (46 M, el 1,8 % de las ventas), que son costes recurrentes: por eso usamos el publicado [1]. El cambio de auditor (EY por KPMG en FY2025) fue la rotación obligatoria tras concurso [2]. Los tres indicadores no dan alarma: Altman Z de 3,16 (zona segura, aunque infravalora a quien cobra por adelantado), Piotroski F de 6 sobre 9 (fallan la deuda, la liquidez corriente y el margen bruto, por las recompras con deuda) y Beneish M de −2,55, sin señal de manipulación. El flujo operativo acumulado es 1,43 veces el beneficio: el beneficio se cobra. El fondo de comercio (2.213 M) triplica el patrimonio (720 M), reducido por las recompras.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Métricas «subyacentes» por encima de las publicadas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subyacente de FY2025 (43,2 peniques) supera al publicado (37,7) en un 15 %: gastos de compras e intangibles amortizados que se repiten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obligatoria a KPMG en FY2025, con EY en la sombra durante FY2024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financiadas con deuda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2,0 veces el EBITDA subyacente en marzo de 2026, en el techo de la política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2.213 M en FY2025 (el 116 % del capital invertido medio); ha subido más de un 5 % en 1 de 4 años: compra única grande.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27,5 % · </w:t>
      </w:r>
      <w:r>
        <w:rPr>
          <w:b/>
          <w:bCs/>
        </w:rPr>
        <w:t xml:space="preserve">WACC</w:t>
      </w:r>
      <w:r>
        <w:t xml:space="preserve">: 8,9 %.</w:t>
      </w:r>
    </w:p>
    <w:p>
      <w:pPr>
        <w:spacing w:after="100"/>
      </w:pPr>
      <w:r>
        <w:t xml:space="preserve">Sage crea valor: el ROIC publicado (con fondo de comercio) fue del 21,5 % en FY2025 frente a un WACC del 8,93 %, 12,6 puntos por encima, y ha estado entre el 13,1 % (FY2023, con la reestructuración) y el 21,5 % en cinco años. El motor la clasifica como «compra única grande»: el fondo de comercio (2.213 M) es el 116 % del capital invertido, sobre todo por Intacct. Sin fondo de comercio el capital operativo es negativo (los clientes pagan por adelantado), así que el ROIC sin fondo de comercio no tiene sentido numérico: el negocio operativo no necesita capital. Decide el publicado, y pasa de sobra. El ROIC sube por margen (NOPAT/ventas del 14,1 % al 16,0 %) y rotación; el ROIC incremental histórico es del 27,5 %. La propia empresa da un ROCE del 31-33 % [1, 3]. Mejor que Roper (6,4 %) y Constellation (21,7 %), por debajo de Intuit (23,1 %) y Paychex (26,8 %) [22, 23].</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518 M GBP y línea de crédito sindicada de 630 M sin disponer (vence en diciembre de 2029): 1.148 M de liquidez a 31-mar-2026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(estable)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Ingresos diferidos de 967 M GBP a 31-mar-2026 (845 + 5 M a 30-sep-2025): cobros por adelantado de suscripciones que no son deuda financiera pero sí financian el circulante [3]. Pensiones de 25 M. Pasivo financiero por la recompra en curso de 257 M a 31-mar-2026 (compromiso con el banco que ejecutó la recompra de hasta 300 M, terminada el 5-jun-2026) [3]. Pago aplazado de Criterion de hasta 16 M según resultados [1]. Sin covenants financieros relevantes en los bonos; la política es una deuda neta de 1-2 veces el EBITDA subyacente [3].</w:t>
      </w:r>
    </w:p>
    <w:p>
      <w:pPr>
        <w:pStyle w:val="Heading1"/>
      </w:pPr>
      <w:r>
        <w:t xml:space="preserve">12. Asignación de capital</w:t>
      </w:r>
    </w:p>
    <w:p>
      <w:pPr>
        <w:pStyle w:val="Confianza"/>
        <w:spacing w:after="100"/>
      </w:pPr>
      <w:r>
        <w:t xml:space="preserve">Confianza: Alta</w:t>
      </w:r>
    </w:p>
    <w:p>
      <w:pPr>
        <w:spacing w:after="100"/>
      </w:pPr>
      <w:r>
        <w:t xml:space="preserve">Dividendo progresivo (21,85 peniques en FY2025, +7 %; a cuenta de FY2026 8,05 peniques, +8 %) y devolución del exceso de caja con recompras: 600 M GBP en FY2025, 300 M terminados en febrero de 2026 y otros 300 M terminados en junio de 2026 [1, 3]. Prioridades declaradas: inversión orgánica, compras pequeñas que añaden producto a la plataforma y luego retribución; deuda neta de 1-2 veces el EBITDA subyacente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Intacct (EE. UU., contabilidad en la nube para empresas medianas)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(850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Éxito: es el motor del grupo; 534 M GBP de ingresos anuales en EE. UU. al ritmo del 1S26 (+26 %) [3,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Brightpearl (Reino Unido, gestión de comercio minorista)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dentro del grupo; sin deterioros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Lockstep (EE. UU., automatización de cobros y pagos entre empresas)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red de la Sage Platform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Infineo (Francia) y Tritium Software / ForceManager (España)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Aportan a Iberia; ForceManager fuera del orgánico en FY2025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Criterion (EE. UU., RR. HH. y nómina para empresas medianas)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33 M fijos y hasta 16 M variables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3 M de ingresos en el 1S26 [3].</w:t>
            </w:r>
          </w:p>
        </w:tc>
      </w:tr>
    </w:tbl>
    <w:p>
      <w:pPr>
        <w:spacing w:after="160" w:before="0"/>
      </w:pPr>
    </w:p>
    <w:p>
      <w:pPr>
        <w:spacing w:after="100"/>
      </w:pPr>
      <w:r>
        <w:t xml:space="preserve">La dirección asigna bien el capital en lo grande y discutiblemente en el ritmo. Lo bueno: Intacct (2017) es la mejor compra del software europeo de la década y hoy sostiene el crecimiento; las desinversiones de 2019-2022 concentraron el grupo; las compras recientes son pequeñas (423 M en cinco años) y el ROIC incremental histórico es del 27,5 %. Lo discutible: en cinco años devolvió 1.555 M en recompras y 968 M en dividendos, más que la caja libre, y desde 2025 lo hace con deuda: la deuda neta pasó a 2,0 veces el EBITDA subyacente en marzo de 2026, el techo de su política [3]. Las recompras se hicieron sobre todo a 9-12 GBP; las de 2026, a 8-9,4 GBP, por debajo del precio de hoy. Sin dilución apreciable: los pagos en acciones se cubren con autocartera.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 Hare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Sage desde 2014 y consejero delegado desde 2018; antes en Invensys y socio de Apax. Con él la suscripción pasó al 84 % de los ingresos, se vendieron los negocios no estratégicos y el crecimiento orgánico subió del 4 % al 10 % [2,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Jacqui Cartin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Sage desde 2018 (llegó de KPMG); fue directora de control financiero del grupo, con tesorería, impuestos y gestión del capital. Sustituyó a Jonathan Howell el 1-ene-2026 con un sueldo de 650.000 GBP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Duff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Elementis y de Severn Trent, consejero delegado de npower; presidente de Sage desde octubre de 2021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Aaron Harris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Llegó con Intacct; responsable de la plataforma y de Copilot; vendió 75.000 acciones a unos 8,51 GBP el 28-may-2026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9 % o más y margen al alza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9,3 % orgánico (2.332 M frente a 2.134 M); margen subyacente del 22,4 %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9 % o más y margen al alza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orgánico; margen subyacente del 23,9 % (+1,5 pp)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 o más (nov-2025), elevada a «más del 9 %» en mayo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 orgánico en nueve meses; margen del 1S del 23,9 % (+0,8 pp) [3,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cumplido la guía los tres últimos ejercicios y la ha subido este año; el discurso es estable y conservador (un número, «9 % o más», y margen al alza sin cifra) [1, 3]. Hare lleva doce años en el grupo y ocho como consejero delegado: no hay plan de sucesión público, y es el riesgo de continuidad más claro. El relevo de la dirección financiera fue interno y anunciado con nueve meses de antelación [14]. Los dos consejeros que compraron en febrero de 2026 son independientes; el director de tecnología vendió en mayo, a precios por debajo de los de hoy [13, 15].</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Duff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 Hare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Jacqui Cartin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Annette Court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Bewes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Bates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Derek Harding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Roisin Donnelly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Maggie Chan Jones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(ESG)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Lori Mitchell-Keller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[2]</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0,37 / ventas 0,64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previa a 30-sep-2025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Capital Group Companies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previa a 30-sep-2025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Lindsell Train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previa a 30-sep-2025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 Limited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por encima del 5 % (3-oct-2025)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notificados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Aviva plc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notificados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y fideicomiso de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53,7 M en autocartera y 6,8 M en el EBT (28-ago-2026)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Derek Harding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Bates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Aaron Harris (director de tecnología)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4,56 M GBP en FY2025 (5,32 M en FY2024): 1,03 M de sueldo, 0,88 M de bonus y 2,51 M del plan de acciones a largo plazo (PSP) [2]. El bonus se mide con el crecimiento de los ingresos totales (9,8 % logrado), la experiencia del cliente y objetivos personales; el PSP de FY2025 se consolidó al 89,7 % de penetración de Sage Business Cloud, al percentil 80 de rentabilidad total para el accionista y a objetivos ESG, con el ROCE como condición mínima [2]. Premia crecimiento con un suelo de rentabilidad, no crecimiento a cualquier precio. Ratio con el empleado británico medio: 71 a 1. Todas las propuestas de la junta de 2025 pasaron con más del 80 % a favor (no encontramos el porcentaje exacto de la votación de remuneraciones) [2].</w:t>
      </w:r>
    </w:p>
    <w:p>
      <w:pPr>
        <w:pStyle w:val="Heading2"/>
      </w:pPr>
      <w:r>
        <w:t xml:space="preserve">Operaciones vinculadas, estructura de control y defensas</w:t>
      </w:r>
    </w:p>
    <w:p>
      <w:pPr>
        <w:spacing w:after="100"/>
      </w:pPr>
      <w:r>
        <w:t xml:space="preserve">Capital disperso: el mayor accionista (BlackRock) tiene el 5,9 % y ningún pacto [2]. Una sola clase de acciones, una acción un voto, sin límites de voto ni blindajes; todos los consejeros se someten a reelección cada año [2]. Presidente no ejecutivo e independiente al nombrarlo, separado del consejero delegado, y consejera coordinadora. Ocho de diez consejeros son independientes. Sin operaciones vinculadas relevantes. Una empresa así es comprable: el riesgo para el minoritario es más bien una opa de capital riesgo a un precio bajo en un momento de múltiplo deprimido.</w:t>
      </w:r>
    </w:p>
    <w:p>
      <w:pPr>
        <w:pStyle w:val="Heading2"/>
      </w:pPr>
      <w:r>
        <w:t xml:space="preserve">Señales de alerta</w:t>
      </w:r>
    </w:p>
    <w:p>
      <w:pPr>
        <w:pStyle w:val="ListParagraph"/>
        <w:numPr>
          <w:ilvl w:val="0"/>
          <w:numId w:val="2"/>
        </w:numPr>
        <w:spacing w:after="60"/>
      </w:pPr>
      <w:r>
        <w:t xml:space="preserve">Venta de 75.000 acciones del director de tecnología el 28-may-2026 a unos 8,51 GBP [15]; compras de dos consejeros independientes en febrero a 8,09-8,64 GBP [13].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FY2026: crecimiento orgánico de los ingresos totales «por encima del 9 %» (subida en mayo de 2026 desde «9 % o más»; reiterada el 29-jul-2026) y margen operativo «al alza en FY2026 y después», sin cifra [3, 4]. No hay plan a medio plazo con objetivos numéricos; la política de deuda es de 1-2 veces el EBITDA subyacente. Los resultados de FY2026 y la guía de FY2027 se publican el 19-nov-2026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 14,00</w:t>
            </w:r>
          </w:p>
        </w:tc>
      </w:tr>
    </w:tbl>
    <w:p>
      <w:pPr>
        <w:spacing w:after="160" w:before="0"/>
      </w:pPr>
    </w:p>
    <w:p>
      <w:pPr>
        <w:pStyle w:val="Heading2"/>
      </w:pPr>
      <w:r>
        <w:t xml:space="preserve">Revisiones de estimaciones</w:t>
      </w:r>
    </w:p>
    <w:p>
      <w:pPr>
        <w:spacing w:after="100"/>
      </w:pPr>
      <w:r>
        <w:t xml:space="preserve">Según MarketScreener, los 19 analistas esperan 2.762 M de ingresos y un BPA de 44,4 peniques en FY2026, y 52,3 y 60,5 peniques en FY2027 y FY2028 [17]. Sus BPA son estatutarios (el de FY2025 coincide con el publicado, 37,2 peniques) y su EBITDA es el subyacente, que suma pagos en acciones y gastos de compras (ajuste del 2,9 % de las ventas). El objetivo medio es de 11,43 GBP (mínimo 8,50, máximo 14,00), un 6,5 % sobre el precio [18]. Movimientos recientes: Peel Hunt y Shore Capital subieron a comprar en mayo y febrero; Investec recortó objetivo en junio; AlphaValue bajó a reducir en agosto y volvió a añadir en septiembre [18]. Solo hay una fuente gratuita con estimaciones completas; no tenemos la serie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Sage ha ido muy por detrás del mercado: −6,9 % en un año frente al +13,5 % del FTSE 100 y al +22,9 % del índice tecnológico europeo, y +1,9 % anual en tres años frente al +12,2 % del FTSE [16]. Del máximo de 13,35 GBP de febrero de 2025 bajó a 7,72 GBP el 24-feb-2026 (−42 %), sobre todo por la venta de todo el software tras las herramientas de IA de Anthropic del 3-feb-2026 (−9,8 % ese día) [13, 16]. Desde entonces ha recuperado un 39 %, un 10 % solo desde el cierre de septiembre (9,71 GBP) con el rebote del software. La beta es baja frente al FTSE (0,37 mensual, 0,73 semanal), pero la volatilidad de un año es del 33,7 %, alta para un negocio recurrente: el riesgo hoy es de múltiplo, no de resultados.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Sage ha cotizado a 25-31 veces el beneficio del año siguiente en los últimos ocho años (mediana de cinco años 28,2x) y hoy cotiza a 21,4x nuestro BPA de FY2027: un 24 % por debajo de su historia. El descuento no viene de las cifras, que mejoran (crecimiento orgánico del 10 % frente al 4-6 % de 2019-2022), sino de dos cosas: los tipos (gilt al 5,39 % frente al 1-3 % de 2016-2022) y el miedo a la IA en el software para pymes. La primera es estructural mientras duren los tipos; la segunda puede corregirse si las cifras siguen sin mostrar el daño. No suponemos la vuelta entera a la mediana: la regla solo recorre la mitad del camino con un tope del 10 %.</w:t>
      </w:r>
    </w:p>
    <w:p>
      <w:pPr>
        <w:pStyle w:val="Heading1"/>
      </w:pPr>
      <w:r>
        <w:t xml:space="preserve">18. Comparables cotizados</w:t>
      </w:r>
    </w:p>
    <w:p>
      <w:pPr>
        <w:pStyle w:val="Confianza"/>
        <w:spacing w:after="100"/>
      </w:pPr>
      <w:r>
        <w:t xml:space="preserve">Confianza: Media</w:t>
      </w:r>
    </w:p>
    <w:p>
      <w:pPr>
        <w:spacing w:after="100"/>
      </w:pPr>
      <w:r>
        <w:t xml:space="preserve">Software de gestión para empresas con ingresos recurrentes y márgenes parecidos: Intuit (contabilidad de pymes en EE. UU., el rival más directo), Paychex (nómina de pymes), SAP (ERP), Nemetschek, Atoss y Dassault (software europeo de calidad), Constellation y Roper (software vertical comprado en serie). Fuera Xero (no conseguimos sus cifras con fuente fiable), Microsoft y Oracle (plataformas cuyo múltiplo depende de la nube y la IA). Múltiplos de informes del repositorio de 7-14 de octubre, en su propia base de BPA (casi todos ajustados), convertidos a GBP.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Atoss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Roper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 / 12,8x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14,8x / 16,8x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 / 22,0x / 24,8x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5,6x / 6,2x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11,4 + 0,19 × crecimiento; R² = 0,11. El crecimiento explica poco los múltiplos de estos comparables (R² &lt; 0,3): la regresión no se usa en la valoración.</w:t>
      </w:r>
    </w:p>
    <w:p>
      <w:pPr>
        <w:spacing w:after="100"/>
      </w:pPr>
      <w:r>
        <w:t xml:space="preserve">Sage cotiza a 15,7 veces el EBITDA de los próximos 12 meses y a 20,4 veces el beneficio, en la zona media del grupo: por encima de Intuit (14,5x de PER, castigada por lo mismo), Paychex y Roper (18,3x), y por debajo de SAP (24,2x), Atoss (23,7x) y Nemetschek (26,7x), que crecen igual o más y tienen menos deuda. La mediana del PER de los comparables es de 22,1x. Por PER, el valor implícito es de 11,60 GBP (9,63-13,06); por EV/EBITDA, unos 8,35 GBP, porque Sage tiene 2,3 veces deuda neta sobre EBITDA y los demás casi ninguna. El descuento frente a SAP se justifica por el riesgo de IA en la parte de pequeñas empresas y la deuda; el de Intuit indica que el mercado castiga igual a toda la contabilidad de pymes.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+9,8 % (fijo): nueve meses con +11 % subyacente y 2.062 M de ingresos, guía orgánica de más del 9 % y divisa neutra [4]. Después 9,0 %, 8,5 %, 7,5 %, 6,5 %, 5,0 % y 4,0 % en FY2032e: el ARR crece un 11 % [3], pero suponemos que el empuje de Intacct y de la migración a la nube se va agotando y que la IA limita las subidas de precio. El crecimiento medio de la proyección (6,8 % en los años no fijos) está por debajo del 8,0 % anual de FY2021-FY2025 y del consenso (9,2 % en FY2027 y 9,0 % en FY2028) [17].</w:t>
      </w:r>
    </w:p>
    <w:p>
      <w:pPr>
        <w:keepNext/>
        <w:spacing w:after="100"/>
      </w:pPr>
      <w:r>
        <w:rPr>
          <w:b/>
          <w:bCs/>
        </w:rPr>
        <w:t xml:space="preserve">Márgenes.</w:t>
      </w:r>
    </w:p>
    <w:p>
      <w:pPr>
        <w:spacing w:after="100"/>
      </w:pPr>
      <w:r>
        <w:t xml:space="preserve">Margen EBITDA publicado (EBIT más toda la amortización, con pagos en acciones y gastos de compras dentro) del 24,7 % en FY2025; 25,4 % en FY2026e (el 1S26 dio 24,9 % y el margen operativo publicado subió un punto) y subida gradual hasta el 27,5 % en FY2031e. Es la mitad de la expansión que pide el consenso: su EBIT subyacente de FY2028 (842,5 M) implica un 25,6 % de margen operativo frente al 23,9 % de hoy [3, 17]. La IA abarata los costes propios (programación y atención), pero parte del ahorro se reinvierte.</w:t>
      </w:r>
    </w:p>
    <w:p>
      <w:pPr>
        <w:keepNext/>
        <w:spacing w:after="100"/>
      </w:pPr>
      <w:r>
        <w:rPr>
          <w:b/>
          <w:bCs/>
        </w:rPr>
        <w:t xml:space="preserve">Inversión y circulante.</w:t>
      </w:r>
    </w:p>
    <w:p>
      <w:pPr>
        <w:spacing w:after="100"/>
      </w:pPr>
      <w:r>
        <w:t xml:space="preserve">Capex del 3,0 % de las ventas: inmovilizado e intangibles (2,3 % en FY2025, más alto por las oficinas) y altas de derechos de uso (≈0,7 %) [1]. Amortización del 3,4 % bajando al 3,0 %: la de intangibles de compras (42 M) se va apagando. Circulante comercial del 1,5 % sin ingresos diferidos (conservador). Impuesto del 25 % (tipo británico; efectivo del 24 % en FY2025) [1].</w:t>
      </w:r>
    </w:p>
    <w:p>
      <w:pPr>
        <w:keepNext/>
        <w:spacing w:after="100"/>
      </w:pPr>
      <w:r>
        <w:rPr>
          <w:b/>
          <w:bCs/>
        </w:rPr>
        <w:t xml:space="preserve">Coste del capital.</w:t>
      </w:r>
    </w:p>
    <w:p>
      <w:pPr>
        <w:spacing w:after="100"/>
      </w:pPr>
      <w:r>
        <w:t xml:space="preserve">Tasa libre del 5,39 % (gilt a 10 años del 12-oct-2026) [20]; beta de 0,85 (la mensual de 5 años frente al FTSE es 0,37 y la semanal 0,73, ajustada 0,82; subimos hacia el software, que se mueve más que el FTSE) [16]; prima del 5,5 %; coste de la deuda del 4,5 % antes de impuestos (bonos en euros al 3,82 % y en libras al 1,6-5,6 %) [3]; un 17 % de deuda a valor de mercado. WACC del 8,93 % y coste de los fondos propios del 10,07 %. Con la prima implícita del mercado (4,2 %) el WACC baja al 8,01 % [21].</w:t>
      </w:r>
    </w:p>
    <w:p>
      <w:pPr>
        <w:keepNext/>
        <w:spacing w:after="100"/>
      </w:pPr>
      <w:r>
        <w:rPr>
          <w:b/>
          <w:bCs/>
        </w:rPr>
        <w:t xml:space="preserve">Valor terminal.</w:t>
      </w:r>
    </w:p>
    <w:p>
      <w:pPr>
        <w:spacing w:after="100"/>
      </w:pPr>
      <w:r>
        <w:t xml:space="preserve">Gordon con un 3,0 % de crecimiento: inflación esperada en libras de ≈2-2,5 % más un punto real, por debajo de la tasa libre menos medio punto. El valor terminal es el 73 % del total. A modo de control, un múltiplo de salida de 15 veces el EBITDA es el de la mediana de los comparables de software de calidad (Paychex 12,3x, Dassault 11,9x, SAP 15,1x, Nemetschek 19,2x) [22, 23].</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(reinvierte el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 (histórico: 27,5 %)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frente al 7,2 %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-7 M, con un capex bruto medio del 3,0 % de las ventas). En un negocio de activos ligeros, el crecimiento medio del 7,2 %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ARR nuevo de clientes nuevos de 200 M (≈8 % del ARR de apertura) menos bajas; precio y ventas adicionales: renovación por valor del 102 % [3]; Criterion aporta ≈0,5 puntos [3]. Nueve meses conocidos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FY2026 con algo menos de precio: suponemos que la IA y la competencia limitan las subidas de tarifa al 4 %.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Intacct sigue creciendo por encima del 20 % pero pesa más en una base mayor; la migración de Sage 50 a la nube aporta precio.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 aportación de la migración a la nube (penetración de suscripción cerca del 90 %).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del mercado de ERP (≈7 %) [11].</w:t>
            </w:r>
          </w:p>
        </w:tc>
      </w:tr>
    </w:tbl>
    <w:p>
      <w:pPr>
        <w:spacing w:after="160" w:before="0"/>
      </w:pPr>
    </w:p>
    <w:p>
      <w:pPr>
        <w:spacing w:after="100"/>
      </w:pPr>
      <w:r>
        <w:t xml:space="preserve">La proyección no necesita capital: la reinversión neta es casi nula y el ROIC del 21,5 % (con fondo de comercio) financia de sobra un crecimiento medio del 7,2 %; el motor no ve fallos y da «Sí». La prueba real es de precio y de volumen, y ahí lo damos solo «En parte». El volumen está respaldado (200 M de ARR nuevo de clientes nuevos al año y renovación del 102 %) [3], pero cerca de la mitad del crecimiento proyectado es precio y ventas adicionales a la base, y una parte de la base (pequeñas empresas con Sage Accounting, Sage 50 y nómina, ≈30-35 % de las ventas, estimación propia) es la más expuesta a que la IA y los bancos ofrezcan contabilidad simple más barata [11]. El foso (costes de cambio, normativa por país, asesorías) es estrecho. No rebajamos el base porque ninguna prueba numérica falla y ya proyectamos menos que el consenso.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(base: 6,8 %)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29,5 % (base: 27,5 %)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8,9 %)</w:t>
            </w:r>
          </w:p>
        </w:tc>
      </w:tr>
    </w:tbl>
    <w:p>
      <w:pPr>
        <w:spacing w:after="160" w:before="0"/>
      </w:pPr>
    </w:p>
    <w:p>
      <w:pPr>
        <w:spacing w:after="100"/>
      </w:pPr>
      <w:r>
        <w:t xml:space="preserve">El DCF da 9,78 GBP por acción, un 8,9 % por debajo del precio, con el valor terminal en el 73 % del total. El DCF inverso dice que a 10,73 GBP el mercado descuenta un crecimiento del 8,3 % anual en FY2027-FY2032 (frente al 6,8 % de nuestro base en esos años) o un margen EBITDA del 29,5 % en vez del 27,5 %; la rentabilidad implícita es del 8,5 %, algo por debajo de nuestro WACC del 8,93 %. No es exigente para una empresa que crece hoy al 10-11 %: es nuestra proyección con un punto y medio más de crecimiento, lo que sería mantener el ritmo de Intacct dos o tres años más. Con la prima implícita del mercado el DCF sube a 11,94 GBP. La conclusión: el precio está cerca del valor, con una diferencia que depende de la tasa de descuento (gilt al 5,39 %) más que de las cifras; el margen de seguridad no existe.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convierte la contabilidad simple en una función gratuita de bancos y agentes: Sage pierde altas de pequeñas empresas y deja de poder subir precios. El crecimiento baja 4 puntos (≈5 % de media) y el margen 2,5 puntos; es lo que le pasó al software de licencias en 2009 y lo que el mercado descontó en febrero de 2026 (7,72 GBP).</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Intacct y la migración a la nube mantienen el crecimiento cerca del 9 % dos años y lo bajan al 4 % en FY2032; el margen EBITDA publicado sube del 24,7 % al 27,5 %. La IA es neutra: lo que quita en precio en pequeñas empresas lo aportan los módulos.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se cobran como módulos y la renovación sube al 103-104 %: crecimiento 1,5 puntos mayor y margen un punto más alto, cerca de lo que ya espera el consenso.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GBP) · precio actual 10,7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9,00 GBP (-16,1 %).</w:t>
      </w:r>
    </w:p>
    <w:p>
      <w:pPr>
        <w:spacing w:after="100"/>
      </w:pPr>
      <w:r>
        <w:t xml:space="preserve">La asimetría es mala en valor intrínseco: el bajista vale 5,25 GBP (−51,1 %) y el alcista 11,19 (+4,3 %), porque con un WACC del 8,93 % y un terminal del 2 % el bajista pierde mucho valor terminal. A 12 meses, con la regla de múltiplos, es la contraria: el bajista da 8,57 GBP (−18 %) y el alcista 17,44 (+64,6 %), asimetría de 3,11. La diferencia es la tesis: el mercado paga hoy un múltiplo deprimido (21,4x) que puede rebotar, pero nuestro coste de capital no justifica el precio a largo plazo salvo que el crecimiento se mantenga por encima del 8 %.</w:t>
      </w:r>
    </w:p>
    <w:p>
      <w:pPr>
        <w:pStyle w:val="Heading1"/>
      </w:pPr>
      <w:r>
        <w:t xml:space="preserve">22. Suma de partes</w:t>
      </w:r>
    </w:p>
    <w:p>
      <w:pPr>
        <w:pStyle w:val="Confianza"/>
        <w:spacing w:after="100"/>
      </w:pPr>
      <w:r>
        <w:t xml:space="preserve">Confianza: Media</w:t>
      </w:r>
    </w:p>
    <w:p>
      <w:pPr>
        <w:spacing w:after="100"/>
      </w:pPr>
      <w:r>
        <w:t xml:space="preserve">No aplica: las tres regiones venden los mismos productos (Intacct, Sage 50, Sage 200, X3, nómina) sobre la misma plataforma, con márgenes parecidos (20-25 % de EBIT subyacente), y no hay comparables puros por región.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GBP) · precio actual 10,7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9,51 GBP (-11,4 % sobre 10,73).</w:t>
      </w:r>
    </w:p>
    <w:p>
      <w:pPr>
        <w:spacing w:after="100"/>
      </w:pPr>
      <w:r>
        <w:t xml:space="preserve">El DCF y los escenarios pesan un 40 % cada uno porque Sage es un negocio de suscripción predecible en el que el valor depende del crecimiento y del margen a largo plazo; los comparables un 20 %, porque la muestra mezcla modelos y bases de BPA y la deuda de Sage hace que EV/EBITDA y PER den cifras muy distintas (8,35 frente a 11,60). Las transacciones no pesan: no hay operaciones comparables con múltiplo publicado. El valor intrínseco es de 9,51 GBP, un 11,4 % por debajo del precio; con la prima implícita del mercado, 11,15 GBP (+3,9 %). La dispersión es amplia (5,25-13,06): Sage vale lo que cuesta si el mercado acepta un coste de capital del 8 %, y menos con el nuestro.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(21.4x) × 1.1 (tope: la mediana de 5 años, 28.2x,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r>
    </w:tbl>
    <w:p>
      <w:pPr>
        <w:spacing w:after="160" w:before="0"/>
      </w:pPr>
    </w:p>
    <w:p>
      <w:pPr>
        <w:spacing w:after="100"/>
      </w:pPr>
      <w:r>
        <w:rPr>
          <w:b/>
          <w:bCs/>
        </w:rPr>
        <w:t xml:space="preserve">Objetivo a 12 meses (ponderado):</w:t>
      </w:r>
      <w:r>
        <w:t xml:space="preserve"> 13,18 GBP · rentabilidad +24,9 % (base +26,5 %) · señal Mantener.</w:t>
      </w:r>
    </w:p>
    <w:p>
      <w:pPr>
        <w:spacing w:after="100"/>
      </w:pPr>
      <w:r>
        <w:t xml:space="preserve">Para comparar, con la regla v2 (historia al cierre, mismo precio): 18,2x / 21,4x / 27,8x, 17,9 % Mantener; con el tope anterior del base (×1,3, 14-oct mediodía): 28,7 %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FY2028 (56,8 peniques) está un 6 % por debajo del consenso (60,5) [17]: proyectamos menos margen (26,6 % de EBITDA publicado) y ninguna recompra que no esté anunciada (917 M de acciones), mientras el consenso supone que siguen. Nuestro precio base (13,35 GBP) queda un 16,8 % por encima del objetivo medio de los analistas (11,43): la regla aplica 23,5 veces, el PER actual con un 10 % de vuelta hacia su historia, y los analistas valoran a 12 meses con el BPA de FY2027 y no el de FY2028. No acercamos la cifra: el múltiplo es el de la regla común.</w:t>
      </w:r>
    </w:p>
    <w:p>
      <w:pPr>
        <w:keepNext/>
        <w:spacing w:after="100"/>
      </w:pPr>
      <w:r>
        <w:rPr>
          <w:b/>
          <w:bCs/>
        </w:rPr>
        <w:t xml:space="preserve">Del valor intrínseco al objetivo a 12 meses.</w:t>
      </w:r>
    </w:p>
    <w:p>
      <w:pPr>
        <w:spacing w:after="100"/>
      </w:pPr>
      <w:r>
        <w:t xml:space="preserve">El objetivo a 12 meses (13,18 GBP ponderado) queda un 39 % por encima del valor intrínseco (9,51 GBP): la regla da por hecho que el mercado seguirá pagando unas 23 veces el beneficio de FY2028, mientras nuestro DCF, con el gilt al 5,39 %, no justifica ni el precio de hoy. Las dos lecturas no se contradicen: a 12 meses la acción puede subir si FY2026 (19-nov) confirma el 10 % y el margen, pero a varios años solo rinde su coste de capital si el crecimiento se mantiene por encima del 8 %. Cerrarían la distancia una bajada de los tipos británicos (con el WACC del mercado el DCF sube a 11,94) o dos años más de crecimiento de dos cifras.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el 10 % orgánico y el margen; la guía de FY2027 (¿«9 % o más» o «10 %»?) mueve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recompra nueva con los resultados (habitual cada noviembre)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BPA, pero con la deuda neta en 2,0 veces el EBITDA el importe será menor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1T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crecimiento tras un año entero de agentes de IA de terceros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remuneraciones y renovación de la autorización de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agentes contables de los grandes modelos de IA y de bancos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Pueden repetir la caída de febrero de 2026 (−9,8 % en un día) sin cambio en las cifras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Factura electrónica obligatoria en Francia y en la UE (ViDA)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 software certificado en Europa (26 %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la contabilidad simple de pequeñas empresas (agentes genéricos, bancos, nativas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−46 % (bajista del motor: 5,25 GBP)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auditable, normativa fiscal y de nómina por país, red de asesorías; Sage vende sus propios agentes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por valor por debajo del 100 % o ARR nuevo de clientes nuevos por debajo de 180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las subidas de precio por presión competitiva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−10-15 % (−1 punto de crecimiento en toda la proyección)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Módulos de IA y pagos que justifican subir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por debajo del 8 % con volumen estable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adicional del múltiplo por tipos (gilt por encima del 5,5 %)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WACC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en dólares y euros; caja libre del 5 % del valor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Gilt a 10 años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recompras: deuda neta en el techo de la política (2,0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(menos recompras, más coste financiero)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BBB+ estable, vencimientos desde 2028, 1.148 M de liquidez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sobre EBITDA subyacente por encima de 2,2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NetSuite y Dynamics en empresas medianas (Intacct)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Enfoque vertical (sin ánimo de lucro, construcción, servicios financieros) y canal de asesorías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Intacct en EE. UU. por debajo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Ciberataque o fallo de datos financieros y de nómina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−10-20 % (multas del RGPD y bajas)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en seguridad y nube de AWS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 comunicado al regulador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consejero delegado (ocho años en el cargo, doce en el grupo)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nueva de la casa; consejo independiente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salida sin sucesor interno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el 45 % de las ventas es en dólares y la libra no se cubre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por cada 10 % de subida de la libra frente al dólar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GBP/USD por encima de 1,45</w:t>
            </w:r>
          </w:p>
        </w:tc>
      </w:tr>
    </w:tbl>
    <w:p>
      <w:pPr>
        <w:spacing w:after="160" w:before="0"/>
      </w:pPr>
    </w:p>
    <w:p>
      <w:pPr>
        <w:pStyle w:val="Heading2"/>
      </w:pPr>
      <w:r>
        <w:t xml:space="preserve">Pre-mortem</w:t>
      </w:r>
    </w:p>
    <w:p>
      <w:pPr>
        <w:spacing w:after="100"/>
      </w:pPr>
      <w:r>
        <w:t xml:space="preserve">Es octubre de 2029 y la acción vale 6,40 GBP, un 40 % menos. Lo que pasó: en 2027 los bancos británicos y estadounidenses y las grandes plataformas de IA empezaron a regalar contabilidad y nómina básicas dentro de sus cuentas para empresas, con agentes que cuadran el banco, presentan el IVA y hacen la nómina sin intervención. Las altas de pequeñas empresas en Sage Accounting y Sage 50 se hundieron y la renovación por valor bajó del 102 % al 98 % porque Sage tuvo que dejar de subir precios. Intacct siguió creciendo, pero no lo bastante para compensar: el crecimiento orgánico cayó al 4 % en FY2028 y el margen dejó de subir, porque Sage gastó en agentes propios que no consiguió cobrar aparte. Con la deuda en dos veces el EBITDA, las recompras pararon y el mercado volvió a pagar 15 veces el beneficio, el múltiplo de un software sin crecimiento. El indicador que lo habría anticipado: el ARR nuevo de clientes nuevos (200 M en el 1S26) y la renovación por valor, que la empresa publica cada semestre; la primera caída por debajo del 100 % era la señal.</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−15 % a 3-5 años en nuestra estimación ponderada (bajista del motor −51 %; alcista +4 %)</w:t>
      </w:r>
    </w:p>
    <w:p>
      <w:pPr>
        <w:spacing w:after="100"/>
      </w:pPr>
      <w:r>
        <w:t xml:space="preserve">La IA toca el centro del negocio. Amenaza: la contabilidad simple y la nómina de pequeñas empresas (estimación propia ≈30-35 % de las ventas: Sage Accounting, parte de Sage 50, Payroll y HR) es justo lo que un agente genérico o el banco de la pyme pueden hacer gratis, y la mitad del crecimiento de Sage es precio. Menos expuesto: el ERP para medianas (Intacct, X3, Sage 200, ≈65 %), sistemas de registro auditables con normativa, consolidación y datos de años. Oportunidad: Sage vende Copilot y agentes de cobros, pagos y cierre sobre sus datos, y usa la IA para abaratar su propia programación y atención [3]. Hoy las cifras no muestran daño (orgánico del 10 %, renovación del 102 %). Señal de alarma: renovación por valor por debajo del 100 % o ARR nuevo de clientes nuevos que baja dos semestres seguidos.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r>
    </w:tbl>
    <w:p>
      <w:pPr>
        <w:spacing w:after="160" w:before="0"/>
      </w:pPr>
    </w:p>
    <w:p>
      <w:pPr>
        <w:pStyle w:val="Heading2"/>
      </w:pPr>
      <w:r>
        <w:t xml:space="preserve">Asuntos materiales</w:t>
      </w:r>
    </w:p>
    <w:p>
      <w:pPr>
        <w:spacing w:after="100"/>
      </w:pPr>
      <w:r>
        <w:t xml:space="preserve">Los asuntos ESG que mueven las cifras son tres: la seguridad y la privacidad de los datos financieros y de nómina de millones de pymes (un fallo grave costaría clientes y multas del RGPD de hasta el 4 % de las ventas), el uso responsable de la IA con datos de clientes (Ley de IA de la UE) y la retención de ingenieros. Las emisiones son pequeñas (oficinas y nube) y el objetivo es reducirlas a la mitad en 2030 frente a 2019 [2, 3].</w:t>
      </w:r>
    </w:p>
    <w:p>
      <w:pPr>
        <w:pStyle w:val="Heading2"/>
      </w:pPr>
      <w:r>
        <w:t xml:space="preserve">Controversias</w:t>
      </w:r>
    </w:p>
    <w:p>
      <w:pPr>
        <w:spacing w:after="100"/>
      </w:pPr>
      <w:r>
        <w:t xml:space="preserve">No encontramos sanciones ni litigios relevantes en los últimos tres años en los RNS ni en el informe anual 2025; la única partida fue una regularización de cotizaciones de nómina en Francia (9 M GBP en FY2023, revertida en parte en FY2024)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renovación del 102 % es subida de tarifa y qué parte módulos nuevos, y cómo ha variado la renovación en pequeñas empresas frente a medianas?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 nuestro crecimiento es precio; es lo que la IA puede quitar primero.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altas de pequeñas empresas vienen de los bancos y fintechs con los que Sage se integra, y qué pasa si esos bancos lanzan su propio agente contable?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canal que hoy trae volumen puede convertirse en competidor.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Monetización de la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facturan ya los agentes y Copilot por separado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oportunidad (alcista) o solo coste defensivo.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subyacente espera la dirección a medio plazo y cuánto del ahorro de la IA en programación y atención se reinvierte?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supone 1,7 puntos más que hoy en FY2028; nosotros la mitad.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¿Seguirán las recompras con la deuda neta en 2,0 veces el EBITDA, o la prioridad pasa a desapalancar?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BPA incluye recompras que nosotros 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Intacct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retención neta de Intacct y su pérdida de clientes frente a NetSuite y Dynamics?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Intacct sostiene el crecimiento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del consejero delegado con candidatos internos?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Ocho años en el cargo y sin sucesor público.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UK (artículos y comentarios de columnistas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Doce artículos entre junio y septiembre; la mayoría alcistas: «ganador y no perdedor de la IA», «dividendo creciente», caída del 31-33 % como oportunidad. El 14-sep la acción subió un 6,3 % con el rebote del software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(análisis y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vuelta de Fundsmith a Sage en el 1S26 se lee como señal de calidad a buen precio, junto con otras compras de software [25].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MarketScreener (cambios de recomendación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AlphaValue pasó a «reducir» en agosto y a «añadir» en septiembre; Investec mantiene con objetivo recortado (jun); Peel Hunt y Shore Capital subieron a comprar en mayo y febrero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de inversión para particulares (compras de consejeros)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Fuera de la ventana de tres meses, pero marca el suelo del debate: el miedo a que la IA quite poder de precios contra las compras de dos consejeros a 8,09-8,64 GBP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 come la IA la contabilidad de las pymes?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lo muestran todavía: crecimiento orgánico del 10 % y renovación por valor del 102 % en 2026, con ARR nuevo de clientes nuevos de 200 M. El riesgo es a 3-5 años, no del trimestre.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Ciertas: 1.205 M de recompras en 18 meses, pero con la deuda neta ya en 2,0 veces el EBITDA subyacente, el ritmo no puede repetirse sin más deuda.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Fundsmith y de consejeros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calidad, no de precio: las compras fueron a 8,1-8,6 GBP, un 20-25 % por debajo de hoy.</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Rebote desde mínimos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subió un 39 % desde el mínimo de febrero (771,66 peniques) y un 10 % desde el cierre de septiembre: parte del descuento ya se ha cerrado.</w:t>
            </w:r>
          </w:p>
        </w:tc>
      </w:tr>
    </w:tbl>
    <w:p>
      <w:pPr>
        <w:spacing w:after="160" w:before="0"/>
      </w:pPr>
    </w:p>
    <w:p>
      <w:pPr>
        <w:spacing w:after="100"/>
      </w:pPr>
      <w:r>
        <w:t xml:space="preserve">El sentimiento ha pasado del pánico de febrero a un optimismo prudente: los columnistas para particulares ven a Sage como «ganadora de la IA» y la vuelta de Fundsmith refuerza la idea de calidad a buen precio [24, 25]. No es extremo ni contradice al consenso (19 analistas, Comprar de media). Lo útil es que el debate se ha quedado en una sola pregunta, la IA, y que las cifras de 2026 (10 % orgánico, renovación del 102 %) todavía no muestran daño: el riesgo es que el mercado vuelva a castigar en bloque al software ante cualquier novedad de los modelos, como el 3-feb, sin relación con los resultados. No cambia la valoración.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25 (13 primarias); citas distintas en el texto: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1,5 % frente a 1,5 % real: genera una variación de circulante de 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Con ocho comparables de modelos distintos (nómina, ERP, diseño, compradores en serie) el crecimiento no explica el múltiplo; no usamos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FY2021-FY2022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FY2022 (segmentación anterior: Norteamérica, Norte de Europa, Centro y Sur de Europa e Internacional); 2) informe anual 2025 (solo FY2024-FY2025); 3) RNS FY2024 (FY2023 reexpresado)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intangibles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(no etiquetado en el mapa); 2) balances de los RNS; 3) informe anual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nicho de software contable para pymes y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da tamaño de mercado); 2) ficha sectorial del repo (solo ERP total, CRM y vertical); 3) búsqueda de Gartner/IDC (sin cifra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cuotas de mercado e ingresos de Xero, NetSuite y Dynamics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Sage (no da cuotas); 2) MarketScreener de Xero (la página devolvió otra empresa); 3) ficha sectorial (sin cuotas de pymes)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exacto del voto de remuneraciones en las tres últimas juntas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«más del 80 % a favor» en todas las propuestas); 2) resultado de la junta de feb-2026 en investegate (no encontrado); 3)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accionarial de los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(tabla de participaciones ilegible en el texto extraído); 2) RNS de operaciones; 3)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Sage (sus compras no publican múltiplos: Intacct, Brightpearl, Lockstep, Criterion); 2) informes del repo de Intuit y SAP (sin operaciones de software contable para pymes con múltiplo); 3) búsqueda de Xero-Melio e Intuit-Mailchimp (sin documento oficial con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(comprar, mantener, 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«Comprar» de media); 2) web de Sage (403); 3)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FCA (registro de cortos sin posiciones públicas ≥ 0,5 % en la búsqueda); 2) Investegate «UK Short Positions» (no consultado por tiempo);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con debate directo (LSE Chat, ADVFN,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LSE Chat (403 según lecciones); 2) búsqueda de hilos de foros de septiembre-octubre (sin resultados); 3) índices de Motley Fool e interactive investor (usados)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Results for the year ended 30 September 2025 (audited), RNS 0746I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Sage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https://data.fca.org.uk/artefacts/NSM/RNS/3331551a-5060-4fad-88d1-730e3d45176b.html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2025 (ESEF, xhtml)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Sage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https://filings.xbrl.org/2138005RN5XYLTF8G138/2025-09-30/ESEF/GB/0/2138005RN5XYLTF8G138-2025-09-30/reports/2138005RN5XYLTF8G138-2025-09-30-T01.xhtml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six months to 31 March 2026 (unaudited), RNS 1676F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https://data.fca.org.uk/artefacts/NSM/RNS/3eb4885b-7af6-48bc-b314-aad22e14d785.html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for the nine months ended 30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https://www.investegate.co.uk/announcement/rns/sage-group--sge/trading-update-for-nine-months-ended-30-june-2026/9692278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year ended 30 September 2024 (audited), RNS 8753M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https://data.fca.org.uk/artefacts/NSM/RNS/5436201.html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year ended 30 September 2022 (audited), RNS 5296G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https://data.fca.org.uk/artefacts/NSM/RNS/4580613.html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Audited results for the year ended 30 September 2021, RNS 6030S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https://data.fca.org.uk/artefacts/NSM/RNS/4180346.html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Audited results for the year ended 30 September 2018, RNS 9691H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https://data.fca.org.uk/artefacts/NSM/data-migration/LSE20181121070005_13874323.html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2022-2025 en xBRL-JSON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repositorio ESEF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https://filings.xbrl.org/2138005RN5XYLTF8G138/2025-09-30/ESEF/GB/0/2138005RN5XYLTF8G138-2025-09-30-T01.json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a 28-ago-2026 (959,08 M emitidas; 53,69 M en autocartera; 6,76 M en el EBT; 905,39 M con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https://www.investegate.co.uk/announcement/rns/sage-group--sge/total-voting-rights/9745983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software de aplicaciones (vertical y empresarial), con el mapa del riesgo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 (sectores/software-2026-10-14.md)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sectores/software-2026-10-14.md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Intuit (10-oct-2026): ingresos, margen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 (informes/intuit-2026-10-10)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informes/intuit-2026-10-10/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FTSE 100 directors spot bargains after AI sell-off (Sage, opiniones de UBS y Deutsche 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https://www.ii.co.uk/analysis-commentary/insider-ftse-100-directors-spot-bargains-after-ai-sell-ii538138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CFO transition at Sage as Howell prepares to exit (Jacqui Cartin, directora financiera desde el 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https://the-cfo.io/2025/03/27/cfo-transition-at-sage-as-howell-prepares-to-exit/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venta de 75.000 acciones del director de tecnología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 (RNS vía lse.co.uk)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https://www.lse.co.uk/rns/SGE/directorpdmr-shareholding-eyhs2hifion617d.html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SGE.L, ^FTSE y EXV3.DE (precio de cierre del 14-oct-2026: 1.073 peniques; cierres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https://finance.yahoo.com/quote/SGE.L/history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Sage Group plc: previsiones anuales FY2025-FY2028 (ingresos, EBITDA, EBIT, beneficio, BPA, dividendo,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https://www.marketscreener.com/quote/stock/SAGE-GROUP-PLC-13421569/finances/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Sage Group plc: consenso (19 analistas, Comprar; objetivo medio 11,43 GBP, mínimo 8,50, máximo 14,00; último cierre 10,73)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https://www.marketscreener.com/quote/stock/SAGE-GROUP-PLC-13421569/consensus/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 (USD 1,1195; GBP 0,84385)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gilt a 10 años (IUDMNPY), 12-oct-2026: 5,39 % (tomado del informe de LSEG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software del 14-oct-2026 (Intuit, Constellation, Roper;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 (sectores/software-2026-10-14-comparables.json)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sectores/software-2026-10-14-comparables.json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value de SAP (11-oct), Nemetschek (10-oct), Atoss (11-oct), Dassault (7-oct) y Paychex (12-oct): múltiplos calculados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Índice de artículos sobre LSE:SGE (jun-sep 2026): «Prediction: this FTSE 100 stock will be an AI winner, not a loser» (29-sep), «Here's why Sage, LSEG and RELX are charging higher today» (14-sep) y otros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https://www.twelfthmagpie.com/tickers/lse-sge/page/1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Terry Smith's overhaul: what's behind it and what's changed? (Fundsmith vuelve a comprar Sage)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https://www-warranty.ii.co.uk/analysis-commentary/terry-smiths-overhaul-whats-behind-it-and-whats-changed-ii539821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85,6 %</w:t>
      </w:r>
      <w:r>
        <w:t xml:space="preserve"> · Secciones con menos del 60 % de campos cubiertos: </w:t>
      </w:r>
      <w:r>
        <w:rPr>
          <w:b/>
          <w:bCs/>
        </w:rPr>
        <w:t xml:space="preserve">transacciones</w:t>
      </w:r>
      <w:r>
        <w:t xml:space="preserve"> · Generado el 15 oct 2026.</w:t>
      </w:r>
    </w:p>
    <w:p>
      <w:pPr>
        <w:pStyle w:val="Nota"/>
        <w:spacing w:after="100"/>
      </w:pPr>
      <w:r>
        <w:t xml:space="preserve">Línea cotizada: The Sage Group plc en la Bolsa de Londres (SGE), que cotiza en peniques; todo el informe va en GBP (1.073 peniques = 10,73 GBP; una acción ≈ 12,72 EUR al tipo del BCE del 14-oct-2026). Precio: cierre del 14-oct-2026 (la sesión del 15-oct no había cerrado al hacer el informe; Yahoo devolvía la fila del 14-oct vacía en la segunda descarga y el cierre de 10,73 GBP se confirma con MarketScreener). El ejercicio cierra el 30 de septiembre: FY2026 terminó el 30-sep-2026 pero sus cuentas se publican el 19-nov-2026, así que el último ejercicio real es FY2025 y FY2026e va fijo con nueve meses conocidos. Cuentas FY2021-FY2025 del XBRL del repositorio ESEF comprobadas con los RNS de resultados; la deuda del XBRL incluía los arrendamientos y se ha separado. Segmentos solo FY2023-FY2025 (cambio de segmentación). Los ingresos diferidos (850 M en FY2025) no entran en el circulante del DCF: es conservador (deja fuera unos 25-50 M al año de caja que libera el crecimiento). Comparables tomados de informes del repositorio de 7-14 de octubre, en su base de BPA (mayoría ajustada) y convertidos a GBP con el BCE del 14-oct.</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The Sage Group plc (SGE)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10,73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(7,72 – 11,81)</c:v>
                </c:pt>
                <c:pt idx="1">
                  <c:v>Precio objetivo de los analistas (8,50 – 14,00)</c:v>
                </c:pt>
                <c:pt idx="2">
                  <c:v>Comparables: EV/EBITDA NTM (7,91 – 9,76)</c:v>
                </c:pt>
                <c:pt idx="3">
                  <c:v>Comparables: PER NTM (9,63 – 13,06)</c:v>
                </c:pt>
                <c:pt idx="4">
                  <c:v>DCF (WACC y g ± 0,5) (8,28 – 11,89)</c:v>
                </c:pt>
                <c:pt idx="5">
                  <c:v>Escenarios (bajista – alcista) (5,25 – 11,19)</c:v>
                </c:pt>
                <c:pt idx="6">
                  <c:v>DCF con la prima implícita del mercado (4,2 %)</c:v>
                </c:pt>
                <c:pt idx="7">
                  <c:v>Precio actual (10,73)</c:v>
                </c:pt>
              </c:strCache>
            </c:strRef>
          </c:cat>
          <c:val>
            <c:numRef>
              <c:f>Hoja1!$B$2:$B$9</c:f>
              <c:numCache>
                <c:formatCode>#,##0.0</c:formatCode>
                <c:ptCount val="8"/>
                <c:pt idx="0">
                  <c:v>7.72</c:v>
                </c:pt>
                <c:pt idx="1">
                  <c:v>8.5</c:v>
                </c:pt>
                <c:pt idx="2">
                  <c:v>7.91</c:v>
                </c:pt>
                <c:pt idx="3">
                  <c:v>9.63</c:v>
                </c:pt>
                <c:pt idx="4">
                  <c:v>8.28</c:v>
                </c:pt>
                <c:pt idx="5">
                  <c:v>5.25</c:v>
                </c:pt>
                <c:pt idx="6">
                  <c:v>10.67</c:v>
                </c:pt>
                <c:pt idx="7">
                  <c:v>10.68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(7,72 – 11,81)</c:v>
                </c:pt>
                <c:pt idx="1">
                  <c:v>Precio objetivo de los analistas (8,50 – 14,00)</c:v>
                </c:pt>
                <c:pt idx="2">
                  <c:v>Comparables: EV/EBITDA NTM (7,91 – 9,76)</c:v>
                </c:pt>
                <c:pt idx="3">
                  <c:v>Comparables: PER NTM (9,63 – 13,06)</c:v>
                </c:pt>
                <c:pt idx="4">
                  <c:v>DCF (WACC y g ± 0,5) (8,28 – 11,89)</c:v>
                </c:pt>
                <c:pt idx="5">
                  <c:v>Escenarios (bajista – alcista) (5,25 – 11,19)</c:v>
                </c:pt>
                <c:pt idx="6">
                  <c:v>DCF con la prima implícita del mercado (4,2 %)</c:v>
                </c:pt>
                <c:pt idx="7">
                  <c:v>Precio actual (10,73)</c:v>
                </c:pt>
              </c:strCache>
            </c:strRef>
          </c:cat>
          <c:val>
            <c:numRef>
              <c:f>Hoja1!$C$2:$C$9</c:f>
              <c:numCache>
                <c:formatCode>#,##0.0</c:formatCode>
                <c:ptCount val="8"/>
                <c:pt idx="0">
                  <c:v>4.090000000000001</c:v>
                </c:pt>
                <c:pt idx="1">
                  <c:v>5.5</c:v>
                </c:pt>
                <c:pt idx="2">
                  <c:v>1.8499999999999996</c:v>
                </c:pt>
                <c:pt idx="3">
                  <c:v>3.4299999999999997</c:v>
                </c:pt>
                <c:pt idx="4">
                  <c:v>3.610000000000001</c:v>
                </c:pt>
                <c:pt idx="5">
                  <c:v>5.9399999999999995</c:v>
                </c:pt>
                <c:pt idx="6">
                  <c:v>2.8200000000000003</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Hoja1!$A$2:$A$4</c:f>
              <c:strCache>
                <c:ptCount val="3"/>
                <c:pt idx="0">
                  <c:v>FY2023</c:v>
                </c:pt>
                <c:pt idx="1">
                  <c:v>FY2024</c:v>
                </c:pt>
                <c:pt idx="2">
                  <c:v>FY2025</c:v>
                </c:pt>
              </c:strCache>
            </c:strRef>
          </c:cat>
          <c:val>
            <c:numRef>
              <c:f>Hoja1!$B$2:$B$4</c:f>
              <c:numCache>
                <c:formatCode>#,##0</c:formatCode>
                <c:ptCount val="3"/>
                <c:pt idx="0">
                  <c:v>973</c:v>
                </c:pt>
                <c:pt idx="1">
                  <c:v>1052</c:v>
                </c:pt>
                <c:pt idx="2">
                  <c:v>1138</c:v>
                </c:pt>
              </c:numCache>
            </c:numRef>
          </c:val>
        </c:ser>
        <c:ser>
          <c:idx val="1"/>
          <c:order val="1"/>
          <c:tx>
            <c:strRef>
              <c:f>Hoja1!$C$1</c:f>
              <c:strCache>
                <c:ptCount val="1"/>
                <c:pt idx="0">
                  <c:v>UKIA (Reino Unido, Irlanda, África y Asia-Pacífico)</c:v>
                </c:pt>
              </c:strCache>
            </c:strRef>
          </c:tx>
          <c:spPr>
            <a:solidFill>
              <a:srgbClr val="EB6834"/>
            </a:solidFill>
            <a:ln w="12700">
              <a:solidFill>
                <a:srgbClr val="FFFFFF"/>
              </a:solidFill>
            </a:ln>
          </c:spPr>
          <c:invertIfNegative val="0"/>
          <c:cat>
            <c:strRef>
              <c:f>Hoja1!$A$2:$A$4</c:f>
              <c:strCache>
                <c:ptCount val="3"/>
                <c:pt idx="0">
                  <c:v>FY2023</c:v>
                </c:pt>
                <c:pt idx="1">
                  <c:v>FY2024</c:v>
                </c:pt>
                <c:pt idx="2">
                  <c:v>FY2025</c:v>
                </c:pt>
              </c:strCache>
            </c:strRef>
          </c:cat>
          <c:val>
            <c:numRef>
              <c:f>Hoja1!$C$2:$C$4</c:f>
              <c:numCache>
                <c:formatCode>#,##0</c:formatCode>
                <c:ptCount val="3"/>
                <c:pt idx="0">
                  <c:v>627</c:v>
                </c:pt>
                <c:pt idx="1">
                  <c:v>670</c:v>
                </c:pt>
                <c:pt idx="2">
                  <c:v>729</c:v>
                </c:pt>
              </c:numCache>
            </c:numRef>
          </c:val>
        </c:ser>
        <c:ser>
          <c:idx val="2"/>
          <c:order val="2"/>
          <c:tx>
            <c:strRef>
              <c:f>Hoja1!$D$1</c:f>
              <c:strCache>
                <c:ptCount val="1"/>
                <c:pt idx="0">
                  <c:v>Europa</c:v>
                </c:pt>
              </c:strCache>
            </c:strRef>
          </c:tx>
          <c:spPr>
            <a:solidFill>
              <a:srgbClr val="1BAF7A"/>
            </a:solidFill>
            <a:ln w="12700">
              <a:solidFill>
                <a:srgbClr val="FFFFFF"/>
              </a:solidFill>
            </a:ln>
          </c:spPr>
          <c:invertIfNegative val="0"/>
          <c:cat>
            <c:strRef>
              <c:f>Hoja1!$A$2:$A$4</c:f>
              <c:strCache>
                <c:ptCount val="3"/>
                <c:pt idx="0">
                  <c:v>FY2023</c:v>
                </c:pt>
                <c:pt idx="1">
                  <c:v>FY2024</c:v>
                </c:pt>
                <c:pt idx="2">
                  <c:v>FY2025</c:v>
                </c:pt>
              </c:strCache>
            </c:strRef>
          </c:cat>
          <c:val>
            <c:numRef>
              <c:f>Hoja1!$D$2:$D$4</c:f>
              <c:numCache>
                <c:formatCode>#,##0</c:formatCode>
                <c:ptCount val="3"/>
                <c:pt idx="0">
                  <c:v>584</c:v>
                </c:pt>
                <c:pt idx="1">
                  <c:v>610</c:v>
                </c:pt>
                <c:pt idx="2">
                  <c:v>646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Norteamérica</c:v>
                </c:pt>
                <c:pt idx="1">
                  <c:v>UKIA (Reino Unido, Irlanda, África y Asia-Pacífico)</c:v>
                </c:pt>
                <c:pt idx="2">
                  <c:v>Europa</c:v>
                </c:pt>
              </c:strCache>
            </c:strRef>
          </c:cat>
          <c:val>
            <c:numRef>
              <c:f>Hoja1!$B$2:$B$4</c:f>
              <c:numCache>
                <c:formatCode>General</c:formatCode>
                <c:ptCount val="3"/>
                <c:pt idx="0">
                  <c:v>45.3</c:v>
                </c:pt>
                <c:pt idx="1">
                  <c:v>29</c:v>
                </c:pt>
                <c:pt idx="2">
                  <c:v>25.7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EE. UU.</c:v>
                </c:pt>
                <c:pt idx="1">
                  <c:v>Canadá</c:v>
                </c:pt>
                <c:pt idx="2">
                  <c:v>Reino Unido e Irlanda</c:v>
                </c:pt>
                <c:pt idx="3">
                  <c:v>África y Asia-Pacífico</c:v>
                </c:pt>
                <c:pt idx="4">
                  <c:v>Francia</c:v>
                </c:pt>
                <c:pt idx="5">
                  <c:v>Iberia</c:v>
                </c:pt>
                <c:pt idx="6">
                  <c:v>Centroeuropa</c:v>
                </c:pt>
              </c:strCache>
            </c:strRef>
          </c:cat>
          <c:val>
            <c:numRef>
              <c:f>Hoja1!$B$2:$B$8</c:f>
              <c:numCache>
                <c:formatCode>0"%"</c:formatCode>
                <c:ptCount val="7"/>
                <c:pt idx="0">
                  <c:v>39.7</c:v>
                </c:pt>
                <c:pt idx="1">
                  <c:v>5.6</c:v>
                </c:pt>
                <c:pt idx="2">
                  <c:v>21.8</c:v>
                </c:pt>
                <c:pt idx="3">
                  <c:v>7.2</c:v>
                </c:pt>
                <c:pt idx="4">
                  <c:v>13.1</c:v>
                </c:pt>
                <c:pt idx="5">
                  <c:v>6.6</c:v>
                </c:pt>
                <c:pt idx="6">
                  <c:v>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Sage</c:v>
                </c:pt>
                <c:pt idx="1">
                  <c:v>Intuit (QuickBooks)</c:v>
                </c:pt>
                <c:pt idx="2">
                  <c:v>Xero</c:v>
                </c:pt>
                <c:pt idx="3">
                  <c:v>Oracle NetSuite</c:v>
                </c:pt>
                <c:pt idx="4">
                  <c:v>Microsoft Dynamics 365 Business Central</c:v>
                </c:pt>
                <c:pt idx="5">
                  <c:v>Paychex</c:v>
                </c:pt>
              </c:strCache>
            </c:strRef>
          </c:cat>
          <c:val>
            <c:numRef>
              <c:f>Hoja1!$B$2:$B$7</c:f>
              <c:numCache>
                <c:formatCode>0.0"%"</c:formatCode>
                <c:ptCount val="6"/>
                <c:pt idx="0">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strCache>
            </c:strRef>
          </c:cat>
          <c:val>
            <c:numRef>
              <c:f>Hoja1!$B$2:$B$13</c:f>
              <c:numCache>
                <c:formatCode>#,##0</c:formatCode>
                <c:ptCount val="12"/>
                <c:pt idx="0">
                  <c:v>1846</c:v>
                </c:pt>
                <c:pt idx="1">
                  <c:v>1947</c:v>
                </c:pt>
                <c:pt idx="2">
                  <c:v>2184</c:v>
                </c:pt>
                <c:pt idx="3">
                  <c:v>2332</c:v>
                </c:pt>
                <c:pt idx="4">
                  <c:v>2513</c:v>
                </c:pt>
                <c:pt idx="5">
                  <c:v>2759</c:v>
                </c:pt>
                <c:pt idx="6">
                  <c:v>3008</c:v>
                </c:pt>
                <c:pt idx="7">
                  <c:v>3263</c:v>
                </c:pt>
                <c:pt idx="8">
                  <c:v>3508</c:v>
                </c:pt>
                <c:pt idx="9">
                  <c:v>3736</c:v>
                </c:pt>
                <c:pt idx="10">
                  <c:v>3923</c:v>
                </c:pt>
                <c:pt idx="11">
                  <c:v>4080</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strCache>
            </c:strRef>
          </c:cat>
          <c:val>
            <c:numRef>
              <c:f>Hoja1!$C$2:$C$13</c:f>
              <c:numCache>
                <c:formatCode>#,##0</c:formatCode>
                <c:ptCount val="12"/>
                <c:pt idx="0">
                  <c:v>398</c:v>
                </c:pt>
                <c:pt idx="1">
                  <c:v>464</c:v>
                </c:pt>
                <c:pt idx="2">
                  <c:v>466</c:v>
                </c:pt>
                <c:pt idx="3">
                  <c:v>543</c:v>
                </c:pt>
                <c:pt idx="4">
                  <c:v>617</c:v>
                </c:pt>
                <c:pt idx="5">
                  <c:v>701</c:v>
                </c:pt>
                <c:pt idx="6">
                  <c:v>782</c:v>
                </c:pt>
                <c:pt idx="7">
                  <c:v>868</c:v>
                </c:pt>
                <c:pt idx="8">
                  <c:v>947</c:v>
                </c:pt>
                <c:pt idx="9">
                  <c:v>1020</c:v>
                </c:pt>
                <c:pt idx="10">
                  <c:v>1079</c:v>
                </c:pt>
                <c:pt idx="11">
                  <c:v>1122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92.9</c:v>
                </c:pt>
                <c:pt idx="1">
                  <c:v>92.9</c:v>
                </c:pt>
                <c:pt idx="2">
                  <c:v>92.9</c:v>
                </c:pt>
                <c:pt idx="3">
                  <c:v>92.8</c:v>
                </c:pt>
                <c:pt idx="4">
                  <c:v>92.7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21.6</c:v>
                </c:pt>
                <c:pt idx="1">
                  <c:v>23.8</c:v>
                </c:pt>
                <c:pt idx="2">
                  <c:v>21.3</c:v>
                </c:pt>
                <c:pt idx="3">
                  <c:v>23.3</c:v>
                </c:pt>
                <c:pt idx="4">
                  <c:v>24.6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17.2</c:v>
                </c:pt>
                <c:pt idx="1">
                  <c:v>18.8</c:v>
                </c:pt>
                <c:pt idx="2">
                  <c:v>16.4</c:v>
                </c:pt>
                <c:pt idx="3">
                  <c:v>19.2</c:v>
                </c:pt>
                <c:pt idx="4">
                  <c:v>21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15.4</c:v>
                </c:pt>
                <c:pt idx="1">
                  <c:v>13.4</c:v>
                </c:pt>
                <c:pt idx="2">
                  <c:v>9.7</c:v>
                </c:pt>
                <c:pt idx="3">
                  <c:v>13.9</c:v>
                </c:pt>
                <c:pt idx="4">
                  <c:v>14.7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1S25</c:v>
                </c:pt>
                <c:pt idx="1">
                  <c:v>2S25</c:v>
                </c:pt>
                <c:pt idx="2">
                  <c:v>1S26</c:v>
                </c:pt>
                <c:pt idx="3">
                  <c:v>3T26</c:v>
                </c:pt>
              </c:strCache>
            </c:strRef>
          </c:cat>
          <c:val>
            <c:numRef>
              <c:f>Hoja1!$B$2:$B$5</c:f>
              <c:numCache>
                <c:formatCode>0.0"%"</c:formatCode>
                <c:ptCount val="4"/>
                <c:pt idx="2">
                  <c:v>9.7</c:v>
                </c:pt>
                <c:pt idx="3">
                  <c:v>11.5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1S25</c:v>
                </c:pt>
                <c:pt idx="1">
                  <c:v>2S25</c:v>
                </c:pt>
                <c:pt idx="2">
                  <c:v>1S26</c:v>
                </c:pt>
                <c:pt idx="3">
                  <c:v>3T26</c:v>
                </c:pt>
              </c:strCache>
            </c:strRef>
          </c:cat>
          <c:val>
            <c:numRef>
              <c:f>Hoja1!$C$2:$C$5</c:f>
              <c:numCache>
                <c:formatCode>0.0"%"</c:formatCode>
                <c:ptCount val="4"/>
                <c:pt idx="2">
                  <c:v>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58</c:v>
                </c:pt>
                <c:pt idx="1">
                  <c:v>67</c:v>
                </c:pt>
                <c:pt idx="2">
                  <c:v>63</c:v>
                </c:pt>
                <c:pt idx="3">
                  <c:v>63</c:v>
                </c:pt>
                <c:pt idx="4">
                  <c:v>68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1649</c:v>
                </c:pt>
                <c:pt idx="1">
                  <c:v>973</c:v>
                </c:pt>
                <c:pt idx="2">
                  <c:v>884</c:v>
                </c:pt>
                <c:pt idx="3">
                  <c:v>880</c:v>
                </c:pt>
                <c:pt idx="4">
                  <c:v>864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298</c:v>
                </c:pt>
                <c:pt idx="1">
                  <c:v>214</c:v>
                </c:pt>
                <c:pt idx="2">
                  <c:v>347</c:v>
                </c:pt>
                <c:pt idx="3">
                  <c:v>438</c:v>
                </c:pt>
                <c:pt idx="4">
                  <c:v>452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285</c:v>
                </c:pt>
                <c:pt idx="1">
                  <c:v>260</c:v>
                </c:pt>
                <c:pt idx="2">
                  <c:v>211</c:v>
                </c:pt>
                <c:pt idx="3">
                  <c:v>323</c:v>
                </c:pt>
                <c:pt idx="4">
                  <c:v>369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19.2</c:v>
                </c:pt>
                <c:pt idx="1">
                  <c:v>16.2</c:v>
                </c:pt>
                <c:pt idx="2">
                  <c:v>13.1</c:v>
                </c:pt>
                <c:pt idx="3">
                  <c:v>17.8</c:v>
                </c:pt>
                <c:pt idx="4">
                  <c:v>21.5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8.9</c:v>
                </c:pt>
                <c:pt idx="1">
                  <c:v>8.9</c:v>
                </c:pt>
                <c:pt idx="2">
                  <c:v>8.9</c:v>
                </c:pt>
                <c:pt idx="3">
                  <c:v>8.9</c:v>
                </c:pt>
                <c:pt idx="4">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25.7</c:v>
                </c:pt>
                <c:pt idx="1">
                  <c:v>20.7</c:v>
                </c:pt>
                <c:pt idx="2">
                  <c:v>15</c:v>
                </c:pt>
                <c:pt idx="3">
                  <c:v>25.8</c:v>
                </c:pt>
                <c:pt idx="4">
                  <c:v>40.7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0.62</c:v>
                </c:pt>
                <c:pt idx="1">
                  <c:v>1.58</c:v>
                </c:pt>
                <c:pt idx="2">
                  <c:v>1.2</c:v>
                </c:pt>
                <c:pt idx="3">
                  <c:v>1.36</c:v>
                </c:pt>
                <c:pt idx="4">
                  <c:v>1.93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(GBP,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2027</c:v>
                </c:pt>
                <c:pt idx="1">
                  <c:v>2028</c:v>
                </c:pt>
                <c:pt idx="2">
                  <c:v>2031</c:v>
                </c:pt>
                <c:pt idx="3">
                  <c:v>2033</c:v>
                </c:pt>
                <c:pt idx="4">
                  <c:v>2034</c:v>
                </c:pt>
                <c:pt idx="5">
                  <c:v>2037</c:v>
                </c:pt>
              </c:strCache>
            </c:strRef>
          </c:cat>
          <c:val>
            <c:numRef>
              <c:f>Hoja1!$B$2:$B$7</c:f>
              <c:numCache>
                <c:formatCode>#,##0</c:formatCode>
                <c:ptCount val="6"/>
                <c:pt idx="0">
                  <c:v>0</c:v>
                </c:pt>
                <c:pt idx="1">
                  <c:v>435</c:v>
                </c:pt>
                <c:pt idx="2">
                  <c:v>350</c:v>
                </c:pt>
                <c:pt idx="3">
                  <c:v>435</c:v>
                </c:pt>
                <c:pt idx="4">
                  <c:v>400</c:v>
                </c:pt>
                <c:pt idx="5">
                  <c:v>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0</c:v>
                </c:pt>
                <c:pt idx="1">
                  <c:v>285</c:v>
                </c:pt>
                <c:pt idx="2">
                  <c:v>26</c:v>
                </c:pt>
                <c:pt idx="3">
                  <c:v>30</c:v>
                </c:pt>
                <c:pt idx="4">
                  <c:v>82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189</c:v>
                </c:pt>
                <c:pt idx="1">
                  <c:v>183</c:v>
                </c:pt>
                <c:pt idx="2">
                  <c:v>190</c:v>
                </c:pt>
                <c:pt idx="3">
                  <c:v>199</c:v>
                </c:pt>
                <c:pt idx="4">
                  <c:v>207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353</c:v>
                </c:pt>
                <c:pt idx="1">
                  <c:v>249</c:v>
                </c:pt>
                <c:pt idx="2">
                  <c:v>0</c:v>
                </c:pt>
                <c:pt idx="3">
                  <c:v>348</c:v>
                </c:pt>
                <c:pt idx="4">
                  <c:v>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8</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The Capital Group Companies</c:v>
                </c:pt>
                <c:pt idx="2">
                  <c:v>Lindsell Train</c:v>
                </c:pt>
                <c:pt idx="3">
                  <c:v>FIL Limited (Fidelity)</c:v>
                </c:pt>
                <c:pt idx="4">
                  <c:v>FMR LLC</c:v>
                </c:pt>
                <c:pt idx="5">
                  <c:v>Aviva plc</c:v>
                </c:pt>
                <c:pt idx="6">
                  <c:v>Autocartera y fideicomiso de empleados</c:v>
                </c:pt>
              </c:strCache>
            </c:strRef>
          </c:cat>
          <c:val>
            <c:numRef>
              <c:f>Hoja1!$B$2:$B$8</c:f>
              <c:numCache>
                <c:formatCode>0.0"%"</c:formatCode>
                <c:ptCount val="7"/>
                <c:pt idx="0">
                  <c:v>5.9</c:v>
                </c:pt>
                <c:pt idx="1">
                  <c:v>5.1</c:v>
                </c:pt>
                <c:pt idx="2">
                  <c:v>4.97</c:v>
                </c:pt>
                <c:pt idx="3">
                  <c:v>5</c:v>
                </c:pt>
                <c:pt idx="4">
                  <c:v>4.22</c:v>
                </c:pt>
                <c:pt idx="5">
                  <c:v>2.99</c:v>
                </c:pt>
                <c:pt idx="6">
                  <c:v>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8.5</c:v>
                </c:pt>
                <c:pt idx="1">
                  <c:v>21.8</c:v>
                </c:pt>
                <c:pt idx="2">
                  <c:v>-24.6</c:v>
                </c:pt>
                <c:pt idx="3">
                  <c:v>24.5</c:v>
                </c:pt>
                <c:pt idx="4">
                  <c:v>-22.3</c:v>
                </c:pt>
                <c:pt idx="5">
                  <c:v>46.5</c:v>
                </c:pt>
                <c:pt idx="6">
                  <c:v>-12.5</c:v>
                </c:pt>
                <c:pt idx="7">
                  <c:v>57.3</c:v>
                </c:pt>
                <c:pt idx="8">
                  <c:v>8.6</c:v>
                </c:pt>
                <c:pt idx="9">
                  <c:v>-14.9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20.1</c:v>
                </c:pt>
                <c:pt idx="1">
                  <c:v>17.1</c:v>
                </c:pt>
                <c:pt idx="2">
                  <c:v>23.2</c:v>
                </c:pt>
                <c:pt idx="3">
                  <c:v>20.7</c:v>
                </c:pt>
                <c:pt idx="4">
                  <c:v>19.6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0.0"x"</c:formatCode>
                <c:ptCount val="5"/>
                <c:pt idx="0">
                  <c:v>20.2</c:v>
                </c:pt>
                <c:pt idx="1">
                  <c:v>20.2</c:v>
                </c:pt>
                <c:pt idx="2">
                  <c:v>20.2</c:v>
                </c:pt>
                <c:pt idx="3">
                  <c:v>20.2</c:v>
                </c:pt>
                <c:pt idx="4">
                  <c:v>20.2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Sage</c:v>
                </c:pt>
                <c:pt idx="1">
                  <c:v>Intuit</c:v>
                </c:pt>
                <c:pt idx="2">
                  <c:v>Paychex</c:v>
                </c:pt>
                <c:pt idx="3">
                  <c:v>SAP</c:v>
                </c:pt>
                <c:pt idx="4">
                  <c:v>Nemetschek</c:v>
                </c:pt>
                <c:pt idx="5">
                  <c:v>Atoss Software</c:v>
                </c:pt>
                <c:pt idx="6">
                  <c:v>Dassault Systèmes</c:v>
                </c:pt>
                <c:pt idx="7">
                  <c:v>Constellation Software</c:v>
                </c:pt>
                <c:pt idx="8">
                  <c:v>Roper Technologies</c:v>
                </c:pt>
              </c:strCache>
            </c:strRef>
          </c:cat>
          <c:val>
            <c:numRef>
              <c:f>Hoja1!$B$2:$B$10</c:f>
              <c:numCache>
                <c:formatCode>0.0"x"</c:formatCode>
                <c:ptCount val="9"/>
                <c:pt idx="0">
                  <c:v>15.7</c:v>
                </c:pt>
                <c:pt idx="1">
                  <c:v>9.5</c:v>
                </c:pt>
                <c:pt idx="2">
                  <c:v>12.3</c:v>
                </c:pt>
                <c:pt idx="3">
                  <c:v>15.1</c:v>
                </c:pt>
                <c:pt idx="4">
                  <c:v>19.2</c:v>
                </c:pt>
                <c:pt idx="5">
                  <c:v>14.3</c:v>
                </c:pt>
                <c:pt idx="6">
                  <c:v>11.9</c:v>
                </c:pt>
                <c:pt idx="7">
                  <c:v>12.5</c:v>
                </c:pt>
                <c:pt idx="8">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Sage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9.4</c:v>
                </c:pt>
              </c:numCache>
            </c:numRef>
          </c:xVal>
          <c:yVal>
            <c:numRef>
              <c:f>Hoja1!$C$2</c:f>
              <c:numCache>
                <c:formatCode>0.0"x"</c:formatCode>
                <c:ptCount val="1"/>
                <c:pt idx="0">
                  <c:v>15.7</c:v>
                </c:pt>
              </c:numCache>
            </c:numRef>
          </c:yVal>
          <c:smooth val="0"/>
        </c:ser>
        <c:ser>
          <c:idx val="1"/>
          <c:order val="1"/>
          <c:tx>
            <c:strRef>
              <c:f>Hoja1!$A$3</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9.2</c:v>
                </c:pt>
              </c:numCache>
            </c:numRef>
          </c:xVal>
          <c:yVal>
            <c:numRef>
              <c:f>Hoja1!$C$3</c:f>
              <c:numCache>
                <c:formatCode>0.0"x"</c:formatCode>
                <c:ptCount val="1"/>
                <c:pt idx="0">
                  <c:v>9.5</c:v>
                </c:pt>
              </c:numCache>
            </c:numRef>
          </c:yVal>
          <c:smooth val="0"/>
        </c:ser>
        <c:ser>
          <c:idx val="2"/>
          <c:order val="2"/>
          <c:tx>
            <c:strRef>
              <c:f>Hoja1!$A$4</c:f>
              <c:strCache>
                <c:ptCount val="1"/>
                <c:pt idx="0">
                  <c:v>Paychex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8.4</c:v>
                </c:pt>
              </c:numCache>
            </c:numRef>
          </c:xVal>
          <c:yVal>
            <c:numRef>
              <c:f>Hoja1!$C$4</c:f>
              <c:numCache>
                <c:formatCode>0.0"x"</c:formatCode>
                <c:ptCount val="1"/>
                <c:pt idx="0">
                  <c:v>12.3</c:v>
                </c:pt>
              </c:numCache>
            </c:numRef>
          </c:yVal>
          <c:smooth val="0"/>
        </c:ser>
        <c:ser>
          <c:idx val="3"/>
          <c:order val="3"/>
          <c:tx>
            <c:strRef>
              <c:f>Hoja1!$A$5</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5.8</c:v>
                </c:pt>
              </c:numCache>
            </c:numRef>
          </c:xVal>
          <c:yVal>
            <c:numRef>
              <c:f>Hoja1!$C$5</c:f>
              <c:numCache>
                <c:formatCode>0.0"x"</c:formatCode>
                <c:ptCount val="1"/>
                <c:pt idx="0">
                  <c:v>15.1</c:v>
                </c:pt>
              </c:numCache>
            </c:numRef>
          </c:yVal>
          <c:smooth val="0"/>
        </c:ser>
        <c:ser>
          <c:idx val="4"/>
          <c:order val="4"/>
          <c:tx>
            <c:strRef>
              <c:f>Hoja1!$A$6</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15.1</c:v>
                </c:pt>
              </c:numCache>
            </c:numRef>
          </c:xVal>
          <c:yVal>
            <c:numRef>
              <c:f>Hoja1!$C$6</c:f>
              <c:numCache>
                <c:formatCode>0.0"x"</c:formatCode>
                <c:ptCount val="1"/>
                <c:pt idx="0">
                  <c:v>19.2</c:v>
                </c:pt>
              </c:numCache>
            </c:numRef>
          </c:yVal>
          <c:smooth val="0"/>
        </c:ser>
        <c:ser>
          <c:idx val="5"/>
          <c:order val="5"/>
          <c:tx>
            <c:strRef>
              <c:f>Hoja1!$A$7</c:f>
              <c:strCache>
                <c:ptCount val="1"/>
                <c:pt idx="0">
                  <c:v>Atoss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16.1</c:v>
                </c:pt>
              </c:numCache>
            </c:numRef>
          </c:xVal>
          <c:yVal>
            <c:numRef>
              <c:f>Hoja1!$C$7</c:f>
              <c:numCache>
                <c:formatCode>0.0"x"</c:formatCode>
                <c:ptCount val="1"/>
                <c:pt idx="0">
                  <c:v>14.3</c:v>
                </c:pt>
              </c:numCache>
            </c:numRef>
          </c:yVal>
          <c:smooth val="0"/>
        </c:ser>
        <c:ser>
          <c:idx val="6"/>
          <c:order val="6"/>
          <c:tx>
            <c:strRef>
              <c:f>Hoja1!$A$8</c:f>
              <c:strCache>
                <c:ptCount val="1"/>
                <c:pt idx="0">
                  <c:v>Dassault Systèmes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6.4</c:v>
                </c:pt>
              </c:numCache>
            </c:numRef>
          </c:xVal>
          <c:yVal>
            <c:numRef>
              <c:f>Hoja1!$C$8</c:f>
              <c:numCache>
                <c:formatCode>0.0"x"</c:formatCode>
                <c:ptCount val="1"/>
                <c:pt idx="0">
                  <c:v>11.9</c:v>
                </c:pt>
              </c:numCache>
            </c:numRef>
          </c:yVal>
          <c:smooth val="0"/>
        </c:ser>
        <c:ser>
          <c:idx val="7"/>
          <c:order val="7"/>
          <c:tx>
            <c:strRef>
              <c:f>Hoja1!$A$9</c:f>
              <c:strCache>
                <c:ptCount val="1"/>
                <c:pt idx="0">
                  <c:v>Constellation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17.9</c:v>
                </c:pt>
              </c:numCache>
            </c:numRef>
          </c:xVal>
          <c:yVal>
            <c:numRef>
              <c:f>Hoja1!$C$9</c:f>
              <c:numCache>
                <c:formatCode>0.0"x"</c:formatCode>
                <c:ptCount val="1"/>
                <c:pt idx="0">
                  <c:v>12.5</c:v>
                </c:pt>
              </c:numCache>
            </c:numRef>
          </c:yVal>
          <c:smooth val="0"/>
        </c:ser>
        <c:ser>
          <c:idx val="8"/>
          <c:order val="8"/>
          <c:tx>
            <c:strRef>
              <c:f>Hoja1!$A$10</c:f>
              <c:strCache>
                <c:ptCount val="1"/>
                <c:pt idx="0">
                  <c:v>Roper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6.5</c:v>
                </c:pt>
              </c:numCache>
            </c:numRef>
          </c:xVal>
          <c:yVal>
            <c:numRef>
              <c:f>Hoja1!$C$10</c:f>
              <c:numCache>
                <c:formatCode>0.0"x"</c:formatCode>
                <c:ptCount val="1"/>
                <c:pt idx="0">
                  <c:v>13</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FY2026e</c:v>
                </c:pt>
                <c:pt idx="1">
                  <c:v>FY2027e</c:v>
                </c:pt>
                <c:pt idx="2">
                  <c:v>FY2028e</c:v>
                </c:pt>
                <c:pt idx="3">
                  <c:v>FY2029e</c:v>
                </c:pt>
                <c:pt idx="4">
                  <c:v>FY2030e</c:v>
                </c:pt>
                <c:pt idx="5">
                  <c:v>FY2031e</c:v>
                </c:pt>
                <c:pt idx="6">
                  <c:v>FY2032e</c:v>
                </c:pt>
              </c:strCache>
            </c:strRef>
          </c:cat>
          <c:val>
            <c:numRef>
              <c:f>Hoja1!$B$2:$B$8</c:f>
              <c:numCache>
                <c:formatCode>#,##0</c:formatCode>
                <c:ptCount val="7"/>
                <c:pt idx="0">
                  <c:v>463</c:v>
                </c:pt>
                <c:pt idx="1">
                  <c:v>517</c:v>
                </c:pt>
                <c:pt idx="2">
                  <c:v>575</c:v>
                </c:pt>
                <c:pt idx="3">
                  <c:v>629</c:v>
                </c:pt>
                <c:pt idx="4">
                  <c:v>677</c:v>
                </c:pt>
                <c:pt idx="5">
                  <c:v>718</c:v>
                </c:pt>
                <c:pt idx="6">
                  <c:v>747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2955</c:v>
                </c:pt>
                <c:pt idx="1">
                  <c:v>7800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10,73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5.25</c:v>
                </c:pt>
                <c:pt idx="1">
                  <c:v>9.78</c:v>
                </c:pt>
                <c:pt idx="2">
                  <c:v>11.19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10,73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(7,72 – 11,81)</c:v>
                </c:pt>
                <c:pt idx="1">
                  <c:v>Precio objetivo de los analistas (8,50 – 14,00)</c:v>
                </c:pt>
                <c:pt idx="2">
                  <c:v>Comparables: EV/EBITDA NTM (7,91 – 9,76)</c:v>
                </c:pt>
                <c:pt idx="3">
                  <c:v>Comparables: PER NTM (9,63 – 13,06)</c:v>
                </c:pt>
                <c:pt idx="4">
                  <c:v>DCF (WACC y g ± 0,5) (8,28 – 11,89)</c:v>
                </c:pt>
                <c:pt idx="5">
                  <c:v>Escenarios (bajista – alcista) (5,25 – 11,19)</c:v>
                </c:pt>
                <c:pt idx="6">
                  <c:v>DCF con la prima implícita del mercado (4,2 %)</c:v>
                </c:pt>
                <c:pt idx="7">
                  <c:v>Precio actual (10,73)</c:v>
                </c:pt>
              </c:strCache>
            </c:strRef>
          </c:cat>
          <c:val>
            <c:numRef>
              <c:f>Hoja1!$B$2:$B$9</c:f>
              <c:numCache>
                <c:formatCode>#,##0.0</c:formatCode>
                <c:ptCount val="8"/>
                <c:pt idx="0">
                  <c:v>7.72</c:v>
                </c:pt>
                <c:pt idx="1">
                  <c:v>8.5</c:v>
                </c:pt>
                <c:pt idx="2">
                  <c:v>7.91</c:v>
                </c:pt>
                <c:pt idx="3">
                  <c:v>9.63</c:v>
                </c:pt>
                <c:pt idx="4">
                  <c:v>8.28</c:v>
                </c:pt>
                <c:pt idx="5">
                  <c:v>5.25</c:v>
                </c:pt>
                <c:pt idx="6">
                  <c:v>10.67</c:v>
                </c:pt>
                <c:pt idx="7">
                  <c:v>10.68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(7,72 – 11,81)</c:v>
                </c:pt>
                <c:pt idx="1">
                  <c:v>Precio objetivo de los analistas (8,50 – 14,00)</c:v>
                </c:pt>
                <c:pt idx="2">
                  <c:v>Comparables: EV/EBITDA NTM (7,91 – 9,76)</c:v>
                </c:pt>
                <c:pt idx="3">
                  <c:v>Comparables: PER NTM (9,63 – 13,06)</c:v>
                </c:pt>
                <c:pt idx="4">
                  <c:v>DCF (WACC y g ± 0,5) (8,28 – 11,89)</c:v>
                </c:pt>
                <c:pt idx="5">
                  <c:v>Escenarios (bajista – alcista) (5,25 – 11,19)</c:v>
                </c:pt>
                <c:pt idx="6">
                  <c:v>DCF con la prima implícita del mercado (4,2 %)</c:v>
                </c:pt>
                <c:pt idx="7">
                  <c:v>Precio actual (10,73)</c:v>
                </c:pt>
              </c:strCache>
            </c:strRef>
          </c:cat>
          <c:val>
            <c:numRef>
              <c:f>Hoja1!$C$2:$C$9</c:f>
              <c:numCache>
                <c:formatCode>#,##0.0</c:formatCode>
                <c:ptCount val="8"/>
                <c:pt idx="0">
                  <c:v>4.090000000000001</c:v>
                </c:pt>
                <c:pt idx="1">
                  <c:v>5.5</c:v>
                </c:pt>
                <c:pt idx="2">
                  <c:v>1.8499999999999996</c:v>
                </c:pt>
                <c:pt idx="3">
                  <c:v>3.4299999999999997</c:v>
                </c:pt>
                <c:pt idx="4">
                  <c:v>3.610000000000001</c:v>
                </c:pt>
                <c:pt idx="5">
                  <c:v>5.9399999999999995</c:v>
                </c:pt>
                <c:pt idx="6">
                  <c:v>2.8200000000000003</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