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Fastenal Company</w:t>
      </w:r>
    </w:p>
    <w:p>
      <w:pPr>
        <w:spacing w:after="60"/>
        <w:rPr>
          <w:color w:val="52514E"/>
          <w:sz w:val="22"/>
          <w:szCs w:val="22"/>
        </w:rPr>
      </w:pPr>
      <w:r>
        <w:rPr>
          <w:color w:val="52514E"/>
          <w:sz w:val="22"/>
          <w:szCs w:val="22"/>
        </w:rPr>
        <w:t xml:space="preserve">FAST · Nasdaq Global Select Market · ISIN US3119001044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51,65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-7,8 % (base +2,1 %)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23,55 USD · mercado 26,85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59.403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Fastenal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FAST / US3119001044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 (GICS 201070)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Winona (Minnesota) · 1967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https://www.fastenal.com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38,97 – 52,92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59.403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59.291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46,66 USD</w:t>
      </w:r>
      <w:r>
        <w:t xml:space="preserve"> frente a 51,65 · Rentabilidad a 12 meses </w:t>
      </w:r>
      <w:r>
        <w:rPr>
          <w:b/>
          <w:bCs/>
        </w:rPr>
        <w:t xml:space="preserve">-7,8 % (base +2,1 %)</w:t>
      </w:r>
      <w:r>
        <w:t xml:space="preserve"> · Valor intrínseco 23,55 USD · con la prima implícita del mercado: 26,85 (-48,0 %) · Alcista / bajista -53,6 % / -71,0 %</w:t>
      </w:r>
    </w:p>
    <w:p>
      <w:pPr>
        <w:spacing w:after="100"/>
      </w:pPr>
      <w:r>
        <w:rPr>
          <w:b/>
        </w:rPr>
        <w:t xml:space="preserve">La recomendación y por qué.</w:t>
      </w:r>
      <w:r>
        <w:t xml:space="preserve"> Mantener con convicción media. El objetivo a 12 meses es de 46,66 USD ponderado (51,80 en el base), con una rentabilidad del −7,8 % ponderada y del +2,1 % en el base con dividendo, frente a un precio de 51,65 USD (cierre del 20-oct-2026). El valor intrínseco es de 23,55 USD, un 54,4 % por debajo, y el objetivo medio de los analistas, 51,07 USD. La asimetría es mala: el bajista a 12 meses pierde un 43,1 % y el alcista gana un 7,6 %, con dividendo. La razón principal: un negocio excelente a un precio que ya descuenta mucho más de lo que puede dar. La convicción es media porque las dos reglas del valor intrínseco dan Vender y la regla a 12 meses Mantener lejos de sus umbrales; bajaría a Vender si las ventas diarias cayeran por debajo del 8 % con el múltiplo intacto.</w:t>
      </w:r>
    </w:p>
    <w:p>
      <w:pPr>
        <w:spacing w:after="100"/>
      </w:pPr>
      <w:r>
        <w:rPr>
          <w:b/>
        </w:rPr>
        <w:t xml:space="preserve">El negocio.</w:t>
      </w:r>
      <w:r>
        <w:t xml:space="preserve"> Fastenal lleva los tornillos, guantes y herramientas a la planta del cliente con 143.878 máquinas expendedoras y almacenes dedicados, gana cuota en clientes grandes (contratos +18,8 % en el 3T26) y lo convierte en un ROIC del 34,2 % frente a un WACC del 9,49 %, con un margen de explotación del 21,5 % que dobla al de MSC y supera al de Grainger [2, 15]. La sostenibilidad del crecimiento es «Sí»: el 6,7 % anual proyectado se financia con el ROIC actual más el precio, por debajo del 8,4 % histórico.</w:t>
      </w:r>
    </w:p>
    <w:p>
      <w:pPr>
        <w:spacing w:after="100"/>
      </w:pPr>
      <w:r>
        <w:rPr>
          <w:b/>
        </w:rPr>
        <w:t xml:space="preserve">Sector y ciclo.</w:t>
      </w:r>
      <w:r>
        <w:t xml:space="preserve"> El 77 % de las ventas va a fabricantes. 2026 ha sido de recuperación (ventas +15,5 % en el 3T, con 240 pb de precio arancelario y una mejora modesta de la producción), tras dos años con el ISM por debajo de 50 [1, 2]. En 2027 desaparece el precio de los aranceles de la comparación, y una recesión industrial es el riesgo que más valor quita.</w:t>
      </w:r>
    </w:p>
    <w:p>
      <w:pPr>
        <w:spacing w:after="100"/>
      </w:pPr>
      <w:r>
        <w:rPr>
          <w:b/>
        </w:rPr>
        <w:t xml:space="preserve">Finanzas.</w:t>
      </w:r>
      <w:r>
        <w:t xml:space="preserve"> Sin deuda (100 M), conversión de caja del 95 % en nueve meses y dividendo que reparte el 80 % del beneficio. El margen bruto cae 40-50 pb al año por la mezcla de clientes y el precio/coste; el apalancamiento de gastos lo compensa de momento [2].</w:t>
      </w:r>
    </w:p>
    <w:p>
      <w:pPr>
        <w:spacing w:after="100"/>
      </w:pPr>
      <w:r>
        <w:rPr>
          <w:b/>
        </w:rPr>
        <w:t xml:space="preserve">Equipo y gobierno.</w:t>
      </w:r>
      <w:r>
        <w:t xml:space="preserve"> Sucesión interna ordenada (Watts desde julio de 2026), consejo independiente y remuneración barata ligada al beneficio antes de impuestos; ventas pequeñas de consejeros a 49-52 USD [9, 22, 25]. Suma, pero no cambia la decisión.</w:t>
      </w:r>
    </w:p>
    <w:p>
      <w:pPr>
        <w:spacing w:after="100"/>
      </w:pPr>
      <w:r>
        <w:rPr>
          <w:b/>
        </w:rPr>
        <w:t xml:space="preserve">Valoración.</w:t>
      </w:r>
      <w:r>
        <w:t xml:space="preserve"> El DCF da 21,92 USD con un WACC del 9,49 % y 26,18 con la prima del mercado; el DCF inverso dice que el precio exige un crecimiento del 27,9 % anual frente a nuestro 5,8 %, y su rentabilidad implícita (5,8 %) no cubre el coste de capital. Cotiza a 38 veces nuestro BPA de doce meses frente a una mediana histórica adelantada de 32,3 y de 23,2 en los comparables [27]. Coincidimos con el consenso en el BPA (1,27 en 2026e): la discrepancia es el múltiplo.</w:t>
      </w:r>
    </w:p>
    <w:p>
      <w:pPr>
        <w:spacing w:after="100"/>
      </w:pPr>
      <w:r>
        <w:rPr>
          <w:b/>
        </w:rPr>
        <w:t xml:space="preserve">Riesgos y catalizadores.</w:t>
      </w:r>
      <w:r>
        <w:t xml:space="preserve"> Primero, la compresión del múltiplo (−15 % solo con volver a su mediana; −37 % al mínimo de cinco años). Segundo, una recesión industrial en 2027, que en el bajista lleva el precio a 28,44 USD. Tercero, el margen bruto por aranceles y mezcla. Catalizadores: ventas mensuales de octubre y noviembre y resultados del 4T26 hacia el 19-ene-2027. En los foros domina el escepticismo por valoración, alineado con este informe [37].</w:t>
      </w:r>
    </w:p>
    <w:p>
      <w:pPr>
        <w:spacing w:after="100"/>
      </w:pPr>
      <w:r>
        <w:rPr>
          <w:b/>
        </w:rPr>
        <w:t xml:space="preserve">Qué cambiaría la decisión.</w:t>
      </w:r>
      <w:r>
        <w:t xml:space="preserve"> Compraríamos con la regla a 12 meses por debajo del límite que dan las pruebas de robustez y con el valor intrínseco por encima del precio, que hoy exigiría bajar a unos 23,55 USD. Venderíamos si la rentabilidad ponderada cayera al −10 % (52,91 USD con el objetivo actual) o si el margen de explotación trimestral bajara del año anterior con las ventas por debajo del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46,66 USD</w:t>
      </w:r>
      <w:r>
        <w:t xml:space="preserve"> (rentabilidad -7,8 % (base +2,1 %)) · Valor intrínseco: 23,55 USD (-54,4 % sobre 51,65) · con la prima implícita del mercado: 26,85 (-48,0 %)</w:t>
      </w:r>
    </w:p>
    <w:p>
      <w:pPr>
        <w:spacing w:after="100"/>
      </w:pPr>
      <w:r>
        <w:t xml:space="preserve">Fastenal es el segundo distribuidor de suministros industriales de Norteamérica y el más rentable: margen de explotación del 21,5 %, ROIC del 34,2 % y sin deuda, con una ventaja difícil de copiar (143.878 máquinas expendedoras y miles de almacenes en las plantas de sus clientes) que le da cuota en los clientes grandes: contratos +18,8 % y emplazamientos de más de 50.000 USD al mes +18,7 % en el 3T26 [2].</w:t>
      </w:r>
    </w:p>
    <w:p>
      <w:pPr>
        <w:spacing w:after="100"/>
      </w:pPr>
      <w:r>
        <w:t xml:space="preserve">El precio, 51,65 USD, equivale a 38 veces nuestro BPA de los próximos doce meses y a 29 veces el EBITDA. El DCF inverso dice que para valer eso las ventas tendrían que crecer un 27,9 % anual hasta 2034, el triple de su historia; la rentabilidad implícita es del 5,8 %, por debajo de su coste de capital (9,49 %).</w:t>
      </w:r>
    </w:p>
    <w:p>
      <w:pPr>
        <w:spacing w:after="100"/>
      </w:pPr>
      <w:r>
        <w:t xml:space="preserve">El mercado acierta en la calidad y se equivoca en el precio. Para invertir hoy hay que creer que el múltiplo de 35-38 veces es permanente con tipos al 5 %, o que la empresa crecerá muy por encima de su década pasada. La regla a 12 meses, que supone que el múltiplo se acerca a su mediana, da un −7,8 % ponderado: no es una venta inmediata, pero tampoco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 × 1,21 = 28,44 · 35,0x × 1,48 = 51,80 · 35,0x × 1,56 = 54,60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51,07 (nuestro base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-53,6 % / -71,0 %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9,5 %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financiable al ROIC actual: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23,55 y 52,91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52,91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hasta el límite de compra que dan las pruebas de robustez y el valor intrínseco queda por encima del precio, pasaríamos a Comprar.</w:t>
      </w:r>
    </w:p>
    <w:p>
      <w:pPr>
        <w:pStyle w:val="ListParagraph"/>
        <w:numPr>
          <w:ilvl w:val="0"/>
          <w:numId w:val="2"/>
        </w:numPr>
        <w:spacing w:after="60"/>
      </w:pPr>
      <w:r>
        <w:t xml:space="preserve">Si la rentabilidad ponderada a 12 meses llega al −10 % (precio de 52,91 USD con el objetivo fijo), pasaríamos a Vender.</w:t>
      </w:r>
    </w:p>
    <w:p>
      <w:pPr>
        <w:pStyle w:val="ListParagraph"/>
        <w:numPr>
          <w:ilvl w:val="0"/>
          <w:numId w:val="2"/>
        </w:numPr>
        <w:spacing w:after="60"/>
      </w:pPr>
      <w:r>
        <w:t xml:space="preserve">Si las ventas diarias crecen menos del 5 % en el 1T27 o el ISM baja de 47 tres meses, revisaríamos a la baja el BPA y probablemente a Vender.</w:t>
      </w:r>
    </w:p>
    <w:p>
      <w:pPr>
        <w:pStyle w:val="ListParagraph"/>
        <w:numPr>
          <w:ilvl w:val="0"/>
          <w:numId w:val="2"/>
        </w:numPr>
        <w:spacing w:after="60"/>
      </w:pPr>
      <w:r>
        <w:t xml:space="preserve">Si el margen de explotación trimestral cae por debajo del del año anterior dos trimestres seguidos, rebajaríamos el margen del DCF.</w:t>
      </w:r>
    </w:p>
    <w:p>
      <w:pPr>
        <w:pStyle w:val="Heading2"/>
      </w:pPr>
      <w:r>
        <w:t xml:space="preserve">Dónde discrepamos del mercado</w:t>
      </w:r>
    </w:p>
    <w:p>
      <w:pPr>
        <w:keepNext/>
        <w:spacing w:after="100"/>
      </w:pPr>
      <w:r>
        <w:rPr>
          <w:b/>
          <w:bCs/>
        </w:rPr>
        <w:t xml:space="preserve">Lo que descuenta el precio.</w:t>
      </w:r>
    </w:p>
    <w:p>
      <w:pPr>
        <w:spacing w:after="100"/>
      </w:pPr>
      <w:r>
        <w:t xml:space="preserve">Que Fastenal seguirá creciendo al 10-15 % con margen al alza y que su prima de calidad (36-38 veces el BPA adelantado) es permanente: el objetivo medio de los analistas (51,07) coincide con el precio.</w:t>
      </w:r>
    </w:p>
    <w:p>
      <w:pPr>
        <w:keepNext/>
        <w:spacing w:after="100"/>
      </w:pPr>
      <w:r>
        <w:rPr>
          <w:b/>
          <w:bCs/>
        </w:rPr>
        <w:t xml:space="preserve">Lo que creemos nosotros.</w:t>
      </w:r>
    </w:p>
    <w:p>
      <w:pPr>
        <w:spacing w:after="100"/>
      </w:pPr>
      <w:r>
        <w:t xml:space="preserve">Coincidimos en el BPA (1,27 en 2026e, 1,38 en 2027e) pero no en el múltiplo: el crecimiento de 2026 lleva 2-3 puntos de precio arancelario que no se repetirán y la industria no da para más del 6-8 % sostenido. Con un WACC del 9,49 % el negocio vale 21,92 USD.</w:t>
      </w:r>
    </w:p>
    <w:p>
      <w:pPr>
        <w:keepNext/>
        <w:spacing w:after="100"/>
      </w:pPr>
      <w:r>
        <w:rPr>
          <w:b/>
          <w:bCs/>
        </w:rPr>
        <w:t xml:space="preserve">Por qué podemos tener razón.</w:t>
      </w:r>
    </w:p>
    <w:p>
      <w:pPr>
        <w:spacing w:after="100"/>
      </w:pPr>
      <w:r>
        <w:t xml:space="preserve">Porque la historia lo respalda: en los diez últimos años creció un 8,4 % anual y nunca un 28 %; el margen está en máximos; y con el bono a 10 años al 5,12 %, 38 veces beneficio implica una rentabilidad del 5,8 %, inferior al coste de capital.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del capital muy alta</w:t>
      </w:r>
      <w:r>
        <w:t xml:space="preserve">: ROIC del 34,2 % frente a un WACC del 9,49 %.</w:t>
      </w:r>
    </w:p>
    <w:p>
      <w:pPr>
        <w:pStyle w:val="ListParagraph"/>
        <w:numPr>
          <w:ilvl w:val="0"/>
          <w:numId w:val="2"/>
        </w:numPr>
        <w:spacing w:after="60"/>
      </w:pPr>
      <w:r>
        <w:rPr>
          <w:b/>
        </w:rPr>
        <w:t xml:space="preserve">Gana cuota en clientes grandes</w:t>
      </w:r>
      <w:r>
        <w:t xml:space="preserve">: contratos +18,8 % y emplazamientos de más de 50.000 USD/mes +18,7 % en el 3T26 [2].</w:t>
      </w:r>
    </w:p>
    <w:p>
      <w:pPr>
        <w:pStyle w:val="ListParagraph"/>
        <w:numPr>
          <w:ilvl w:val="0"/>
          <w:numId w:val="2"/>
        </w:numPr>
        <w:spacing w:after="60"/>
      </w:pPr>
      <w:r>
        <w:rPr>
          <w:b/>
        </w:rPr>
        <w:t xml:space="preserve">Margen de explotación al alza</w:t>
      </w:r>
      <w:r>
        <w:t xml:space="preserve">: 21,5 % en el 3T26, +90 pb, por apalancamiento de gastos [2].</w:t>
      </w:r>
    </w:p>
    <w:p>
      <w:pPr>
        <w:pStyle w:val="ListParagraph"/>
        <w:numPr>
          <w:ilvl w:val="0"/>
          <w:numId w:val="2"/>
        </w:numPr>
        <w:spacing w:after="60"/>
      </w:pPr>
      <w:r>
        <w:rPr>
          <w:b/>
        </w:rPr>
        <w:t xml:space="preserve">Balance sin deuda</w:t>
      </w:r>
      <w:r>
        <w:t xml:space="preserve">: 100 M de deuda y 212 M de caja; crédito de 835 M sin usar hasta 2031 [3, 8].</w:t>
      </w:r>
    </w:p>
    <w:p>
      <w:pPr>
        <w:pStyle w:val="ListParagraph"/>
        <w:numPr>
          <w:ilvl w:val="0"/>
          <w:numId w:val="2"/>
        </w:numPr>
        <w:spacing w:after="60"/>
      </w:pPr>
      <w:r>
        <w:rPr>
          <w:b/>
        </w:rPr>
        <w:t xml:space="preserve">Dividendo creciente</w:t>
      </w:r>
      <w:r>
        <w:t xml:space="preserve">: 0,26 USD trimestral, +8,3 %, el 80 % del beneficio [2].</w:t>
      </w:r>
    </w:p>
    <w:p>
      <w:pPr>
        <w:pStyle w:val="Heading2"/>
      </w:pPr>
      <w:r>
        <w:t xml:space="preserve">En contra</w:t>
      </w:r>
    </w:p>
    <w:p>
      <w:pPr>
        <w:pStyle w:val="ListParagraph"/>
        <w:numPr>
          <w:ilvl w:val="0"/>
          <w:numId w:val="2"/>
        </w:numPr>
        <w:spacing w:after="60"/>
      </w:pPr>
      <w:r>
        <w:rPr>
          <w:b/>
        </w:rPr>
        <w:t xml:space="preserve">Valoración</w:t>
      </w:r>
      <w:r>
        <w:t xml:space="preserve">: 38 veces nuestro BPA de doce meses, frente a 32,3 de mediana histórica y 23,2 de los comparables.</w:t>
      </w:r>
    </w:p>
    <w:p>
      <w:pPr>
        <w:pStyle w:val="ListParagraph"/>
        <w:numPr>
          <w:ilvl w:val="0"/>
          <w:numId w:val="2"/>
        </w:numPr>
        <w:spacing w:after="60"/>
      </w:pPr>
      <w:r>
        <w:rPr>
          <w:b/>
        </w:rPr>
        <w:t xml:space="preserve">DCF inverso</w:t>
      </w:r>
      <w:r>
        <w:t xml:space="preserve">: el precio exige un 27,9 % de crecimiento anual frente al 5,8 % del base.</w:t>
      </w:r>
    </w:p>
    <w:p>
      <w:pPr>
        <w:pStyle w:val="ListParagraph"/>
        <w:numPr>
          <w:ilvl w:val="0"/>
          <w:numId w:val="2"/>
        </w:numPr>
        <w:spacing w:after="60"/>
      </w:pPr>
      <w:r>
        <w:rPr>
          <w:b/>
        </w:rPr>
        <w:t xml:space="preserve">Margen bruto en descenso</w:t>
      </w:r>
      <w:r>
        <w:t xml:space="preserve">: 44,8 % en el 3T26, −50 pb, por mezcla y aranceles [2].</w:t>
      </w:r>
    </w:p>
    <w:p>
      <w:pPr>
        <w:pStyle w:val="ListParagraph"/>
        <w:numPr>
          <w:ilvl w:val="0"/>
          <w:numId w:val="2"/>
        </w:numPr>
        <w:spacing w:after="60"/>
      </w:pPr>
      <w:r>
        <w:rPr>
          <w:b/>
        </w:rPr>
        <w:t xml:space="preserve">Crecimiento inflado por precio</w:t>
      </w:r>
      <w:r>
        <w:t xml:space="preserve">: 240-350 pb de precio arancelario por trimestre en 2026 que no se repiten [2].</w:t>
      </w:r>
    </w:p>
    <w:p>
      <w:pPr>
        <w:pStyle w:val="ListParagraph"/>
        <w:numPr>
          <w:ilvl w:val="0"/>
          <w:numId w:val="2"/>
        </w:numPr>
        <w:spacing w:after="60"/>
      </w:pPr>
      <w:r>
        <w:rPr>
          <w:b/>
        </w:rPr>
        <w:t xml:space="preserve">Asimetría a 12 meses</w:t>
      </w:r>
      <w:r>
        <w:t xml:space="preserve">: bajista −43,1 % frente a alcista +7,6 % (con dividendo).</w:t>
      </w:r>
    </w:p>
    <w:p>
      <w:pPr>
        <w:pStyle w:val="Heading2"/>
      </w:pPr>
      <w:r>
        <w:t xml:space="preserve">Qué tiene que pasar para que la tesis funcione</w:t>
      </w:r>
    </w:p>
    <w:p>
      <w:pPr>
        <w:spacing w:after="100"/>
      </w:pPr>
      <w:r>
        <w:t xml:space="preserve">La tesis depende de que el crecimiento de las ventas diarias no se desplome cuando salga el precio arancelario de la comparación (primer semestre de 2027) y de que el margen de explotación siga subiendo pese a la mezcla. La señal de que no se cumple: ventas mensuales por debajo del 8 % dos meses seguidos o un margen de explotación trimestral por debajo del del año anterior. Para el precio, la señal es el múltiplo: por debajo de unas 30 veces el BPA de doce meses la regla a 12 meses mejora de forma clara.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diarias (mensual)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en septiembre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dos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crecimiento sobrevive al fin del precio arancelario.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y precio/coste.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explotación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mismo trimestre del año anterior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clientes sin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del catálogo en línea e IA de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veces (mejora la entrada)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decisión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42,0x / 37,6x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Bob Kierlin y cuatro socios abrieron en 1967 una tienda de tornillos en Winona (Minnesota, 26.000 habitantes) con la idea de vender sujeciones en ciudades pequeñas mal atendidas por los grandes [1]. Creció abriendo sucursales y añadiendo desde 1993 otras líneas que usan el mismo canal [1]. En la última década cambió de modelo: máquinas expendedoras en la planta del cliente (FASTVend) y almacenes dedicados dentro de sus fábricas (Onsite, impulsados desde 2014), con menos sucursales abiertas al público [1, 19], lo que la acercó a los clientes grandes y le dio cuota en un mercado fragmentado [1]. Dan Florness (consejero delegado 2016-2026) llevó ese cambio; Jeff Watts le sucedió el 16-jul-2026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Winona como tienda de tornillos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líneas distintas de la tornillería; hoy son el 69,5 %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Onsite (almacén dentro de la planta de un cliente), una opción local durante dos décadas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Onsites pasan a ser motor de crecimiento, con inversión acelerada desde 2015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acciones 2×1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propias agrupadas en Body Guard y Fastenal; dividendo extraordinario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división 2×1; aranceles trasladados a precios; nueva información por emplazamientos y por material directo/indirecto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 Watts, consejero delegado; ventas diarias +15,5 % en el 3T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Fastenal distribuye suministros industriales y de construcción: tornillería (30,5 % de las ventas de 2025), seguridad (22,2 %) y otras ocho líneas (herramientas, limpieza, corte, hidráulica, manutención, eléctrico, soldadura) [1]. Sirve a 90.759 emplazamientos de clientes (media del 3T26) desde 1.595 sucursales en 25 países, 15 centros de distribución en Norteamérica y 4 fuera, con 24.679 empleados [1, 2]. Sus herramientas propias son las máquinas expendedoras y los contenedores inteligentes en la planta (143.878 unidades ponderadas), los almacenes dedicados en la fábrica del cliente y el comercio electrónico integrado; el 61 % de las ventas pasa por canales digitales [2]. El 83 % de las ventas es en EE. UU. y el 77 % con fabricantes [1, 2].</w:t>
      </w:r>
    </w:p>
    <w:p>
      <w:pPr>
        <w:pStyle w:val="Heading2"/>
      </w:pPr>
      <w:r>
        <w:t xml:space="preserve">Cómo gana dinero</w:t>
      </w:r>
    </w:p>
    <w:p>
      <w:pPr>
        <w:spacing w:after="100"/>
      </w:pPr>
      <w:r>
        <w:t xml:space="preserve">Compra a cientos de proveedores (sobre todo en Asia para la tornillería y la marca propia) y revende con un margen bruto del 45 %, muy por encima de un catálogo genérico, porque cobra la disponibilidad: el producto está en la planta del cliente cuando lo necesita [1]. Los gastos de personal son el 70-75 % de los gastos generales y llevan bonus mensuales ligados a las ventas y al beneficio, así que el coste se ajusta solo en las caídas [1, 2]. El margen de explotación (20-21,5 %) depende de tres cosas: la mezcla (clientes grandes, menos margen bruto pero más volumen por emplazamiento), el precio frente al coste del producto (aranceles y acero, con trimestres de retraso) y el apalancamiento de gastos [2]. Ventas casi todas recurrentes (consumo de las fábricas), con estacionalidad baja y sensibilidad a la producción industrial de EE. UU.</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Sujeciones (tornillería y suministros diversos)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líneas (herramientas, limpieza, corte, hidráulica, manutención, eléctrico, soldadura)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Sujeciones (tornillería y suministros diversos)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líneas (herramientas, limpieza, corte, hidráulica, manutención, eléctrico, soldadura)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llega al 5 % de las ventas [1]. El 76,5 % de las ventas del 3T26 es con clientes con contrato (nacionales, regionales y administraciones), que crecen al 18,8 %; el resto, al 7,8 % [2]. El 76,6 % de las ventas va a fabricación (44,6 % pesada) y el 8 % a construcción no residencial [2]. Los costes de cambio son reales en los clientes grandes: las máquinas expendedoras y los almacenes dentro de la planta (Onsite) llevan el inventario del cliente y sus datos de consumo [1]. Poder de precios demostrado con límites: en 2025 trasladó los aranceles con 170-200 pb de precio sin perder margen bruto en el año, pero en 2026 el precio/coste restó 30-50 pb por trimestre porque los costes con arancel llegaron antes que las subidas [1, 2,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diarias (crecimiento interanual,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+18,8 %, resto +7,8 %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Emplazamientos de más de 50.000 USD/mes (media del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media de 147.668 USD/mes por emplazamiento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Máquinas FMI instaladas (MEU ponderadas, fin del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Firmas de 2026 rebajadas a 27.000-29.000 MEU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canales digitales (Digital Footprint,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2026: 66 %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clientes −50 pb, precio/coste −30 pb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explotación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23,3 % de las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equivalente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+15,5 % con la misma plantilla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de suministros MRO (mantenimiento, reparación y operaciones) y de componentes de producción de bajo valor (tornillería, consumibles, seguridad) a fábricas, obras y administraciones de Norteamérica. Usamos la estimación de Fastenal (más de 140.000 M USD al año en Norteamérica, incluido el material directo de producción), que es la que encaja con lo que vende [1]. La segunda fuente, Grainger, daba 105.000 M USD en 2018 solo para MRO en EE. UU. y Canadá, sin la tornillería de producción ni México [14]. Ninguna fuente independiente gratuita publica la serie; el crecimiento sale de la producción industrial más precio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140.000 M USD al año en Norteamérica (estimación de Fastenal, 10-K 2025) [1]; 105.000 M USD de MRO en EE. UU. y Canadá en 2018 (Grainger)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Fragmentado</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de EE. UU. (ISM manufacturero)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 de 48,9 de media en 2025, por debajo de 50 en 10 de 12 meses; producción +1,2 %; en 2026 «mejora modesta»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por los clientes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+18,8 % frente a +7,8 % del resto en el 3T26; emplazamientos de más de 50.000 USD/mes +18,7 %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acero (inflación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+240-350 pb por trimestre en 2026; precio/coste −30 a −50 pb en el margen bruto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del aprovisionamiento (expendedoras, contenedores con RFID, compras electrónicas)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potencial de 1,7 millones de expendedoras en Norteamérica según la empresa; 143.878 instaladas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industrial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Construcción no residencial con seis trimestres de crecimiento; centros de datos citados entre los «otros» mercados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de catálogo (Amazon Business, Zoro)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modelos de «surtido infinito» de Grainger (Zoro 13 millones de referencias, MonotaRO 29 millones) compiten en precio transparente en el cliente pequeño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Fragmentado y competitivo, con grandes nacionales (Grainger, MSC) y miles de locales; la competencia es por servicio y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pero los grandes negocian precio: su mezcla resta 50 pb de margen bruto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proveedores; solo uno pasa del 5 % de las compras; la marca propia y la compra directa en Asia (FASTCO) reducen dependencia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logística, 1.595 sucursales y 144.000 máquinas instaladas son difíciles de replicar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fabricante y mercados en línea en el catálogo estándar; menos en la reposición dentro de la planta [15].</w:t>
            </w:r>
          </w:p>
        </w:tc>
      </w:tr>
    </w:tbl>
    <w:p>
      <w:pPr>
        <w:spacing w:after="160" w:before="0"/>
      </w:pPr>
    </w:p>
    <w:p>
      <w:pPr>
        <w:pStyle w:val="Heading2"/>
      </w:pPr>
      <w:r>
        <w:t xml:space="preserve">Ciclo</w:t>
      </w:r>
    </w:p>
    <w:p>
      <w:pPr>
        <w:spacing w:after="100"/>
      </w:pPr>
      <w:r>
        <w:t xml:space="preserve">Tras dos años de ISM por debajo de 50 (2024-2025), 2026 muestra una mejora modesta de la producción y ventas de doble dígito por cuota y precio [1, 2]. Comportamiento histórico: en 2020, +5,9 % gracias a los equipos de protección; en 2022, +16 % por la inflación; en 2023-2024, +5 % y +3 % con la industria floja [2]. El precio de los aranceles infla las ventas de 2025-2026 y desaparecerá de la comparación en 2027.</w:t>
      </w:r>
    </w:p>
    <w:p>
      <w:pPr>
        <w:pStyle w:val="Heading2"/>
      </w:pPr>
      <w:r>
        <w:t xml:space="preserve">Regulación</w:t>
      </w:r>
    </w:p>
    <w:p>
      <w:pPr>
        <w:spacing w:after="100"/>
      </w:pPr>
      <w:r>
        <w:t xml:space="preserve">Aranceles de EE. UU. desde febrero de 2025 sobre importaciones (China, y los del acero y el aluminio, con los mayores aumentos de coste), parte de ellos devueltos en 2026 (la empresa cita «devoluciones de aranceles» en el margen bruto del 3T26) [1, 2]. Fastenal importa una parte significativa de Asia (China y Taiwán), directa e indirectamente [1]. Cualquier alteración del comercio entre EE. UU., Canadá y México le afecta (13,5 % de las ventas en Canadá y México) [1]. Normas de seguridad laboral (OSHA) sostienen la demanda de equipos de protección. En Europa, el CBAM sobre el acero importado desde 2026 es irrelevante para Fastenal (3 % de ventas fuera de Norteamérica) [18].</w:t>
      </w:r>
    </w:p>
    <w:p>
      <w:pPr>
        <w:pStyle w:val="Heading2"/>
      </w:pPr>
      <w:r>
        <w:t xml:space="preserve">Tendencias y disrupción</w:t>
      </w:r>
    </w:p>
    <w:p>
      <w:pPr>
        <w:spacing w:after="100"/>
      </w:pPr>
      <w:r>
        <w:t xml:space="preserve">Tres tendencias favorecen a los grandes con servicio en planta: los clientes reducen proveedores, piden trazabilidad y datos de consumo, y automatizan la reposición (expendedoras, contenedores con RFID, compras electrónicas integradas) [1, 2]. La amenaza es el comercio electrónico de catálogo, que abarata la comparación de precios en el cliente pequeño (Zoro, Amazon Business, MonotaRO) [15], y la IA de compras, que puede convertir parte del catálogo estándar en mercancía. Fastenal gana con la primera y está protegida en la segunda en la parte de reposición dentro de la planta (el 61 % de sus ventas ya pasa por sus propios canales digitales)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distribuidor de suministros industriales de Norteamérica tras Grainger; ≈ 5,9 % del mercado de más de 140.000 M USD que estima la empresa (8.201 M de ventas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MRO con catálogo amplio y entrega al día siguiente; Zoro y MonotaRO en surtido infinito. Margen operativo ajustado del 15,0 % (2.691 M)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Herramientas de corte y metalurgia; también expendedoras e implantes; más expuesta al ciclo y con margen a la baja (FY2025 a agosto)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Rodamientos, transmisión, hidráulica y automatización; crece con compras (FY2026 a junio)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 eléctrico y de comunicaciones; competidor en la parte eléctrica y de centros de datos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Distribution Solutions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DSGR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Lawson Products (tornillería y consumibles con gestión de inventario en planta), el modelo más parecido a escala menor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Würth (no cotiza)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grupo mundial de tornillería y montaje; en EE. UU. por filiales regionales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consumo de las máquinas mejoran la reposición, pero no hay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y almacenes dentro de la planta del cliente con su inventario y sus datos; contratos con crecimiento del 18,8 %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propias (Body Guard) en seguridad;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directa en Asia (FASTCO), 19 centros de distribución y camiones propios; margen de explotación del 20-21 % frente al 8-14 % de Grainger y MSC [1,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1.595 sucursales y 143.878 máquinas en un mercado fragmentado donde la densidad local abarata la entrega [1, 7].</w:t>
            </w:r>
          </w:p>
        </w:tc>
      </w:tr>
    </w:tbl>
    <w:p>
      <w:pPr>
        <w:spacing w:after="160" w:before="0"/>
      </w:pPr>
    </w:p>
    <w:p>
      <w:pPr>
        <w:pStyle w:val="Heading2"/>
      </w:pPr>
      <w:r>
        <w:t xml:space="preserve">Amenazas</w:t>
      </w:r>
    </w:p>
    <w:p>
      <w:pPr>
        <w:spacing w:after="100"/>
      </w:pPr>
      <w:r>
        <w:t xml:space="preserve">Tres amenazas, de más a menos probable: (1) la mezcla de clientes grandes que sigue bajando el margen bruto (−50 pb al año) y que el ahorro de gastos deje de compensar (probabilidad media) [2]; (2) el catálogo electrónico y la IA de compras que abaratan la comparación de precios en la parte estándar y en los clientes pequeños (sin contrato, 23,5 % de las ventas y creciendo al 7,8 %) (probabilidad media a cinco años) [2, 15]; (3) un competidor grande que replique el modelo de máquinas y almacenes en planta (Grainger y MSC ya lo tienen a menor escala; probabilidad baja) [15,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8,4 %</w:t>
      </w:r>
      <w:r>
        <w:t xml:space="preserve">, EBITDA </w:t>
      </w:r>
      <w:r>
        <w:rPr>
          <w:b/>
          <w:bCs/>
        </w:rPr>
        <w:t xml:space="preserve">8,2 %</w:t>
      </w:r>
      <w:r>
        <w:t xml:space="preserve">, BPA </w:t>
      </w:r>
      <w:r>
        <w:rPr>
          <w:b/>
          <w:bCs/>
        </w:rPr>
        <w:t xml:space="preserve">10,9 %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Diez años de crecimiento casi todo orgánico: ventas de 3.962 M USD en 2016 a 8.201 M en 2025 y 9.079 M en los doce meses a septiembre de 2026 [2, 7]. La única compra de peso fue Mansco (2020, 125 M en el estado de flujos) [7]. El margen de explotación se ha mantenido en el 20-21 % aunque el margen bruto bajó del 48-49 % de 2016-2018 al 45,0 % de 2025 y al 44,8 % del 3T26: los clientes grandes (contratos y emplazamientos de más de 50.000 USD al mes) compran con menos margen bruto, y el ahorro de gastos generales lo compensa (23,3 % de las ventas en el 3T26 frente al 24,6 % un año antes) [1, 2]. En 2025 el precio aportó 170-200 pb de crecimiento por los aranceles y la cuota el resto del 9,1 % de las ventas diarias, con el ISM manufacturero en 48,9 de media [1]. En 2026 las ventas diarias aceleran: +12,4 % en el 1T, +14,7 % en el 2T y +15,5 % en el 3T, con 240-350 pb de precio cada trimestre [2, 4]. 2020 lleva ventas extraordinarias de equipos de protección por la covid (seguridad, 25,5 % de las ventas frente al 21 % normal) [6].</w:t>
      </w:r>
    </w:p>
    <w:p>
      <w:pPr>
        <w:pStyle w:val="Heading2"/>
      </w:pPr>
      <w:r>
        <w:t xml:space="preserve">Ajustes y partidas no recurrentes</w:t>
      </w:r>
    </w:p>
    <w:p>
      <w:pPr>
        <w:spacing w:after="100"/>
      </w:pPr>
      <w:r>
        <w:t xml:space="preserve">Fastenal publica cifras GAAP sin ajustes: no hay BPA «ajustado» ni partidas no recurrentes relevantes en 2016-2025 (el EBITDA es el resultado de explotación más depreciación y amortización del estado de flujos) [1, 7]. Lo único que distorsiona la serie es la reforma fiscal de 2018 (el tipo efectivo baja del 36-37 % al 23-24 %, que sube el BPA de 2018 un 15 % sin mejora del negocio) y los dividendos extraordinarios de diciembre de 2020 (0,20 USD por acción de hoy) y de diciembre de 2023 (0,19 USD), que van aparte como dividendo extraordinario [1, 6]. El 3T26 lleva unos 20 pb de margen bruto por efectos de calendario (devoluciones de aranceles, rappels de proveedores) que la dirección no espera que se repitan [2,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3T26 (14-oct-2026) las ventas diarias crecieron un 15,5 % (contratos +18,8 %, resto +7,8 %; fabricación pesada +20,2 %), con 240 pb de precio y una mejora «modesta» de la producción industrial [2]. El margen bruto cayó 40-50 pb hasta el 44,8 %: unos 50 pb por la mezcla hacia clientes grandes y 30 pb de precio/coste negativo (10 pb mejor que en el 2T), compensados en parte por compras directas, rappels y devoluciones de aranceles; 20 pb de ese beneficio son de calendario [2, 10]. El margen de explotación subió al 21,5 % por el apalancamiento de gastos [2]. La dirección (Jeff Watts, consejero delegado desde el 16-jul-2026, y Max Tunnicliff, director financiero) rebajó otra vez el objetivo de firmas de máquinas FMI (27.000-29.000, antes 28.000-30.000) y mantuvo una inversión neta de 310-330 M en 2026 [2]. Los analistas preguntaron sobre todo cuánto margen bruto es transitorio y cuándo se cierra el hueco de precio/coste: la dirección dijo que no se ensanchará en el 4T pero no dio fecha para la neutralidad; atribuyó la moderación de septiembre (+14,4 %) a la base de precios y no a la actividad, y explicó la productividad comercial con especialización y presupuestos con IA, no con un tope de plantilla [10, 11, 12]. Frente al 2T (14-jul), el discurso pasa de «precio/coste difícil» (el 1T restó 50 pb y la acción cayó un 6,9 % el 13-abr) a «mejora secuencial» [4, 13]. Fastenal no da guía trimestral ni anual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comercial es el gran consumo de capital: existencias 1.776,6 M, clientes 1.615,2 M y proveedores 445,8 M a 30-sep-2026, 2.946 M (32 % de las ventas de doce meses) [2]. En el último año los clientes subieron un 19,9 % por la mezcla de clientes grandes, que pagan más tarde, mientras las existencias solo un 3,1 % pese a vender un 15,5 % más: la empresa ha liberado inventario tras el acopio de 2022 (1.708 M) y lo ha devuelto en 2023 [2, 7]. La deuda bajó de 555 M en 2022 a 100 M; el dividendo y las recompras se pagan con caja propia [3,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2016-2025: FCF </w:t>
      </w:r>
      <w:r>
        <w:rPr>
          <w:b/>
          <w:bCs/>
        </w:rPr>
        <w:t xml:space="preserve">7.462</w:t>
      </w:r>
      <w:r>
        <w:t xml:space="preserve">, conversión </w:t>
      </w:r>
      <w:r>
        <w:rPr>
          <w:b/>
          <w:bCs/>
        </w:rPr>
        <w:t xml:space="preserve">82 %</w:t>
      </w:r>
      <w:r>
        <w:t xml:space="preserve"> del beneficio neto; adquisiciones 187, dividendos 6.729, recompras 535.</w:t>
      </w:r>
    </w:p>
    <w:p>
      <w:pPr>
        <w:spacing w:after="100"/>
      </w:pPr>
      <w:r>
        <w:t xml:space="preserve">La conversión de beneficio en caja es alta pero cíclica: flujo operativo del 128 % del beneficio en 2020 y del 124 % en 2023 (cuando se liberan existencias) y del 83 % en 2021 y 87 % en 2022 (acopio por la escasez y la inflación) [7]. En los nueve meses de 2026, 94,8 % (media de cinco años 96,4 %), por los clientes que pagan más tarde [2]. El capex es de máquinas expendedoras (FASTVend, FASTBin), naves logísticas y TI: 2,8 % de las ventas en 2025 y 310-330 M (≈ 3,4 %) en 2026 por la nueva nave de Atlanta, TI retrasada y camiones; media de diez años 3,1 % [2]. Estimación propia: mantenimiento ≈ la amortización (≈ 2,0-2,2 % de las ventas), crecimiento el resto. Pagan casi todo el beneficio: dividendos de 1.004 M en 2025 (80 % del beneficio) y recompras de 30 M en el 3T26, las primeras desde 2022 [2,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(desde el ejercicio 2025; KPMG hasta 2024)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distribución con reconocimiento de ingresos al entregar, sin capitalización de I+D ni de intereses relevante, sin compras grandes ni fondo de comercio material y sin partidas no recurrentes en diez años [1]. Los pagos en acciones son mínimos (8,4 M en 2025, 0,7 % del beneficio) [1]. El cambio de auditor de KPMG a PwC se decidió en julio de 2024 tras un concurso, sin desacuerdos según la carta de KPMG [9]. Lo que más mueve la cifra es el valor de las existencias (provisión por lento movimiento) y las reservas de seguros propios, que la empresa considera estimaciones críticas sin desviaciones históricas [1]. Los indicadores del motor (Altman, Piotroski y Beneish) se leen con el balance sin deuda y el circulante alto: un Altman muy alto es esperable; si el Beneish se acercara a −1,78 sería por el salto de clientes de 2026 (cuentas a cobrar +19,9 % con ventas +15,5 %), explicado por la mezcla de clientes con plazos más largos y no por ventas adelantadas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+19,9 % frente a +15,5 % en el 3T26; la empresa lo atribuye a los clientes grandes con plazos más largos; la provisión por insolvencias solo sube de 5,3 a 6,2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con 20 pb de efectos de calendario en 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Devoluciones de aranceles y rappels que no se repetirán; la referencia de fondo es una caída de unos 60 pb [2,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(KPMG → PwC)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concurso en 2024, sin desacuerdos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51,6 % · </w:t>
      </w:r>
      <w:r>
        <w:rPr>
          <w:b/>
          <w:bCs/>
        </w:rPr>
        <w:t xml:space="preserve">WACC</w:t>
      </w:r>
      <w:r>
        <w:t xml:space="preserve">: 9,5 %.</w:t>
      </w:r>
    </w:p>
    <w:p>
      <w:pPr>
        <w:spacing w:after="100"/>
      </w:pPr>
      <w:r>
        <w:t xml:space="preserve">Fastenal crea valor de forma holgada y estable: ROIC del 34,2 % en 2025 frente a un WACC del 9,49 %, unos 25 puntos de diferencia, y por encima del 30 % todos los años desde 2018 [7]. Lo mueve la rotación más que el margen: vende 1,68 veces su capital invertido con un margen neto del 15,3 %, sin deuda (apalancamiento de 1,29). El ROIC incremental histórico (51,6 %) dice que el crecimiento de la última década ha sido muy rentable porque casi todo es orgánico y no hay fondo de comercio. El riesgo para el ROIC está en el circulante: los clientes grandes pagan más tarde (cuentas a cobrar +19,9 % en un año) y cada punto de circulante sobre ventas son unos 90 M de capital [2]. Grainger tiene un ROIC parecido (≈ 33 %) y MSC y Applied muy inferior (13,6 % y 19,6 %)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211,9 M USD (30-sep-2026) + crédito sindicado comprometido de 835 M sin disponer (ampliable a 1.335 M, vencimiento junio de 2031)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(deuda privada con aseguradoras bajo el Master Note Agreement)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casi nula: 100 M USD de pagarés privados a tipo fijo (serie E, 2,72 %, mayo de 2027; serie H, 2,50 %, junio de 2030) y nada dispuesto del crédito; el nuevo crédito de junio de 2026 quita el covenant de EBITDA y deja solo una cobertura mínima de intereses [3, 8]. Arrendamientos operativos de 351,7 M (113,5 a corto) que, en US GAAP, no se suman a la deuda [3]. Cartas de crédito por 29,7 M (contingentes) [1]. Sin pensiones de prestación definida (plan 401(k)), sin pagos aplazados de compras ni factoring. Reservas de seguros propios (accidentes laborales y responsabilidad civil) de 25 M en gastos devengados [1].</w:t>
      </w:r>
    </w:p>
    <w:p>
      <w:pPr>
        <w:pStyle w:val="Heading1"/>
      </w:pPr>
      <w:r>
        <w:t xml:space="preserve">12. Asignación de capital</w:t>
      </w:r>
    </w:p>
    <w:p>
      <w:pPr>
        <w:pStyle w:val="Confianza"/>
        <w:spacing w:after="100"/>
      </w:pPr>
      <w:r>
        <w:t xml:space="preserve">Confianza: Alta</w:t>
      </w:r>
    </w:p>
    <w:p>
      <w:pPr>
        <w:spacing w:after="100"/>
      </w:pPr>
      <w:r>
        <w:t xml:space="preserve">Dividendo trimestral creciente que reparte el 70-80 % del beneficio: 0,22 USD en 2025, 0,24 desde enero de 2026 y 0,26 desde julio de 2026 (+8,3 %); dividendos extraordinarios cuando sobra caja (diciembre de 2020 y de 2023) [1, 2]. Recompras oportunistas: autorización de 16 M de acciones de julio de 2022 sin caducidad, de la que quedan 10,675 M tras recomprar en 2026 [3]. Prioridades declaradas: crecimiento orgánico (máquinas FMI, naves, TI), dividendo y, después, deuda y recompras; compras pequeñas y escasas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Mansco (distribuidor de sujeciones de Texas) y activos de Apex Industrial (expendedoras)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impacto pequeño en ventas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de Mansco/Manufacturer's Supply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publicados [7].</w:t>
            </w:r>
          </w:p>
        </w:tc>
      </w:tr>
    </w:tbl>
    <w:p>
      <w:pPr>
        <w:spacing w:after="160" w:before="0"/>
      </w:pPr>
    </w:p>
    <w:p>
      <w:pPr>
        <w:spacing w:after="100"/>
      </w:pPr>
      <w:r>
        <w:t xml:space="preserve">Asignación de capital conservadora y coherente durante diez años: casi todo el crecimiento es orgánico, la reinversión va a capex y circulante y el resto se reparte (el 80 % del beneficio en dividendos en 2025) [1, 7]. No hay compras caras ni deterioros, y la deuda es simbólica. Las recompras son pequeñas (30 M en el 3T26 a unos 46 USD de media según la empresa) y no reducen las acciones de forma apreciable: 1.147 M en circulación frente a 1.148 M a final de 2025 [3]. El límite de esta política es que, con la acción a más de 40 veces beneficios, recomprar crea poco valor; el dividendo creciente es la vía principal.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Jeffery M. Watts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16-jul-2026); antes presidente y 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Fastenal desde 1996; dirigió las ventas internacionales y desde agosto de 2024 fue presidente y director comercial: el periodo de las firmas de contratos que explican el +15,5 % de 2026 [9,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 H. Tunnicliff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10-nov-2025)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raro en Fastenal: director financiero de Beko Europe y antes cargos financieros en Whirlpool (auditoría interna, estrategia, finanzas de Asia-Pacífico)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 Florness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 estratégico del consejero delegado hasta principios de 2028 (consejero delegado 2016-2026)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2002-2015 y consejero delegado 2016-2026: ventas de 3.962 a 8.201 M USD y margen de explotación del 20 % sostenido con el cambio a Onsites y expendedoras [1,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Satterlee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de transporte por carretera de C.H. Robinson; preside el consejo y dirige las sesiones de independientes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S. Miller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sénior de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las ventas y sucursales de EE. UU. e internacionales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Sheryl A. Lisowski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directora contable y tesorera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contable desde 2015; directora financiera interina en 2025 [1,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Firmas FMI de 25.000-26.000 MEU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25.892 MEU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 Footprint del 66-68 % de las ventas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62,4 % en diciembre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neta de 235-255 M USD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230,6 M (proyectos retrasados)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Firmas FMI de 28.000-30.000 MEU, rebajado en octubre a 27.000-29.000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21.428 en nueve meses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 Footprint del 66 %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61,4 % en el 3T26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neta de 310-330 M USD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190 M en nueve meses; se mantiene el rango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casa, con cultura de ascenso interno, bonus mensuales ligados al beneficio antes de impuestos y una sucesión ordenada: Watts fue nombrado presidente en agosto de 2024 y consejero delegado en julio de 2026, y Florness sigue de asesor hasta 2028 [22]. La novedad es un director financiero de fuera (Tunnicliff, ex Whirlpool y Beko) tras la salida de Holden Lewis en 2025 [9, 23]. La dirección cumple lo que controla (gasto, firmas en 2025) y falla en los objetivos de adopción digital y de máquinas, que lleva dos años rebajando [1, 2]: credibilidad media-alta en lo financiero, menor en los indicadores de crecimiento.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Satterlee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como miembro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Ancius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L. Eastman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Brady D. Ericson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Jeffery M. Watts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Rita J. Heise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Hsenghung Sam Hsu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desde feb-2026),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N. Nielsen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Irene A. Quarshie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Reyne K. Wisecup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Vishal Talwar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Reyne K. Wisecup</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0,21 / ventas 5,00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(fondos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a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(fondos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a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 con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3,0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Eastman Stephen 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HSU Hsenghung Sam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HSU Hsenghung Sam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Daniel 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Nielsen Sarah 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SATTERLEE SCOTT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Wisecup Reyne 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Ancius Michael J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Heise Rita J.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Heise Rita J.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Ancius Michael J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Papenfuss Donnalee Kathleen (EVP-Strategy and Communication)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Papenfuss Donnalee Kathleen (EVP-Strategy and Communication)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Modelo sencillo y barato para el tamaño: el consejero delegado cobró 4,18 M USD en 2025 (0,75 fijo, 2,57 de bonus en caja y 0,86 en opciones), 88 veces el empleado mediano [9]. El bonus se calcula con el crecimiento del beneficio antes de impuestos y se paga cada trimestre; no hay plan plurianual con ROIC ni rentabilidad para el accionista: las opciones (con cuatro-ocho años de consolidación) son el único incentivo a largo plazo [9]. Premia crecer el beneficio, no crecer a cualquier precio. Hay política de recuperación (clawback) conforme al Nasdaq desde 2023 y guías de tenencia de acciones para directivos y consejeros [9]. En 2026 la junta aprobó un plan de acciones restringidas para empleados y consejeros [20]. Voto en contra de la remuneración: 10,9 % en 2026 y 6,1 % en 2025 [20, 21].</w:t>
      </w:r>
    </w:p>
    <w:p>
      <w:pPr>
        <w:pStyle w:val="Heading2"/>
      </w:pPr>
      <w:r>
        <w:t xml:space="preserve">Operaciones vinculadas, estructura de control y defensas</w:t>
      </w:r>
    </w:p>
    <w:p>
      <w:pPr>
        <w:spacing w:after="100"/>
      </w:pPr>
      <w:r>
        <w:t xml:space="preserve">Sin accionista de control: el mayor es Vanguard con el 12,25 % y los internos tienen menos del 1 % [9]. Una acción, un voto, sin clases; consejeros elegidos cada año por mayoría [9, 20]. Presidente independiente separado del consejero delegado; nueve de once (hoy diez de doce) consejeros independientes y comisiones solo de independientes [9, 24]. Sin operaciones vinculadas relevantes según la política del consejo [9]. Wisecup (consejera desde 2000) es exdirectiva de recursos humanos de Fastenal: no es independiente [9]. Defensas: ninguna relevante más allá de las de la ley de Minnesota.</w:t>
      </w:r>
    </w:p>
    <w:p>
      <w:pPr>
        <w:pStyle w:val="Heading2"/>
      </w:pPr>
      <w:r>
        <w:t xml:space="preserve">Señales de alerta</w:t>
      </w:r>
    </w:p>
    <w:p>
      <w:pPr>
        <w:pStyle w:val="ListParagraph"/>
        <w:numPr>
          <w:ilvl w:val="0"/>
          <w:numId w:val="2"/>
        </w:numPr>
        <w:spacing w:after="60"/>
      </w:pPr>
      <w:r>
        <w:t xml:space="preserve">Ninguna relevante detectada tras revisar el proxy 2026, los 8-K de 2025-2026 y los Form 4. Se anota: rotación de la cúpula financiera (Holden Lewis sale en 2025, Tunnicliff entra en noviembre) y relevo del consejero delegado en julio de 2026, ambos ordenados [22,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Fastenal no da guía de ventas ni de beneficio, ni trimestral ni anual [2]. Sí da objetivos operativos de 2026, confirmados o cambiados el 14-oct-2026: firmas de máquinas FMI de 27.000-29.000 MEU (rebajado dos veces), inversión neta de 310-330 M USD (Atlanta, TI, camiones) y tipo fiscal del 24,6 % [2]. La dirección dijo en la conferencia que el hueco de precio/coste no se ensanchará en el 4T, sin fecha para la neutralidad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(14 analistas de BPA) [27]; DPA = dividendos declarados de 2026 [2]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(14 analistas)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7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39,90 – 60,00</w:t>
            </w:r>
          </w:p>
        </w:tc>
      </w:tr>
    </w:tbl>
    <w:p>
      <w:pPr>
        <w:spacing w:after="160" w:before="0"/>
      </w:pPr>
    </w:p>
    <w:p>
      <w:pPr>
        <w:pStyle w:val="Heading2"/>
      </w:pPr>
      <w:r>
        <w:t xml:space="preserve">Revisiones de estimaciones</w:t>
      </w:r>
    </w:p>
    <w:p>
      <w:pPr>
        <w:spacing w:after="100"/>
      </w:pPr>
      <w:r>
        <w:t xml:space="preserve">BPA de 2026 del consenso: 1,26 USD hace 90 días, 1,26 hace 30 y 1,27 hoy; 2027: 1,39 hace 90 días y 1,40 hoy (+0,8 %) [27]. Las revisiones son pequeñas y al alza tras dos trimestres de ventas por encima de lo esperado, frenadas por el margen bruto. Recomendaciones de Yahoo: 6 comprar, 7 mantener, 2 vender y 3 venta fuerte (18); objetivo medio de 13 analistas 51,07 USD (39,90-60,00), por debajo del precio [27]. Solo una fuente gratuita con estimaciones completas (Yahoo); MarketScreener no abre sin sesión.</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bl>
    <w:p>
      <w:pPr>
        <w:spacing w:after="160" w:before="0"/>
      </w:pPr>
    </w:p>
    <w:p>
      <w:pPr>
        <w:spacing w:after="100"/>
      </w:pPr>
      <w:r>
        <w:t xml:space="preserve">Fastenal ha batido al S&amp;P 500 a 1, 5 y 10 años (21,3 % anual con dividendos en diez años frente al 15,5 %) y en 2026 sube un 30,8 % frente al 13,7 % [26]. La subida de 2026 es de resultados (ventas de doble dígito y margen de explotación al alza) y de múltiplo: el PER de los doce meses pasa de unas 37 veces a final de 2025 a 42 veces [26, 27]. Los días de resultados mueven la acción: −6,9 % el 13-abr-2026 (margen bruto del 1T) y −4 % aprox. el 14-oct pese a batir, por la calidad del margen bruto [26]. Beta mensual de 5 años de 0,66 (semanal 0,79): defensiva para una industrial por su balance sin deuda y el dividendo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 +12,1 % / +15,4 % / +20,3 %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 +32,1 %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 las ventas: junio +20,5 % y 2T26 +14,7 % con margen de explotación del 21 %, publicados el 14-jul; subida del dividendo a 0,26 USD [4,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(13-abr, −6,9 % en el día): margen bruto del 44,6 % por precio/coste negativo tras los aranceles y mezcla de clientes, y aviso de un 2T «difícil» [13,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ventas y BPA por encima del consenso, pero el margen bruto bajó 50 pb y 20 pb de su mejora son de calendario [2,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+15,5 %, BPA 0,35 USD (+19,8 %), margen de explotación 21,5 %; firmas de máquinas rebajadas a 27.000-29.000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de 0,26 USD (0,24 un año antes)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de venta por valoración en Seeking Alpha; consenso de Yahoo con 5 ventas de 18 y objetivo medio de 51,07 USD, por debajo del precio [27,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consejeros y directivos en julio-agosto (Heise 1,75 M USD, Papenfuss 0,48 M, Ancius 0,30 M) a 49-52 USD; ninguna del consejero delegado ni del director financiero; en noviembre de 2025 cuatro consejeros compraron 0,21 M a 40-50 USD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 Watts sustituye a Dan Florness como consejero delegado (sucesión anunciada en diciembre de 2025)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crédito de 835 M USD hasta 2031, sin disponer; no hay emisiones de acciones ni convertibles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(4T26) hacia el 19-ene-2027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20,3 % en doce meses y está a un 1,3 % de su máximo histórico, con tendencia alcista (10,4 % sobre la media de 200 sesiones) y sin avisos de movimiento [26]. Las dos sacudidas del año tienen causa conocida y recogida en el análisis: el margen bruto del 1T (−6,9 % el 13-abr) y la calidad del margen del 3T (−4 % el 14-oct). No hay hechos pendientes que puedan mover el precio más de un 5 % en contra (sin colocaciones, ampliaciones, litigios ni operaciones corporativas); las ventas de consejeros son pequeñas y no del primer ejecutivo. Veredicto: no cambia. La decisión la marca la valoración, no el contexto.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año ajustado por las dos divisiones (Yahoo) [26]. Fastenal cotizó a 20-30 veces beneficios en 2016-2019 y a 30-40 veces desde 2020, cuando el mercado premió su resistencia en la pandemia y el cambio a clientes grandes; con tipos al 5 % el múltiplo no bajó [26]. Hoy, a 42 veces el BPA de doce meses y unas 38 veces el de los próximos doce, está en lo más alto de su historia; la mediana adelantada de cinco años ronda las 32 veces (detalle en la regla a 12 meses).</w:t>
      </w:r>
    </w:p>
    <w:p>
      <w:pPr>
        <w:pStyle w:val="Heading1"/>
      </w:pPr>
      <w:r>
        <w:t xml:space="preserve">18. Comparables cotizados</w:t>
      </w:r>
    </w:p>
    <w:p>
      <w:pPr>
        <w:pStyle w:val="Confianza"/>
        <w:spacing w:after="100"/>
      </w:pPr>
      <w:r>
        <w:t xml:space="preserve">Confianza: Media</w:t>
      </w:r>
    </w:p>
    <w:p>
      <w:pPr>
        <w:spacing w:after="100"/>
      </w:pPr>
      <w:r>
        <w:t xml:space="preserve">Distribuidores industriales cotizados de EE. UU. y Reino Unido con modelo de servicio al cliente profesional: Grainger y MSC (competidores directos en MRO), Applied (componentes industriales), Wesco y Ferguson (eléctrico, fontanería), Watsco (climatización) y Diploma y RS (especialistas europeos). Fuera Würth (no cotiza), Bunzl (consumibles no industriales) y DSG (dos analistas, poco seguida). Todos con datos de Yahoo del 21-oct-2026 [27]; libras a dólares con el BCE [35]; ROIC y rentabilidad por FCF de la ficha sectorial del 14-oct cuando existen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Ferguson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23,2x / 25,5x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1,8x / 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spacing w:after="100"/>
      </w:pPr>
      <w:r>
        <w:t xml:space="preserve">Fastenal es la más cara del grupo con diferencia: unas 36-37 veces el BPA adelantado de consenso frente a una mediana de 23,2 veces, y 29 veces el EBITDA de doce meses frente a 14-26 [27]. Parte de la prima se justifica: margen EBITDA del 22,5 %, el más alto con Diploma, ROIC superior al 30 % (con Grainger), sin deuda y crecimiento del 14 % en 2026 [27, 34]. Pero Grainger, con ROIC parecido y crecimiento del 7-10 %, cotiza a 26 veces, y el crecimiento esperado de Fastenal para 2027 (+9,5 %) no es muy superior. Usaríamos el PER para comparar (mismo criterio GAAP en EE. UU.); el EV/EBITDA mezcla definiciones ajustadas en los europeos.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Foundation Building Materials (distribución de materiales de interior)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Lowe's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pro forma 2024 de 635 M y ventas de 6.500 M; múltiplo calculado con esas cifras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GMS (distribución de placas de yeso y techos)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Depot (SRS)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comunicado; EBITDA GAAP de FY2025 (abril) del XBRL, que lleva cargos: el múltiplo sobre el ajustado sería menor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Beacon Roofing Supply (distribución de tejados)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QXO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con deuda del comunicado; EBITDA GAAP 2024 del XBRL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SRS Distribution (distribución especializada para profesionales)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16,1x el EBITDA ajustado 2023e según el comprador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(12,9x – 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23,07 – 25,78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recientes de distribuidores para profesionales en EE. UU. se pagaron a 12,7-16,1 veces el EBITDA, con control y sinergias [30, 31, 32, 33]. Fastenal cotiza a 29 veces su EBITDA de doce meses sin prima de control: el mercado ya paga por ella el doble que un comprador estratégico por un distribuidor de construcción. No es objetivo de compra verosímil (59.000 M USD de capitalización, sin accionista de control) y su propia estrategia de compras es casi nula. Son de construcción, no de MRO: referencia lejana,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tres trimestres publicados (+14,2 % en nueve meses) y un 4T de ≈ 2.280 M (+12,5 %), que dan +13,8 % (consenso +13,7 %) [2, 27]. Después bajamos del +8 % de 2027 al +4 % de 2034. El histórico de diez años es del 8,4 % anual, con la cuota en clientes grandes (contratos +18,8 %) como motor y el precio como ayuda puntual [2, 7]. Nuestro 2027 (+8,0 %) queda por debajo del consenso (+9,5 %) porque el precio arancelario (240-350 pb por trimestre en 2026) desaparece de la comparación y suponemos una industria plana [2, 27].</w:t>
      </w:r>
    </w:p>
    <w:p>
      <w:pPr>
        <w:keepNext/>
        <w:spacing w:after="100"/>
      </w:pPr>
      <w:r>
        <w:rPr>
          <w:b/>
          <w:bCs/>
        </w:rPr>
        <w:t xml:space="preserve">Márgenes.</w:t>
      </w:r>
    </w:p>
    <w:p>
      <w:pPr>
        <w:spacing w:after="100"/>
      </w:pPr>
      <w:r>
        <w:t xml:space="preserve">Margen EBITDA del 22,6 % en 2026e (22,9 % en nueve meses, 4T más flojo) que sube al 23,0 % en 2029e: el apalancamiento de gastos compensa la mezcla de clientes grandes (−50 pb de margen bruto al año), como en 2025-2026 [2]. Es el máximo histórico de la empresa (22,4 % en 2025 y 23,3 % en 2022, el mejor año) y no suponemos más: Grainger está en el 15-17 % y MSC en el 11 % [7, 15, 27].</w:t>
      </w:r>
    </w:p>
    <w:p>
      <w:pPr>
        <w:keepNext/>
        <w:spacing w:after="100"/>
      </w:pPr>
      <w:r>
        <w:rPr>
          <w:b/>
          <w:bCs/>
        </w:rPr>
        <w:t xml:space="preserve">Inversión y circulante.</w:t>
      </w:r>
    </w:p>
    <w:p>
      <w:pPr>
        <w:spacing w:after="100"/>
      </w:pPr>
      <w:r>
        <w:t xml:space="preserve">Capex del 3,5 % de las ventas en 2026e (guía neta de 310-330 M por la nave de Atlanta, TI y camiones) que baja al 2,3 % en 2034e, por encima de la amortización (2,1 %); media de diez años del 3,1 % y de cinco del 2,5 % [2]. Circulante del 32 % de las ventas, el de 2025 y de los doce meses a septiembre [2]: con clientes grandes que pagan más tarde, es un supuesto prudente y no optimista.</w:t>
      </w:r>
    </w:p>
    <w:p>
      <w:pPr>
        <w:keepNext/>
        <w:spacing w:after="100"/>
      </w:pPr>
      <w:r>
        <w:rPr>
          <w:b/>
          <w:bCs/>
        </w:rPr>
        <w:t xml:space="preserve">Coste del capital.</w:t>
      </w:r>
    </w:p>
    <w:p>
      <w:pPr>
        <w:spacing w:after="100"/>
      </w:pPr>
      <w:r>
        <w:t xml:space="preserve">Tasa libre del 5,12 % (bono del Tesoro a 10 años del 20-oct-2026) [28]; beta de 0,80, entre la mensual de cinco años (0,66; ajustada 0,77) y la semanal (0,79; ajustada 0,86) [26]; prima de mercado del 5,5 %. Coste de los recursos propios del 9,5 % y deuda casi nula (100 M): WACC del 9,49 %. Con la prima implícita del mercado (4,20 % en octubre de 2026) [29] el WACC baja al 8,5 %, y la conclusión no cambia.</w:t>
      </w:r>
    </w:p>
    <w:p>
      <w:pPr>
        <w:keepNext/>
        <w:spacing w:after="100"/>
      </w:pPr>
      <w:r>
        <w:rPr>
          <w:b/>
          <w:bCs/>
        </w:rPr>
        <w:t xml:space="preserve">Valor terminal.</w:t>
      </w:r>
    </w:p>
    <w:p>
      <w:pPr>
        <w:spacing w:after="100"/>
      </w:pPr>
      <w:r>
        <w:t xml:space="preserve">Gordon con crecimiento del 3,0 % en dólares (1 % real más la inflación esperada), por debajo de la tasa libre menos medio punto. El valor terminal es el 63 % del valor. Con el último año a 18 veces el EBITDA (múltiplo de salida de referencia, en la parte baja de los comparables y por debajo de las 29 veces actuales) el valor sería mayor, pero ni con 29 veces se acerca al precio: la diferencia está en el crecimiento que descuenta el mercado, no en el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(ROIC 34,2 %)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al 6,7 %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 (histórico: 51,6 %)</w:t>
            </w:r>
          </w:p>
        </w:tc>
      </w:tr>
    </w:tbl>
    <w:p>
      <w:pPr>
        <w:spacing w:after="160" w:before="0"/>
      </w:pPr>
    </w:p>
    <w:p>
      <w:pPr>
        <w:spacing w:after="100"/>
      </w:pPr>
      <w:r>
        <w:t xml:space="preserve">La proyección reinvierte el 16 % del NOPAT. Con el ROIC del último ejercicio (34,2 %), eso financia un crecimiento del 5,4 % anual, frente al 6,7 % de ingresos proyectado. Supone que el capital nuevo rinde un 38,7 %, frente a un ROIC incremental histórico del 51,6 %.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(cuota en contratos y emplazamientos de más de 50.000 USD, +18,7 % en el 3T26) y precio +2 % (resto del arancel y acero)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con una industria plana y precio +2 %, en línea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la cuota sigue ganándose a menor ritmo;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+2 %; converge hacia el crecimiento nominal de la industria más cuota.</w:t>
            </w:r>
          </w:p>
        </w:tc>
      </w:tr>
    </w:tbl>
    <w:p>
      <w:pPr>
        <w:spacing w:after="160" w:before="0"/>
      </w:pPr>
    </w:p>
    <w:p>
      <w:pPr>
        <w:spacing w:after="100"/>
      </w:pPr>
      <w:r>
        <w:t xml:space="preserve">Sí. La proyección reinvierte el 16 % del NOPAT, que al ROIC actual (34,2 %) financia un 5,4 % anual frente al 6,7 % proyectado; la diferencia es precio (2 puntos al año), que solo pide circulante y ya está dentro de la reinversión: 5,4 % financiable más 2 de precio cubren el 6,7 % [17]. El capital nuevo rinde un 38,7 % en la proyección, por debajo del ROIC incremental histórico (51,6 %). El crecimiento proyectado (6,7 %) queda bajo el histórico (8,4 %) y se apoya en una ventaja demostrada (contratos +18,8 %, costes de cambio de las máquinas en planta) [2]. La cuota final no se mide (mercado sin serie), pero con el 5,9 % de un mercado fragmentado no es un límite.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(WACC: 9,5 %)</w:t>
            </w:r>
          </w:p>
        </w:tc>
      </w:tr>
    </w:tbl>
    <w:p>
      <w:pPr>
        <w:spacing w:after="160" w:before="0"/>
      </w:pPr>
    </w:p>
    <w:p>
      <w:pPr>
        <w:spacing w:after="100"/>
      </w:pPr>
      <w:r>
        <w:t xml:space="preserve">El DCF da 21,92 USD por acción, un 57,6 % por debajo del precio, con un WACC del 9,49 % y el 63 % del valor en el terminal. Con la prima de riesgo que hoy pide el mercado (WACC del 8,5 %) sube a 26,18. El DCF inverso es la clave: para justificar 51,65 USD con nuestros márgenes, las ventas tendrían que crecer un 27,9 % anual en 2027-2034, frente al 5,8 % de nuestro caso base y al 8,4 % de los últimos diez años; o, con nuestro crecimiento, el margen EBITDA tendría que ser del 48,4 %, el doble del máximo histórico. La rentabilidad anual implícita en el precio es del 5,8 %, por debajo del 9,5 % de su coste de capital y del 8,5 % que pide el mercado. El precio no descuenta la empresa que hay, sino una que crece al triple o con el doble de margen: eso es exigente, no conservador. El múltiplo que hoy se paga (29 veces el EBITDA) solo se sostiene si el mercado sigue pagándolo, que es lo que mide la regla a 12 meses.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industrial en 2027 como la de 2015-2016 o la de 2009 en pequeño: las ventas caen un 2 % en vez de subir un 8 % y el margen EBITDA pierde 2,5 puntos por apalancamiento operativo y precio/coste; después el crecimiento queda 3 puntos por debajo y el margen 1,5 puntos. Ya le ha pasado: 2016 (+1,8 % de ventas) y 2009.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plana, cuota en clientes grandes y 2 puntos de precio: ventas +8 % en 2027 bajando al 4 % en 2034, margen EBITDA del 22,8-23,0 %.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industrial (ISM &gt; 52) y relocalización: crecimiento 1,5 puntos mayor cada año y medio punto más de margen por apalancamiento.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5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20,70 USD (-59,9 %).</w:t>
      </w:r>
    </w:p>
    <w:p>
      <w:pPr>
        <w:spacing w:after="100"/>
      </w:pPr>
      <w:r>
        <w:t xml:space="preserve">La asimetría es mala en los tres escenarios del DCF: el alcista vale 23,98 USD y el bajista 14,99, ambos muy por debajo del precio (−53,6 % y −71,0 %). En la regla a 12 meses, que mira a cuánto cotizará, el alcista da 54,60 USD (+7,6 % con dividendo) y el bajista 28,44 (−43,1 %): se arriesga mucho más de lo que se puede ganar a este precio. Compensa solo si el múltiplo de 35-38 veces se mantiene, lo que el DCF no justifica.</w:t>
      </w:r>
    </w:p>
    <w:p>
      <w:pPr>
        <w:pStyle w:val="Heading1"/>
      </w:pPr>
      <w:r>
        <w:t xml:space="preserve">22. Suma de partes</w:t>
      </w:r>
    </w:p>
    <w:p>
      <w:pPr>
        <w:pStyle w:val="Confianza"/>
        <w:spacing w:after="100"/>
      </w:pPr>
      <w:r>
        <w:t xml:space="preserve">Confianza: Alta</w:t>
      </w:r>
    </w:p>
    <w:p>
      <w:pPr>
        <w:spacing w:after="100"/>
      </w:pPr>
      <w:r>
        <w:t xml:space="preserve">No aplica: Fastenal tiene un solo segmento (EE. UU.) y el resto de geografías por debajo del 10 % de ventas y beneficio; todas las líneas de producto comparten canal, logística y clientes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5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23,55 USD (-54,4 % sobre 51,65).</w:t>
      </w:r>
    </w:p>
    <w:p>
      <w:pPr>
        <w:spacing w:after="100"/>
      </w:pPr>
      <w:r>
        <w:t xml:space="preserve">Pesos: DCF 50 %, escenarios 30 % y comparables 20 %; transacciones 0 (distribución de construcción con control, referencia lejana) y sin suma de partes (un solo negocio). El DCF es el método más fiable para una empresa sin deuda, con historia larga y flujos estables. Los comparables (PER de los próximos doce meses, mediana de 23,2 veces) dan más valor que el DCF porque el sector entero cotiza caro frente a su coste de capital con tipos al 5 %, y aun así quedan muy por debajo del precio. La dispersión es pequeña entre métodos y grande frente al precio: todos dicen que el precio descuenta más de lo que la empresa puede dar. El valor objetivo de la síntesis es 23,55 USD (−54,4 %).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(38x) a mitad de camino hacia abajo, hacia la mediana de 5 años (32.3x)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rPr>
          <w:b/>
          <w:bCs/>
        </w:rPr>
        <w:t xml:space="preserve">Objetivo a 12 meses (ponderado):</w:t>
      </w:r>
      <w:r>
        <w:t xml:space="preserve"> 46,66 USD · rentabilidad -7,8 % (base +2,1 %) · señal Mantener.</w:t>
      </w:r>
    </w:p>
    <w:p>
      <w:pPr>
        <w:spacing w:after="100"/>
      </w:pPr>
      <w:r>
        <w:t xml:space="preserve">Para comparar, con la regla v2 (historia al cierre, mismo precio): 25,1x / 35,9x / 35,9x, -4,9 %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(1,27) coincide con el consenso (1,27) y el de 2027e (1,38) queda un 1,4 % por debajo (1,40): suponemos un crecimiento de ventas de 2027 del 8,0 % frente al 9,5 % del consenso, porque el precio arancelario sale de la comparación [27]. No hay consenso de 2028e. Nuestro objetivo base a 12 meses (51,80) queda un 1,4 % por encima del objetivo medio de los analistas (51,07) y dentro de su rango (39,90-60,00): la diferencia no está en el BPA sino en el múltiplo, que la regla común lleva de 38 veces hacia su mediana de 32,3.</w:t>
      </w:r>
    </w:p>
    <w:p>
      <w:pPr>
        <w:keepNext/>
        <w:spacing w:after="100"/>
      </w:pPr>
      <w:r>
        <w:rPr>
          <w:b/>
          <w:bCs/>
        </w:rPr>
        <w:t xml:space="preserve">Del valor intrínseco al objetivo a 12 meses.</w:t>
      </w:r>
    </w:p>
    <w:p>
      <w:pPr>
        <w:spacing w:after="100"/>
      </w:pPr>
      <w:r>
        <w:t xml:space="preserve">El objetivo a 12 meses (46,66 USD ponderado, 51,80 en el base) queda muy por encima del valor intrínseco (23,55 USD): la distancia, de casi el doble, es el múltiplo. El mercado paga 38 veces el BPA de los próximos doce meses por un negocio que, descontado a su coste de capital, vale unas 17-20 veces. Cerrarla exigiría un crecimiento sostenido muy superior al histórico o tipos de interés mucho más bajos; no hay catalizador con fecha que lo haga. Por eso la tesis no es de compra a ningún plazo a este precio: el objetivo a 12 meses supone que el múltiplo se mantiene alto, y el valor intrínseco dice que no debería.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semana de noviembre y de 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de octubre y noviembre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Confirman si el crecimiento se modera hacia el 10-12 % al comparar con los precios de los aranceles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19-ene-2027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objetivos de 2027 (firmas FMI, capex, Digital Footprint)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frente al 44,3 % del 4T25 y referencia de −60 pb de fondo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precio de los aranceles en la comparación interanual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ventas pierde 2-3 puntos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la política arancelaria de EE. UU. (acero, China) y devoluciones de aranceles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y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 manufacturero de EE. UU. por encima o por debajo de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clientes fabricantes (77 %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junta y primer año completo con Watts de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Prioridades de capital (recompras con 10,7 M de acciones autorizadas)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cotiza a 38 veces nuestro BPA de los próximos doce meses frente a una mediana adelantada de 32,3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vuelve a su mediana con el BPA de 2027e; −37 % hasta su mínimo de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15-20 %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diarias por debajo del 8 %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industrial en EE. UU. (ISM &lt; 45) con caída de volumen y apalancamiento operativo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en el escenario bajista a 12 meses (28,44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Bonus variables (70-75 % de los gastos son de personal) y balance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 por debajo de 47 tres meses seguidos; ventas a fabricantes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mezcla de clientes grandes (−50 pb al año) y precio/coste por aranceles y acero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100 pb de margen bruto no compensados con gastos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gastos generales (−130 pb en el 3T26) y compra directa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trimestre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más derechos sobre tornillería y acero importados de China y Taiwán o reversión de las devoluciones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el precio/coste se queda en −50 pb un año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precios demostrado en 2025 (170-200 pb)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peor que −30 pb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Grainger (también con expendedoras), MSC y el catálogo en línea (Amazon Business, Zoro) en clientes pequeños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las máquinas y los almacenes en planta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sin contrato en negativo (hoy +7,8 %)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clientes grandes con plazos más largos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2 puntos de circulante sobre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que crecen menos que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caja por debajo del 90 % del beneficio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tras el relevo del consejero delegado y del director financiero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y Florness de asesor hasta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la política de dividendo o compras grandes</w:t>
            </w:r>
          </w:p>
        </w:tc>
      </w:tr>
    </w:tbl>
    <w:p>
      <w:pPr>
        <w:spacing w:after="160" w:before="0"/>
      </w:pPr>
    </w:p>
    <w:p>
      <w:pPr>
        <w:pStyle w:val="Heading2"/>
      </w:pPr>
      <w:r>
        <w:t xml:space="preserve">Pre-mortem</w:t>
      </w:r>
    </w:p>
    <w:p>
      <w:pPr>
        <w:spacing w:after="100"/>
      </w:pPr>
      <w:r>
        <w:t xml:space="preserve">Es octubre de 2029 y Fastenal ha perdido un 40 %. La historia más probable: en 2027 se acabó el empujón de los aranceles (2-3 puntos de precio que desaparecen de la comparación) justo cuando la industria de EE. UU. volvió a frenarse; las ventas pasaron de crecer un 15 % a un 3-4 %, y el apalancamiento operativo que había subido el margen de explotación al 21,5 % se dio la vuelta, porque la mezcla de clientes grandes siguió restando 50 pb de margen bruto al año sin volumen que lo compensara. El BPA se estancó en torno a 1,30-1,40 USD y el mercado, que pagaba 38 veces, volvió a pagar las 23-25 veces de 2022 o de los años anteriores a la pandemia: 1,35 × 24 ≈ 32 USD. Nadie dudó de la calidad del negocio; se pagó demasiado por ella. Los indicadores que lo habrían anticipado: las ventas diarias mensuales por debajo del 8 %, un ISM por debajo de 47 y un margen de explotación trimestral por debajo del del año anterior.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 (amenaza en el catálogo estándar) / +3 % (productividad interna) a 3-5 años</w:t>
      </w:r>
    </w:p>
    <w:p>
      <w:pPr>
        <w:spacing w:after="100"/>
      </w:pPr>
      <w:r>
        <w:t xml:space="preserve">Lo que vende Fastenal es físico (tornillos, guantes, brocas) y su ventaja es tenerlo en la planta del cliente: la IA no lo sustituye. La amenaza está en el 23,5 % de ventas sin contrato y en la parte estándar del catálogo, donde agentes de compra con IA y los mercados en línea (Amazon Business, Zoro) abaratan la comparación de precios y empujan el margen bruto hacia el de un catálogo genérico [2, 15]. La oportunidad es interna: la dirección atribuye parte de la productividad comercial a herramientas de presupuestos con IA (ventas +15,5 % con la plantilla +0,8 %) y el 61 % de las ventas ya pasa por sus canales digitales, que dan los datos de consumo que entrenan la reposición [2, 12]. Señal a vigilar: que las ventas sin contrato pasen a caer mientras el mercado crece, o que el margen bruto del cliente pequeño se hunda; umbral, ventas sin contrato negativas dos trimestres. Riesgo menor que en servicios o software; lo dejamos en «Mixto» con exposición baja.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Medalla de plata (15 % mejor de las evaluadas)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que mueve cifras: (1) seguridad laboral en 19 centros de distribución y una flota propia de camiones (la empresa usa la tasa EMR del seguro de accidentes como indicador, por debajo de la media del sector) [1]; (2) cadena de suministro en Asia y cumplimiento de normas de origen y trabajo forzoso (importaciones de China y Taiwán) [1]; (3) ahorro de consumo de los clientes con las expendedoras (menos desperdicio de consumibles), que es parte de la propuesta comercial [1, 9].</w:t>
      </w:r>
    </w:p>
    <w:p>
      <w:pPr>
        <w:pStyle w:val="Heading2"/>
      </w:pPr>
      <w:r>
        <w:t xml:space="preserve">Controversias</w:t>
      </w:r>
    </w:p>
    <w:p>
      <w:pPr>
        <w:spacing w:after="100"/>
      </w:pPr>
      <w:r>
        <w:t xml:space="preserve">No encontramos sanciones, litigios materiales ni incidentes relevantes en los últimos tres años en el 10-K 2025 (sin procedimientos legales materiales) ni en los 8-K de 2025-2026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bruto de fondo una vez cerrado el hueco de precio/coste, y cuántos puntos más restará la mezcla de clientes grandes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100 pb de margen bruto son ≈ 5 % del valor y la dirección no dio fecha para la neutralidad.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+15,5 % del 3T26 es precio arancelario que no se repetirá en 2027, y qué parte de las devoluciones de aranceles queda por reconocer?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2027e (+8 %) supone 2 puntos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Firmas de máquinas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rebajado dos veces el objetivo de firmas de 2026 si las ventas aceleran?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máquinas son el foso; si se frenan, la cuota futura también.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plazos de cobro tienen los contratos nuevos y hasta dónde puede subir el circulante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 cobrar +19,9 % frente a ventas +15,5 %.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¿Cambiará la política de dividendo y recompras con el nuevo consejero delegado y el director financiero externo?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 M en el 3T26, las primeras desde 2022.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¿Dónde pierde Fastenal frente a Grainger o el catálogo en línea en clientes sin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sin contrato +7,8 % frente a +18,8 % con contrato.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($FAST)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marcados: alcistas de corto plazo («siempre oscila incluso con buenas cifras») frente a uno bajista («sobrevalorada»); se comenta la caída del 5 % antes de la apertura del 14-oct por el margen y que la recompra del 3T fue a unos 46 USD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 predominan las tesis de valoración: «la matemática detrás de mi venta», «no veo razón para pagar más prima», «ni un 16 % de crecimiento basta a 39 veces»; admiran el negocio pero no el precio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y Trefis (blogs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Centran la duda en cuánto margen bruto es transitorio (20 pb de calendario) y si los clientes grandes siguen sin erosionar el beneficio por venta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37-43 veces)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42 veces el BPA de doce meses y 36-37 el adelantado de consenso, por encima de su mediana histórica y de todos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y mezcla de clientes grandes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que baja (−40/−50 pb) pero el margen de explotación sube 90 pb: la tesis de la empresa se cumple de momento.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cuota (contratos +18,8 %)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por los emplazamientos de más de 50.000 USD (+18,7 %); parte del crecimiento es precio por aranceles (240 pb).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Operativa de corto plazo alrededor de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Ruido sin relación con la tesis.</w:t>
            </w:r>
          </w:p>
        </w:tc>
      </w:tr>
    </w:tbl>
    <w:p>
      <w:pPr>
        <w:spacing w:after="160" w:before="0"/>
      </w:pPr>
    </w:p>
    <w:p>
      <w:pPr>
        <w:spacing w:after="100"/>
      </w:pPr>
      <w:r>
        <w:t xml:space="preserve">Los particulares y los autores de Seeking Alpha coinciden con el análisis en lo esencial: el negocio es de calidad y el precio es exigente. No hay euforia ni capitulación; la acción sube por resultados con un coro escéptico sobre el múltiplo, y los analistas tampoco empujan (objetivo medio de 51 USD, por debajo del precio). El foro no aporta un riesgo que el informe no tenga; sí recuerda que los días de resultados castigan cualquier duda sobre el margen bruto (−7 % en abril, −4 % en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37 (25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38,7 % frente a un ROIC de 34,2 % y un incremental histórico de 51,6 %: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32,6 % real: genera una variación de circulante de 310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fondo_comercio e 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del 10-K 2025 (no se desglosan); 2) nota 3 de activos a largo plazo (solo inmovilizado); 3) XBRL de la SEC (sin concepto de fondo de comercio)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(inmaterial: dentro de «otros activos», 140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de Fastenal (solo «más de 140.000 M», sin serie); 2) 10-K de Grainger 2018 y 2025 (2018 con cifra, 2025 sin ella); 3) MDM y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de la junta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abril de 2024 (no descargado en esta iteración); 2) proxy 2025 (no lo recoge); 3) se usan las juntas de 2025 y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(dos juntas en vez de 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(dos ejercicios, sin EBITDA); 2) MarketScreener (no abre sin sesión); 3) Nasdaq/Zacks (solo BPA del año y el siguiente)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distribuidores MRO puros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Applied Industrial (Hydradyne) y DSG (sin múltiplo); 2) 10-K de Grainger (venta de Cromwell, sin múltiplo); 3) prensa sectorial (MDM,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distribuidores de construcción, marcados como referencia lejana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de ingresos por línea de producto, mercado final y geografía, deuda, riesgos, división de acciones 2×1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https://www.sec.gov/Archives/edgar/data/815556/000081555626000009/fast-20251231.htm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Fastenal Company Reports 2026 Third Quarter Earnings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https://www.sec.gov/Archives/edgar/data/815556/000081555626000046/ex_99109302026earningsrele.htm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2026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https://www.sec.gov/Archives/edgar/data/815556/000081555626000049/fast-20260930.htm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1T26 y 2T26 (8-K, anexos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https://www.sec.gov/Archives/edgar/data/815556/000081555626000037/ex_99106302026earningsrele.htm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4T24, 3T25 y 4T25 / ejercicio 2025 (8-K, anexos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https://www.sec.gov/Archives/edgar/data/815556/000081555626000003/ex_99112312025earningsrele.htm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 2023 y de 2021 (líneas de producto, mercados finales y dividendos extraordinarios de 2020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https://www.sec.gov/Archives/edgar/data/815556/000081555624000009/fast-20231231.htm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y cuentas de 2016-2025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nuevo crédito sindicado de 835 M USD hasta 2031 (Wells Fargo), covenants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https://www.sec.gov/Archives/edgar/data/815556/000081555626000035/fast-20260618.htm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cambio de auditor de KPMG a PwC desde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https://www.sec.gov/Archives/edgar/data/815556/000081555626000017/fast-20260225.htm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del 3T26 (margen bruto, 20 pb de efecto calendario, precio/coste, sin guía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https://www.trefis.com/stock/fast/articles/619186/the-open-question-under-fastenal-stocks-price/2026-10-19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stock slips 4% despite a Q3 beat (consenso del 3T26: 0,34 USD y 2.440 M; ventas de septiembre +14,4 %)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https://www.tikr.com/de/blog/fastenal-stock-slips-4-despite-a-q3-beat-heres-the-fuller-picture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del 3T26 (preguntas sobre precio/coste, moderación de septiembre, productividad con IA en presupuestos)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https://stockhub.kr/en/insights/view_1792114575632_ja2q596t0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posts in-line Q1 results as shares slip; margen bruto 44,6 % por precio/coste y mezcla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https://seekingalpha.com/news/4574412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2018 de W.W. Grainger (mercado MRO de EE. UU. de 93.000 M USD y de Canadá de 12.000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https://www.sec.gov/Archives/edgar/data/277135/000027713519000010/gww20181231-10k.htm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W.W. Grainger (resultado operativo, Zoro y MonotaRO, salida del Reino Unido)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https://www.sec.gov/Archives/edgar/data/277135/000027713526000011/gww-20251231.htm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ventas y resultado de explotación de MSC Industrial (FY2025), Applied Industrial (FY2026), Wesco (2025) y Distribution Solutions Group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distribución industrial especializada (perímetro, economía, ciclo,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(sectores/distribucion-industrial-2026-10-14.md)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fijaciones y componentes metálicos (IMARC y Global Market Insights; CBAM; aranceles)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(sectores/componentes-fijaciones-2026-10-15.md)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sectores/componentes-fijaciones-2026-10-15.md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de Fastenal (historia del modelo Onsite: primero en 1992, motor de crecimiento desde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https://www.sec.gov/Archives/edgar/data/815556/000081555622000009/fast-20211231.htm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(votos de consejeros y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https://www.sec.gov/Archives/edgar/data/815556/000081555626000025/fast-20260423.htm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https://www.sec.gov/Archives/edgar/data/815556/000081555625000087/fast-20250424.htm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Announces CEO Transition (Florness deja el cargo el 16-jul-2026; le sucede Jeff Watts)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https://www.sec.gov/Archives/edgar/data/815556/000081555625000123/ex_99112222025ceo.htm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Names New Chief Financial Officer (Max Tunnicliff, desde el 10-nov-2025)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https://www.sec.gov/Archives/edgar/data/815556/000081555625000121/ex_99110302025cfo.htm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Vishal Talwar (FedEx) como consejero independiente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https://www.sec.gov/Archives/edgar/data/815556/000081555626000033/fast-20260612.htm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https://www.sec.gov/cgi-bin/browse-edgar?action=getcompany&amp;CIK=0000815556&amp;type=4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(FAST, SPY, XLI) y cierres de cada ejercicio, hasta el 20-oct-2026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https://finance.yahoo.com/quote/FAST/history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Fastenal y comparables (consenso de BPA y ventas, recomendaciones, objetivos, valor empresa,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https://finance.yahoo.com/quote/FAST/analysis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adquisición de SRS Distribution (18.250 M USD, ≈ 16,1x el EBITDA ajustado 2023e), presentación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Home Depot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https://www.sec.gov/Archives/edgar/data/354950/000110465924040163/tm2410002d1_ex99-2.htm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acuerdo para comprar Foundation Building Materials (≈ 8.800 M USD; 6.500 M de ventas y 635 M de EBITDA ajustado pro forma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https://www.sec.gov/Archives/edgar/data/60667/000006066725000162/exhibit991-08012025fbm.htm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GMS: acuerdo con Home Depot/SRS (110 USD por acción, valor empresa ≈ 5.500 M USD) y cuentas XBRL de FY2025 (ventas 5.514 M, EBITDA 422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GMS Inc. (SEC, 8-K y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https://www.sec.gov/Archives/edgar/data/1600438/000110465925063833/tm2519400d1_ex99-1.htm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 to Acquire Beacon Roofing Supply for $11 Billion; cuentas XBRL de Beacon 2024 (ventas 9.763 M, EBITDA 867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 (Business Wire) 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https://www.businesswire.com/news/home/20250320149865/en/QXO-to-Acquire-Beacon-Roofing-Supply-for-11-Billion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distribución industrial (ROIC, DN/EBITDA y rentabilidad por FCF de los comparables,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(sectores/distribucion-industrial-2026-10-14-comparables.json)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(20-oct-2026: 1,1215 USD y 0,84028 GBP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$FAST (30 mensajes, 20-sep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https://api.stocktwits.com/api/2/streams/symbol/FAST.json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titulares sobre Fastenal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21 oct 2026.</w:t>
      </w:r>
    </w:p>
    <w:p>
      <w:pPr>
        <w:pStyle w:val="Nota"/>
        <w:spacing w:after="100"/>
      </w:pPr>
      <w:r>
        <w:t xml:space="preserve">Una sola línea cotizada (Nasdaq: FAST). Precio del informe: cierre del 20-oct-2026 (51,65 USD); el 21-oct la sesión de Nueva York estaba abierta al cerrar el análisis, y la decisión se comprueba con el precio del día en las pruebas de robustez. BPA, DPA y acciones de 2016-2024 reexpresados a las acciones de hoy (divisiones 2×1 de mayo de 2019 y de mayo de 2025). EBITDA trimestral = resultado de explotación + depreciación y amortización del estado de flujos (en algunos trimestres repartida a partes iguales: estimación propia). Consenso de una sola fuente gratuita con estimaciones (Yahoo Finance), sin EBITDA ni 2028e. El tamaño de mercado es la estimación de la propia empresa (más de 140.000 M USD en Norteamérica), sin serie independiente. Comparables europeos (Diploma, RS) pasados a dólares con el BCE del 20-oct-2026. Transacciones de distribución para la construcción (no MRO), solo como referencia.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Fastenal Company (FAST)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51,65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(38,97 – 52,92)</c:v>
                </c:pt>
                <c:pt idx="1">
                  <c:v>Precio objetivo de los analistas (39,90 – 60,00)</c:v>
                </c:pt>
                <c:pt idx="2">
                  <c:v>Comparables: PER NTM (24,47 – 35,06)</c:v>
                </c:pt>
                <c:pt idx="3">
                  <c:v>DCF (WACC y g ± 0,5) (19,45 – 25,29)</c:v>
                </c:pt>
                <c:pt idx="4">
                  <c:v>Escenarios (bajista – alcista) (14,99 – 23,98)</c:v>
                </c:pt>
                <c:pt idx="5">
                  <c:v>DCF con la prima implícita del mercado (4,2 %)</c:v>
                </c:pt>
                <c:pt idx="6">
                  <c:v>Precio actual (51,65)</c:v>
                </c:pt>
              </c:strCache>
            </c:strRef>
          </c:cat>
          <c:val>
            <c:numRef>
              <c:f>Hoja1!$B$2:$B$8</c:f>
              <c:numCache>
                <c:formatCode>#,##0.0</c:formatCode>
                <c:ptCount val="7"/>
                <c:pt idx="0">
                  <c:v>38.97</c:v>
                </c:pt>
                <c:pt idx="1">
                  <c:v>39.9</c:v>
                </c:pt>
                <c:pt idx="2">
                  <c:v>24.47</c:v>
                </c:pt>
                <c:pt idx="3">
                  <c:v>19.45</c:v>
                </c:pt>
                <c:pt idx="4">
                  <c:v>14.99</c:v>
                </c:pt>
                <c:pt idx="5">
                  <c:v>23.94</c:v>
                </c:pt>
                <c:pt idx="6">
                  <c:v>51.39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(38,97 – 52,92)</c:v>
                </c:pt>
                <c:pt idx="1">
                  <c:v>Precio objetivo de los analistas (39,90 – 60,00)</c:v>
                </c:pt>
                <c:pt idx="2">
                  <c:v>Comparables: PER NTM (24,47 – 35,06)</c:v>
                </c:pt>
                <c:pt idx="3">
                  <c:v>DCF (WACC y g ± 0,5) (19,45 – 25,29)</c:v>
                </c:pt>
                <c:pt idx="4">
                  <c:v>Escenarios (bajista – alcista) (14,99 – 23,98)</c:v>
                </c:pt>
                <c:pt idx="5">
                  <c:v>DCF con la prima implícita del mercado (4,2 %)</c:v>
                </c:pt>
                <c:pt idx="6">
                  <c:v>Precio actual (51,65)</c:v>
                </c:pt>
              </c:strCache>
            </c:strRef>
          </c:cat>
          <c:val>
            <c:numRef>
              <c:f>Hoja1!$C$2:$C$8</c:f>
              <c:numCache>
                <c:formatCode>#,##0.0</c:formatCode>
                <c:ptCount val="7"/>
                <c:pt idx="0">
                  <c:v>13.950000000000003</c:v>
                </c:pt>
                <c:pt idx="1">
                  <c:v>20.1</c:v>
                </c:pt>
                <c:pt idx="2">
                  <c:v>10.590000000000003</c:v>
                </c:pt>
                <c:pt idx="3">
                  <c:v>5.84</c:v>
                </c:pt>
                <c:pt idx="4">
                  <c:v>8.99</c:v>
                </c:pt>
                <c:pt idx="5">
                  <c:v>4.939999999999998</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Sujeciones (tornillería y suministros diversos)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2001.6</c:v>
                </c:pt>
                <c:pt idx="1">
                  <c:v>2373.4</c:v>
                </c:pt>
                <c:pt idx="2">
                  <c:v>2380.3</c:v>
                </c:pt>
                <c:pt idx="3">
                  <c:v>2316.6</c:v>
                </c:pt>
                <c:pt idx="4">
                  <c:v>2501.2</c:v>
                </c:pt>
              </c:numCache>
            </c:numRef>
          </c:val>
        </c:ser>
        <c:ser>
          <c:idx val="1"/>
          <c:order val="1"/>
          <c:tx>
            <c:strRef>
              <c:f>Hoja1!$C$1</c:f>
              <c:strCache>
                <c:ptCount val="1"/>
                <c:pt idx="0">
                  <c:v>Seguridad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1274.3</c:v>
                </c:pt>
                <c:pt idx="1">
                  <c:v>1452</c:v>
                </c:pt>
                <c:pt idx="2">
                  <c:v>1557.5</c:v>
                </c:pt>
                <c:pt idx="3">
                  <c:v>1675.2</c:v>
                </c:pt>
                <c:pt idx="4">
                  <c:v>1820.5</c:v>
                </c:pt>
              </c:numCache>
            </c:numRef>
          </c:val>
        </c:ser>
        <c:ser>
          <c:idx val="2"/>
          <c:order val="2"/>
          <c:tx>
            <c:strRef>
              <c:f>Hoja1!$D$1</c:f>
              <c:strCache>
                <c:ptCount val="1"/>
                <c:pt idx="0">
                  <c:v>Otras líneas (herramientas, limpieza, corte, hidráulica, manutención, eléctrico, soldadura)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2735</c:v>
                </c:pt>
                <c:pt idx="1">
                  <c:v>3155.2</c:v>
                </c:pt>
                <c:pt idx="2">
                  <c:v>3408.9</c:v>
                </c:pt>
                <c:pt idx="3">
                  <c:v>3554.2</c:v>
                </c:pt>
                <c:pt idx="4">
                  <c:v>3878.8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Sujeciones (tornillería y suministros diversos)</c:v>
                </c:pt>
                <c:pt idx="1">
                  <c:v>Seguridad</c:v>
                </c:pt>
                <c:pt idx="2">
                  <c:v>Otras líneas (herramientas, limpieza, corte, hidráulica, manutención, eléctrico, soldadura)</c:v>
                </c:pt>
              </c:strCache>
            </c:strRef>
          </c:cat>
          <c:val>
            <c:numRef>
              <c:f>Hoja1!$B$2:$B$4</c:f>
              <c:numCache>
                <c:formatCode>General</c:formatCode>
                <c:ptCount val="3"/>
                <c:pt idx="0">
                  <c:v>30.5</c:v>
                </c:pt>
                <c:pt idx="1">
                  <c:v>22.2</c:v>
                </c:pt>
                <c:pt idx="2">
                  <c:v>47.3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Canadá y México</c:v>
                </c:pt>
                <c:pt idx="2">
                  <c:v>Otros (23 países)</c:v>
                </c:pt>
              </c:strCache>
            </c:strRef>
          </c:cat>
          <c:val>
            <c:numRef>
              <c:f>Hoja1!$B$2:$B$4</c:f>
              <c:numCache>
                <c:formatCode>0"%"</c:formatCode>
                <c:ptCount val="3"/>
                <c:pt idx="0">
                  <c:v>83.2</c:v>
                </c:pt>
                <c:pt idx="1">
                  <c:v>13.5</c:v>
                </c:pt>
                <c:pt idx="2">
                  <c:v>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Fastenal</c:v>
                </c:pt>
                <c:pt idx="1">
                  <c:v>W.W. Grainger</c:v>
                </c:pt>
                <c:pt idx="2">
                  <c:v>MSC Industrial Direct</c:v>
                </c:pt>
                <c:pt idx="3">
                  <c:v>Applied Industrial Technologies</c:v>
                </c:pt>
                <c:pt idx="4">
                  <c:v>Wesco International</c:v>
                </c:pt>
                <c:pt idx="5">
                  <c:v>Distribution Solutions Group</c:v>
                </c:pt>
                <c:pt idx="6">
                  <c:v>Würth (no cotiza)</c:v>
                </c:pt>
              </c:strCache>
            </c:strRef>
          </c:cat>
          <c:val>
            <c:numRef>
              <c:f>Hoja1!$B$2:$B$8</c:f>
              <c:numCache>
                <c:formatCode>0.0"%"</c:formatCode>
                <c:ptCount val="7"/>
                <c:pt idx="0">
                  <c:v>20.2</c:v>
                </c:pt>
                <c:pt idx="1">
                  <c:v>13.9</c:v>
                </c:pt>
                <c:pt idx="2">
                  <c:v>8</c:v>
                </c:pt>
                <c:pt idx="3">
                  <c:v>11.1</c:v>
                </c:pt>
                <c:pt idx="4">
                  <c:v>5.2</c:v>
                </c:pt>
                <c:pt idx="5">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strCache>
            </c:strRef>
          </c:cat>
          <c:val>
            <c:numRef>
              <c:f>Hoja1!$B$2:$B$20</c:f>
              <c:numCache>
                <c:formatCode>#,##0</c:formatCode>
                <c:ptCount val="19"/>
                <c:pt idx="0">
                  <c:v>3962</c:v>
                </c:pt>
                <c:pt idx="1">
                  <c:v>4390.5</c:v>
                </c:pt>
                <c:pt idx="2">
                  <c:v>4965.1</c:v>
                </c:pt>
                <c:pt idx="3">
                  <c:v>5333.7</c:v>
                </c:pt>
                <c:pt idx="4">
                  <c:v>5647.3</c:v>
                </c:pt>
                <c:pt idx="5">
                  <c:v>6010.9</c:v>
                </c:pt>
                <c:pt idx="6">
                  <c:v>6980.6</c:v>
                </c:pt>
                <c:pt idx="7">
                  <c:v>7346.7</c:v>
                </c:pt>
                <c:pt idx="8">
                  <c:v>7546</c:v>
                </c:pt>
                <c:pt idx="9">
                  <c:v>8200.5</c:v>
                </c:pt>
                <c:pt idx="10">
                  <c:v>9332</c:v>
                </c:pt>
                <c:pt idx="11">
                  <c:v>10079</c:v>
                </c:pt>
                <c:pt idx="12">
                  <c:v>10784</c:v>
                </c:pt>
                <c:pt idx="13">
                  <c:v>11485</c:v>
                </c:pt>
                <c:pt idx="14">
                  <c:v>12174</c:v>
                </c:pt>
                <c:pt idx="15">
                  <c:v>12844</c:v>
                </c:pt>
                <c:pt idx="16">
                  <c:v>13486</c:v>
                </c:pt>
                <c:pt idx="17">
                  <c:v>14093</c:v>
                </c:pt>
                <c:pt idx="18">
                  <c:v>14657</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strCache>
            </c:strRef>
          </c:cat>
          <c:val>
            <c:numRef>
              <c:f>Hoja1!$C$2:$C$20</c:f>
              <c:numCache>
                <c:formatCode>#,##0</c:formatCode>
                <c:ptCount val="19"/>
                <c:pt idx="0">
                  <c:v>899.8</c:v>
                </c:pt>
                <c:pt idx="1">
                  <c:v>1009.2</c:v>
                </c:pt>
                <c:pt idx="2">
                  <c:v>1137.4</c:v>
                </c:pt>
                <c:pt idx="3">
                  <c:v>1205.9</c:v>
                </c:pt>
                <c:pt idx="4">
                  <c:v>1304.2</c:v>
                </c:pt>
                <c:pt idx="5">
                  <c:v>1388.1</c:v>
                </c:pt>
                <c:pt idx="6">
                  <c:v>1630.2</c:v>
                </c:pt>
                <c:pt idx="7">
                  <c:v>1706</c:v>
                </c:pt>
                <c:pt idx="8">
                  <c:v>1685.4</c:v>
                </c:pt>
                <c:pt idx="9">
                  <c:v>1834.9</c:v>
                </c:pt>
                <c:pt idx="10">
                  <c:v>2109</c:v>
                </c:pt>
                <c:pt idx="11">
                  <c:v>2298</c:v>
                </c:pt>
                <c:pt idx="12">
                  <c:v>2470</c:v>
                </c:pt>
                <c:pt idx="13">
                  <c:v>2642</c:v>
                </c:pt>
                <c:pt idx="14">
                  <c:v>2800</c:v>
                </c:pt>
                <c:pt idx="15">
                  <c:v>2954</c:v>
                </c:pt>
                <c:pt idx="16">
                  <c:v>3102</c:v>
                </c:pt>
                <c:pt idx="17">
                  <c:v>3241</c:v>
                </c:pt>
                <c:pt idx="18">
                  <c:v>3371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49.6</c:v>
                </c:pt>
                <c:pt idx="1">
                  <c:v>49.3</c:v>
                </c:pt>
                <c:pt idx="2">
                  <c:v>48.3</c:v>
                </c:pt>
                <c:pt idx="3">
                  <c:v>47.2</c:v>
                </c:pt>
                <c:pt idx="4">
                  <c:v>45.5</c:v>
                </c:pt>
                <c:pt idx="5">
                  <c:v>46.2</c:v>
                </c:pt>
                <c:pt idx="6">
                  <c:v>46.1</c:v>
                </c:pt>
                <c:pt idx="7">
                  <c:v>45.7</c:v>
                </c:pt>
                <c:pt idx="8">
                  <c:v>45.1</c:v>
                </c:pt>
                <c:pt idx="9">
                  <c:v>45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22.7</c:v>
                </c:pt>
                <c:pt idx="1">
                  <c:v>23</c:v>
                </c:pt>
                <c:pt idx="2">
                  <c:v>22.9</c:v>
                </c:pt>
                <c:pt idx="3">
                  <c:v>22.6</c:v>
                </c:pt>
                <c:pt idx="4">
                  <c:v>23.1</c:v>
                </c:pt>
                <c:pt idx="5">
                  <c:v>23.1</c:v>
                </c:pt>
                <c:pt idx="6">
                  <c:v>23.4</c:v>
                </c:pt>
                <c:pt idx="7">
                  <c:v>23.2</c:v>
                </c:pt>
                <c:pt idx="8">
                  <c:v>22.3</c:v>
                </c:pt>
                <c:pt idx="9">
                  <c:v>22.4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20.1</c:v>
                </c:pt>
                <c:pt idx="1">
                  <c:v>20.1</c:v>
                </c:pt>
                <c:pt idx="2">
                  <c:v>20.1</c:v>
                </c:pt>
                <c:pt idx="3">
                  <c:v>19.8</c:v>
                </c:pt>
                <c:pt idx="4">
                  <c:v>20.2</c:v>
                </c:pt>
                <c:pt idx="5">
                  <c:v>20.3</c:v>
                </c:pt>
                <c:pt idx="6">
                  <c:v>20.8</c:v>
                </c:pt>
                <c:pt idx="7">
                  <c:v>20.8</c:v>
                </c:pt>
                <c:pt idx="8">
                  <c:v>20</c:v>
                </c:pt>
                <c:pt idx="9">
                  <c:v>20.2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12.6</c:v>
                </c:pt>
                <c:pt idx="1">
                  <c:v>13.2</c:v>
                </c:pt>
                <c:pt idx="2">
                  <c:v>15.1</c:v>
                </c:pt>
                <c:pt idx="3">
                  <c:v>14.8</c:v>
                </c:pt>
                <c:pt idx="4">
                  <c:v>15.2</c:v>
                </c:pt>
                <c:pt idx="5">
                  <c:v>15.4</c:v>
                </c:pt>
                <c:pt idx="6">
                  <c:v>15.6</c:v>
                </c:pt>
                <c:pt idx="7">
                  <c:v>15.7</c:v>
                </c:pt>
                <c:pt idx="8">
                  <c:v>15.2</c:v>
                </c:pt>
                <c:pt idx="9">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3.7</c:v>
                </c:pt>
                <c:pt idx="1">
                  <c:v>3.4</c:v>
                </c:pt>
                <c:pt idx="2">
                  <c:v>8.6</c:v>
                </c:pt>
                <c:pt idx="3">
                  <c:v>11.7</c:v>
                </c:pt>
                <c:pt idx="4">
                  <c:v>11.1</c:v>
                </c:pt>
                <c:pt idx="5">
                  <c:v>12.4</c:v>
                </c:pt>
                <c:pt idx="6">
                  <c:v>14.7</c:v>
                </c:pt>
                <c:pt idx="7">
                  <c:v>15.5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46</c:v>
                </c:pt>
                <c:pt idx="1">
                  <c:v>51</c:v>
                </c:pt>
                <c:pt idx="2">
                  <c:v>53</c:v>
                </c:pt>
                <c:pt idx="3">
                  <c:v>51</c:v>
                </c:pt>
                <c:pt idx="4">
                  <c:v>50</c:v>
                </c:pt>
                <c:pt idx="5">
                  <c:v>55</c:v>
                </c:pt>
                <c:pt idx="6">
                  <c:v>53</c:v>
                </c:pt>
                <c:pt idx="7">
                  <c:v>54</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181</c:v>
                </c:pt>
                <c:pt idx="1">
                  <c:v>179</c:v>
                </c:pt>
                <c:pt idx="2">
                  <c:v>182</c:v>
                </c:pt>
                <c:pt idx="3">
                  <c:v>177</c:v>
                </c:pt>
                <c:pt idx="4">
                  <c:v>159</c:v>
                </c:pt>
                <c:pt idx="5">
                  <c:v>172</c:v>
                </c:pt>
                <c:pt idx="6">
                  <c:v>166</c:v>
                </c:pt>
                <c:pt idx="7">
                  <c:v>139</c:v>
                </c:pt>
                <c:pt idx="8">
                  <c:v>145</c:v>
                </c:pt>
                <c:pt idx="9">
                  <c:v>141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c:v>
                </c:pt>
                <c:pt idx="1">
                  <c:v>24</c:v>
                </c:pt>
                <c:pt idx="2">
                  <c:v>28</c:v>
                </c:pt>
                <c:pt idx="3">
                  <c:v>25</c:v>
                </c:pt>
                <c:pt idx="4">
                  <c:v>25</c:v>
                </c:pt>
                <c:pt idx="5">
                  <c:v>26</c:v>
                </c:pt>
                <c:pt idx="6">
                  <c:v>25</c:v>
                </c:pt>
                <c:pt idx="7">
                  <c:v>24</c:v>
                </c:pt>
                <c:pt idx="8">
                  <c:v>25</c:v>
                </c:pt>
                <c:pt idx="9">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330.4</c:v>
                </c:pt>
                <c:pt idx="1">
                  <c:v>465.30000000000007</c:v>
                </c:pt>
                <c:pt idx="2">
                  <c:v>497.90000000000003</c:v>
                </c:pt>
                <c:pt idx="3">
                  <c:v>596.3000000000001</c:v>
                </c:pt>
                <c:pt idx="4">
                  <c:v>933.6999999999999</c:v>
                </c:pt>
                <c:pt idx="5">
                  <c:v>613.5</c:v>
                </c:pt>
                <c:pt idx="6">
                  <c:v>767.2</c:v>
                </c:pt>
                <c:pt idx="7">
                  <c:v>1259.9</c:v>
                </c:pt>
                <c:pt idx="8">
                  <c:v>946.8</c:v>
                </c:pt>
                <c:pt idx="9">
                  <c:v>1050.6000000000001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499.4</c:v>
                </c:pt>
                <c:pt idx="1">
                  <c:v>578.6</c:v>
                </c:pt>
                <c:pt idx="2">
                  <c:v>751.9</c:v>
                </c:pt>
                <c:pt idx="3">
                  <c:v>790.9</c:v>
                </c:pt>
                <c:pt idx="4">
                  <c:v>859.1</c:v>
                </c:pt>
                <c:pt idx="5">
                  <c:v>925</c:v>
                </c:pt>
                <c:pt idx="6">
                  <c:v>1086.9</c:v>
                </c:pt>
                <c:pt idx="7">
                  <c:v>1155</c:v>
                </c:pt>
                <c:pt idx="8">
                  <c:v>1150.6</c:v>
                </c:pt>
                <c:pt idx="9">
                  <c:v>1258.4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22.8</c:v>
                </c:pt>
                <c:pt idx="1">
                  <c:v>25.4</c:v>
                </c:pt>
                <c:pt idx="2">
                  <c:v>30.3</c:v>
                </c:pt>
                <c:pt idx="3">
                  <c:v>29.3</c:v>
                </c:pt>
                <c:pt idx="4">
                  <c:v>30.2</c:v>
                </c:pt>
                <c:pt idx="5">
                  <c:v>30.6</c:v>
                </c:pt>
                <c:pt idx="6">
                  <c:v>32.8</c:v>
                </c:pt>
                <c:pt idx="7">
                  <c:v>33.7</c:v>
                </c:pt>
                <c:pt idx="8">
                  <c:v>33.2</c:v>
                </c:pt>
                <c:pt idx="9">
                  <c:v>34.2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9.5</c:v>
                </c:pt>
                <c:pt idx="2">
                  <c:v>9.5</c:v>
                </c:pt>
                <c:pt idx="3">
                  <c:v>9.5</c:v>
                </c:pt>
                <c:pt idx="4">
                  <c:v>9.5</c:v>
                </c:pt>
                <c:pt idx="5">
                  <c:v>9.5</c:v>
                </c:pt>
                <c:pt idx="6">
                  <c:v>9.5</c:v>
                </c:pt>
                <c:pt idx="7">
                  <c:v>9.5</c:v>
                </c:pt>
                <c:pt idx="8">
                  <c:v>9.5</c:v>
                </c:pt>
                <c:pt idx="9">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25.8</c:v>
                </c:pt>
                <c:pt idx="1">
                  <c:v>28.7</c:v>
                </c:pt>
                <c:pt idx="2">
                  <c:v>34.2</c:v>
                </c:pt>
                <c:pt idx="3">
                  <c:v>31.8</c:v>
                </c:pt>
                <c:pt idx="4">
                  <c:v>31.8</c:v>
                </c:pt>
                <c:pt idx="5">
                  <c:v>32</c:v>
                </c:pt>
                <c:pt idx="6">
                  <c:v>35</c:v>
                </c:pt>
                <c:pt idx="7">
                  <c:v>35.5</c:v>
                </c:pt>
                <c:pt idx="8">
                  <c:v>33</c:v>
                </c:pt>
                <c:pt idx="9">
                  <c:v>33.3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0.31</c:v>
                </c:pt>
                <c:pt idx="1">
                  <c:v>0.3</c:v>
                </c:pt>
                <c:pt idx="2">
                  <c:v>0.29</c:v>
                </c:pt>
                <c:pt idx="3">
                  <c:v>0.14</c:v>
                </c:pt>
                <c:pt idx="4">
                  <c:v>0.12</c:v>
                </c:pt>
                <c:pt idx="5">
                  <c:v>0.11</c:v>
                </c:pt>
                <c:pt idx="6">
                  <c:v>0.2</c:v>
                </c:pt>
                <c:pt idx="7">
                  <c:v>0.02</c:v>
                </c:pt>
                <c:pt idx="8">
                  <c:v>-0.03</c:v>
                </c:pt>
                <c:pt idx="9">
                  <c:v>-0.08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2030</c:v>
                </c:pt>
              </c:strCache>
            </c:strRef>
          </c:cat>
          <c:val>
            <c:numRef>
              <c:f>Hoja1!$B$2:$B$4</c:f>
              <c:numCache>
                <c:formatCode>#,##0</c:formatCode>
                <c:ptCount val="3"/>
                <c:pt idx="0">
                  <c:v>0</c:v>
                </c:pt>
                <c:pt idx="1">
                  <c:v>50</c:v>
                </c:pt>
                <c:pt idx="2">
                  <c:v>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58.7</c:v>
                </c:pt>
                <c:pt idx="2">
                  <c:v>3.7</c:v>
                </c:pt>
                <c:pt idx="3">
                  <c:v>0</c:v>
                </c:pt>
                <c:pt idx="4">
                  <c:v>125</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346.6</c:v>
                </c:pt>
                <c:pt idx="1">
                  <c:v>369.1</c:v>
                </c:pt>
                <c:pt idx="2">
                  <c:v>441.9</c:v>
                </c:pt>
                <c:pt idx="3">
                  <c:v>498.6</c:v>
                </c:pt>
                <c:pt idx="4">
                  <c:v>803.4</c:v>
                </c:pt>
                <c:pt idx="5">
                  <c:v>643.7</c:v>
                </c:pt>
                <c:pt idx="6">
                  <c:v>711.3</c:v>
                </c:pt>
                <c:pt idx="7">
                  <c:v>1016.8</c:v>
                </c:pt>
                <c:pt idx="8">
                  <c:v>893.3</c:v>
                </c:pt>
                <c:pt idx="9">
                  <c:v>1004.2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59.5</c:v>
                </c:pt>
                <c:pt idx="1">
                  <c:v>82.6</c:v>
                </c:pt>
                <c:pt idx="2">
                  <c:v>103</c:v>
                </c:pt>
                <c:pt idx="3">
                  <c:v>0</c:v>
                </c:pt>
                <c:pt idx="4">
                  <c:v>52</c:v>
                </c:pt>
                <c:pt idx="5">
                  <c:v>0</c:v>
                </c:pt>
                <c:pt idx="6">
                  <c:v>237.8</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10</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 Inc.</c:v>
                </c:pt>
                <c:pt idx="2">
                  <c:v>Consejeros y directivos (22 personas)</c:v>
                </c:pt>
              </c:strCache>
            </c:strRef>
          </c:cat>
          <c:val>
            <c:numRef>
              <c:f>Hoja1!$B$2:$B$4</c:f>
              <c:numCache>
                <c:formatCode>0.0"%"</c:formatCode>
                <c:ptCount val="3"/>
                <c:pt idx="0">
                  <c:v>12.25</c:v>
                </c:pt>
                <c:pt idx="1">
                  <c:v>8.02</c:v>
                </c:pt>
                <c:pt idx="2">
                  <c:v>0.28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18.5</c:v>
                </c:pt>
                <c:pt idx="1">
                  <c:v>19.7</c:v>
                </c:pt>
                <c:pt idx="2">
                  <c:v>-1.6</c:v>
                </c:pt>
                <c:pt idx="3">
                  <c:v>45.1</c:v>
                </c:pt>
                <c:pt idx="4">
                  <c:v>36.6</c:v>
                </c:pt>
                <c:pt idx="5">
                  <c:v>34.1</c:v>
                </c:pt>
                <c:pt idx="6">
                  <c:v>-24.3</c:v>
                </c:pt>
                <c:pt idx="7">
                  <c:v>41.3</c:v>
                </c:pt>
                <c:pt idx="8">
                  <c:v>13.5</c:v>
                </c:pt>
                <c:pt idx="9">
                  <c:v>14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15.9</c:v>
                </c:pt>
                <c:pt idx="2">
                  <c:v>13.5</c:v>
                </c:pt>
                <c:pt idx="3">
                  <c:v>17.7</c:v>
                </c:pt>
                <c:pt idx="4">
                  <c:v>21.7</c:v>
                </c:pt>
                <c:pt idx="5">
                  <c:v>26.7</c:v>
                </c:pt>
                <c:pt idx="6">
                  <c:v>16.9</c:v>
                </c:pt>
                <c:pt idx="7">
                  <c:v>21.8</c:v>
                </c:pt>
                <c:pt idx="8">
                  <c:v>24.5</c:v>
                </c:pt>
                <c:pt idx="9">
                  <c:v>25.1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19.7</c:v>
                </c:pt>
                <c:pt idx="1">
                  <c:v>19.7</c:v>
                </c:pt>
                <c:pt idx="2">
                  <c:v>19.7</c:v>
                </c:pt>
                <c:pt idx="3">
                  <c:v>19.7</c:v>
                </c:pt>
                <c:pt idx="4">
                  <c:v>19.7</c:v>
                </c:pt>
                <c:pt idx="5">
                  <c:v>19.7</c:v>
                </c:pt>
                <c:pt idx="6">
                  <c:v>19.7</c:v>
                </c:pt>
                <c:pt idx="7">
                  <c:v>19.7</c:v>
                </c:pt>
                <c:pt idx="8">
                  <c:v>19.7</c:v>
                </c:pt>
                <c:pt idx="9">
                  <c:v>19.7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Foundation Building Materials (distribución de materiales de interior)</c:v>
                </c:pt>
                <c:pt idx="1">
                  <c:v>GMS (distribución de placas de yeso y techos)</c:v>
                </c:pt>
                <c:pt idx="2">
                  <c:v>Beacon Roofing Supply (distribución de tejados)</c:v>
                </c:pt>
                <c:pt idx="3">
                  <c:v>SRS Distribution (distribución especializada para profesionales)</c:v>
                </c:pt>
              </c:strCache>
            </c:strRef>
          </c:cat>
          <c:val>
            <c:numRef>
              <c:f>Hoja1!$B$2:$B$5</c:f>
              <c:numCache>
                <c:formatCode>0.0"x"</c:formatCode>
                <c:ptCount val="4"/>
                <c:pt idx="0">
                  <c:v>13.9</c:v>
                </c:pt>
                <c:pt idx="1">
                  <c:v>13</c:v>
                </c:pt>
                <c:pt idx="2">
                  <c:v>12.7</c:v>
                </c:pt>
                <c:pt idx="3">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2026e</c:v>
                </c:pt>
                <c:pt idx="1">
                  <c:v>2027e</c:v>
                </c:pt>
                <c:pt idx="2">
                  <c:v>2028e</c:v>
                </c:pt>
                <c:pt idx="3">
                  <c:v>2029e</c:v>
                </c:pt>
                <c:pt idx="4">
                  <c:v>2030e</c:v>
                </c:pt>
                <c:pt idx="5">
                  <c:v>2031e</c:v>
                </c:pt>
                <c:pt idx="6">
                  <c:v>2032e</c:v>
                </c:pt>
                <c:pt idx="7">
                  <c:v>2033e</c:v>
                </c:pt>
                <c:pt idx="8">
                  <c:v>2034e</c:v>
                </c:pt>
              </c:strCache>
            </c:strRef>
          </c:cat>
          <c:val>
            <c:numRef>
              <c:f>Hoja1!$B$2:$B$10</c:f>
              <c:numCache>
                <c:formatCode>#,##0</c:formatCode>
                <c:ptCount val="9"/>
                <c:pt idx="0">
                  <c:v>1002</c:v>
                </c:pt>
                <c:pt idx="1">
                  <c:v>1241</c:v>
                </c:pt>
                <c:pt idx="2">
                  <c:v>1377</c:v>
                </c:pt>
                <c:pt idx="3">
                  <c:v>1502</c:v>
                </c:pt>
                <c:pt idx="4">
                  <c:v>1625</c:v>
                </c:pt>
                <c:pt idx="5">
                  <c:v>1746</c:v>
                </c:pt>
                <c:pt idx="6">
                  <c:v>1866</c:v>
                </c:pt>
                <c:pt idx="7">
                  <c:v>1984</c:v>
                </c:pt>
                <c:pt idx="8">
                  <c:v>2100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9253</c:v>
                </c:pt>
                <c:pt idx="1">
                  <c:v>15850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51,65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14.99</c:v>
                </c:pt>
                <c:pt idx="1">
                  <c:v>21.92</c:v>
                </c:pt>
                <c:pt idx="2">
                  <c:v>23.98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51,65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(38,97 – 52,92)</c:v>
                </c:pt>
                <c:pt idx="1">
                  <c:v>Precio objetivo de los analistas (39,90 – 60,00)</c:v>
                </c:pt>
                <c:pt idx="2">
                  <c:v>Comparables: PER NTM (24,47 – 35,06)</c:v>
                </c:pt>
                <c:pt idx="3">
                  <c:v>DCF (WACC y g ± 0,5) (19,45 – 25,29)</c:v>
                </c:pt>
                <c:pt idx="4">
                  <c:v>Escenarios (bajista – alcista) (14,99 – 23,98)</c:v>
                </c:pt>
                <c:pt idx="5">
                  <c:v>DCF con la prima implícita del mercado (4,2 %)</c:v>
                </c:pt>
                <c:pt idx="6">
                  <c:v>Precio actual (51,65)</c:v>
                </c:pt>
              </c:strCache>
            </c:strRef>
          </c:cat>
          <c:val>
            <c:numRef>
              <c:f>Hoja1!$B$2:$B$8</c:f>
              <c:numCache>
                <c:formatCode>#,##0.0</c:formatCode>
                <c:ptCount val="7"/>
                <c:pt idx="0">
                  <c:v>38.97</c:v>
                </c:pt>
                <c:pt idx="1">
                  <c:v>39.9</c:v>
                </c:pt>
                <c:pt idx="2">
                  <c:v>24.47</c:v>
                </c:pt>
                <c:pt idx="3">
                  <c:v>19.45</c:v>
                </c:pt>
                <c:pt idx="4">
                  <c:v>14.99</c:v>
                </c:pt>
                <c:pt idx="5">
                  <c:v>23.94</c:v>
                </c:pt>
                <c:pt idx="6">
                  <c:v>51.39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(38,97 – 52,92)</c:v>
                </c:pt>
                <c:pt idx="1">
                  <c:v>Precio objetivo de los analistas (39,90 – 60,00)</c:v>
                </c:pt>
                <c:pt idx="2">
                  <c:v>Comparables: PER NTM (24,47 – 35,06)</c:v>
                </c:pt>
                <c:pt idx="3">
                  <c:v>DCF (WACC y g ± 0,5) (19,45 – 25,29)</c:v>
                </c:pt>
                <c:pt idx="4">
                  <c:v>Escenarios (bajista – alcista) (14,99 – 23,98)</c:v>
                </c:pt>
                <c:pt idx="5">
                  <c:v>DCF con la prima implícita del mercado (4,2 %)</c:v>
                </c:pt>
                <c:pt idx="6">
                  <c:v>Precio actual (51,65)</c:v>
                </c:pt>
              </c:strCache>
            </c:strRef>
          </c:cat>
          <c:val>
            <c:numRef>
              <c:f>Hoja1!$C$2:$C$8</c:f>
              <c:numCache>
                <c:formatCode>#,##0.0</c:formatCode>
                <c:ptCount val="7"/>
                <c:pt idx="0">
                  <c:v>13.950000000000003</c:v>
                </c:pt>
                <c:pt idx="1">
                  <c:v>20.1</c:v>
                </c:pt>
                <c:pt idx="2">
                  <c:v>10.590000000000003</c:v>
                </c:pt>
                <c:pt idx="3">
                  <c:v>5.84</c:v>
                </c:pt>
                <c:pt idx="4">
                  <c:v>8.99</c:v>
                </c:pt>
                <c:pt idx="5">
                  <c:v>4.939999999999998</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