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Hollywood Bowl Group plc</w:t>
      </w:r>
    </w:p>
    <w:p>
      <w:pPr>
        <w:spacing w:after="60"/>
        <w:rPr>
          <w:color w:val="52514E"/>
          <w:sz w:val="22"/>
          <w:szCs w:val="22"/>
        </w:rPr>
      </w:pPr>
      <w:r>
        <w:rPr>
          <w:color w:val="52514E"/>
          <w:sz w:val="22"/>
          <w:szCs w:val="22"/>
        </w:rPr>
        <w:t xml:space="preserve">BOWL · London Stock Exchange (Main Market) · ISIN GB00BD0NVK62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2,75 GBP (275,50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2,80 GBP (280,00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+6,4 % (base +12,1 %)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3,81 GBP (381,00 GBp) · mercado 4,21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459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2,4x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Hollywood Bowl Group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BOWL / GB00BD0NVK62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(Main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250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Ocio: boleras y minigolf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Hemel Hempstead (Reino Unido) · 2014 (holding actual; boleras desde 1988)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https://www.hollywoodbowlgroup.com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2,75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 – 3,13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459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686 M GBP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 M GBP/día (618.720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dic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2,80 GBP (280,00 GBp)</w:t>
      </w:r>
      <w:r>
        <w:t xml:space="preserve"> frente a 2,75 (275,50 GBp) · Rentabilidad a 12 meses </w:t>
      </w:r>
      <w:r>
        <w:rPr>
          <w:b/>
          <w:bCs/>
        </w:rPr>
        <w:t xml:space="preserve">+6,4 % (base +12,1 %)</w:t>
      </w:r>
      <w:r>
        <w:t xml:space="preserve"> · Valor intrínseco 3,81 GBP (381,00 GBp) · con la prima implícita del mercado: 4,21 (421,00 GBp) (+52,8 %) · Alcista / bajista +68,1 % / -16,9 %</w:t>
      </w:r>
    </w:p>
    <w:p>
      <w:pPr>
        <w:spacing w:after="100"/>
      </w:pPr>
      <w:r>
        <w:rPr>
          <w:b/>
        </w:rPr>
        <w:t xml:space="preserve">La recomendación y por qué.</w:t>
      </w:r>
      <w:r>
        <w:t xml:space="preserve"> Mantener, con convicción media. El objetivo a 12 meses es de 2,80 GBP (nuestro BPA de FY2028e × el PER de la regla común), un +6,4 % de rentabilidad ponderada con el dividendo y un +12,1 % en el caso base, frente a un precio de 2,755 GBP (275,5 p, cierre del 19-oct-2026). El valor intrínseco (3,81 GBP, +38 %) es alto, pero la regla a 12 meses no llega al 15 % porque el bajista usa el PER de 2022 (8,8 veces). La calidad tampoco llega: ROIC del 12,5 % frente a un WACC del 8,2 % (4,3 puntos, por debajo de 5). La convicción es media: las dos reglas de valor intrínseco dicen Comprar y la de 12 meses Mantener lejos de sus umbrales; subiría la convicción un margen de vuelta al 38 % con comparables positivos, y la bajaría otro semestre de partidas en caída.</w:t>
      </w:r>
    </w:p>
    <w:p>
      <w:pPr>
        <w:spacing w:after="100"/>
      </w:pPr>
      <w:r>
        <w:rPr>
          <w:b/>
        </w:rPr>
        <w:t xml:space="preserve">El negocio.</w:t>
      </w:r>
      <w:r>
        <w:t xml:space="preserve"> Mayor operador de boleras del Reino Unido y de Canadá: 95 centros con bolos, comida, bebida y máquinas recreativas, y minigolf. Ventas de 261,6 M en FY2026 (+4,3 %), margen EBITDA NIIF 16 del 36 % y sin deuda bancaria [2, 4].</w:t>
      </w:r>
    </w:p>
    <w:p>
      <w:pPr>
        <w:spacing w:after="100"/>
      </w:pPr>
      <w:r>
        <w:rPr>
          <w:b/>
        </w:rPr>
        <w:t xml:space="preserve">Finanzas.</w:t>
      </w:r>
      <w:r>
        <w:t xml:space="preserve"> Ventas al 9 % anual desde FY2022, pero el BPA no crece (≈ 19-21 p en nuestra base desde FY2022) porque salarios, energía y amortizaciones de las aperturas se han comido el margen (del 40 % al 36 %) [2]. Flujo libre de 34 M en los 12 meses a marzo de 2026 [3]; dividendo del 5 %.</w:t>
      </w:r>
    </w:p>
    <w:p>
      <w:pPr>
        <w:spacing w:after="100"/>
      </w:pPr>
      <w:r>
        <w:rPr>
          <w:b/>
        </w:rPr>
        <w:t xml:space="preserve">Equipo y gobierno.</w:t>
      </w:r>
      <w:r>
        <w:t xml:space="preserve"> Stephen Burns dirige desde 2014-2016 y tiene ≈ 2 % del capital; presidente independiente y mayoría de independientes. Cambio de director financiero y de auditor en 2026, ordenados [3, 19]. Debilidad: ventas de directivos en 2026 y ninguna compra relevante.</w:t>
      </w:r>
    </w:p>
    <w:p>
      <w:pPr>
        <w:spacing w:after="100"/>
      </w:pPr>
      <w:r>
        <w:rPr>
          <w:b/>
        </w:rPr>
        <w:t xml:space="preserve">Valoración.</w:t>
      </w:r>
      <w:r>
        <w:t xml:space="preserve"> El DCF da 3,87 GBP (+40,5 %) y el DCF inverso descuenta solo un 2,2 % de crecimiento anual frente al 5,9 % del base: el mercado no paga las aperturas. La regla a 12 meses lleva el PER de 13,2 a 13,0 veces y el bajista a 8,8. El consenso (8 de 8 compran, objetivo medio de 389 p) usa un BPA un 15 % mayor que el nuestro, sobre todo por la base pre-NIIF 16 [21].</w:t>
      </w:r>
    </w:p>
    <w:p>
      <w:pPr>
        <w:spacing w:after="100"/>
      </w:pPr>
      <w:r>
        <w:rPr>
          <w:b/>
        </w:rPr>
        <w:t xml:space="preserve">Riesgos y catalizadores.</w:t>
      </w:r>
      <w:r>
        <w:t xml:space="preserve"> El mayor riesgo es el gasto de ocio de las familias británicas (comparables del 2S26 −5,6 %), seguido del salario mínimo y las cotizaciones (≈ 2 M al semestre), la expansión en Canadá y, ya cubierta hasta FY2029, la energía. El riesgo de IA es bajo. Catalizadores: resultados de FY2026 en diciembre y comparables del 1S27.</w:t>
      </w:r>
    </w:p>
    <w:p>
      <w:pPr>
        <w:spacing w:after="100"/>
      </w:pPr>
      <w:r>
        <w:rPr>
          <w:b/>
        </w:rPr>
        <w:t xml:space="preserve">Qué cambiaría la decisión.</w:t>
      </w:r>
      <w:r>
        <w:t xml:space="preserve"> Comprar por debajo de 2,55 GBP (255 p, −7,4 %) daría una ponderada del 15 %, pero la calidad seguiría fallando (ROIC − WACC de 4,3 puntos). Un margen de vuelta al 38 % o comparables positivos en el 1S27 subirían el BPA y el ROIC.</w:t>
      </w:r>
    </w:p>
    <w:p>
      <w:r>
        <w:br w:type="page"/>
      </w:r>
    </w:p>
    <w:p>
      <w:pPr>
        <w:pStyle w:val="Heading1"/>
      </w:pPr>
      <w:r>
        <w:t xml:space="preserve">Resumen ejecutivo</w:t>
      </w:r>
    </w:p>
    <w:p>
      <w:pPr>
        <w:spacing w:after="100"/>
      </w:pPr>
      <w:r>
        <w:rPr>
          <w:b/>
          <w:bCs/>
        </w:rPr>
        <w:t xml:space="preserve">Recomendación: Mantener</w:t>
      </w:r>
      <w:r>
        <w:t xml:space="preserve"> · Convicción: Media · Horizonte: 12 meses · Objetivo a 12 meses: </w:t>
      </w:r>
      <w:r>
        <w:rPr>
          <w:b/>
          <w:bCs/>
        </w:rPr>
        <w:t xml:space="preserve">2,80 GBP (280,00 GBp)</w:t>
      </w:r>
      <w:r>
        <w:t xml:space="preserve"> (rentabilidad +6,4 % (base +12,1 %)) · Valor intrínseco: 3,81 GBP (381,00 GBp) (+38,3 % sobre 2,75) · con la prima implícita del mercado: 4,21 (421,00 GBp) (+52,8 %)</w:t>
      </w:r>
    </w:p>
    <w:p>
      <w:pPr>
        <w:spacing w:after="100"/>
      </w:pPr>
      <w:r>
        <w:t xml:space="preserve">Hollywood Bowl es el mayor operador de boleras del Reino Unido y Canadá, con un modelo de ocio asequible, margen bruto del 63 %, sin deuda bancaria y un plan de aperturas creíble (95 → 130 centros en 2033). El precio descuenta un crecimiento del 2,2 % anual: barato a largo plazo. Pero el BPA lleva cuatro años plano porque los costes laborales y la energía se han comido el margen, el consumo británico está débil y el ROIC (12,5 %) queda a 4,3 puntos del WACC. A 12 meses, sin mejora del margen, el PER no tiene por qué subir.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GBP (280,00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 × 0,20 = 1,73 · 13,0x × 0,23 = 2,95 · 14,4x × 0,25 = 3,55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 / 12,1 %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 (nuestro base -24,2 %)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3,81 GBP (381,00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(GBp al tipo de 0,0100 GBP por GBp)</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 GBP (275,50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68,1 % / -16,9 %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 frente a 8,2 % y 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 GBP (421,00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(5,7 % anual proyectado; financiable al ROIC actual: 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2,55 (255,00 GBp)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2,55 y 3,26 (255,00 y 326,00 GBp)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3,26 (326,00 GBp)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2,55 GBP (255 p): la regla a 12 meses daría Comprar (ponderada ≥ 15 %), aunque la calidad (ROIC − WACC &lt; 5) seguiría fallando.</w:t>
      </w:r>
    </w:p>
    <w:p>
      <w:pPr>
        <w:pStyle w:val="ListParagraph"/>
        <w:numPr>
          <w:ilvl w:val="0"/>
          <w:numId w:val="2"/>
        </w:numPr>
        <w:spacing w:after="60"/>
      </w:pPr>
      <w:r>
        <w:t xml:space="preserve">Precio entre 2,55 y 3,26 GBP: Mantener según la regla; pero el filtro de mantener en cartera de las pruebas de robustez (ponderada ≥ 10 %) solo se cumple por debajo de 2,67 GBP: a 2,75 GBP no se compra ni se mantendría una posición.</w:t>
      </w:r>
    </w:p>
    <w:p>
      <w:pPr>
        <w:pStyle w:val="ListParagraph"/>
        <w:numPr>
          <w:ilvl w:val="0"/>
          <w:numId w:val="2"/>
        </w:numPr>
        <w:spacing w:after="60"/>
      </w:pPr>
      <w:r>
        <w:t xml:space="preserve">Margen EBITDA de vuelta al 38 % y comparables positivos en el 1S27: revisar el BPA y el ROIC al alza.</w:t>
      </w:r>
    </w:p>
    <w:p>
      <w:pPr>
        <w:pStyle w:val="ListParagraph"/>
        <w:numPr>
          <w:ilvl w:val="0"/>
          <w:numId w:val="2"/>
        </w:numPr>
        <w:spacing w:after="60"/>
      </w:pPr>
      <w:r>
        <w:t xml:space="preserve">Comparables del Reino Unido negativos en el 1S27 o margen por debajo del 35 %: revisar a la baja.</w:t>
      </w:r>
    </w:p>
    <w:p>
      <w:pPr>
        <w:pStyle w:val="ListParagraph"/>
        <w:numPr>
          <w:ilvl w:val="0"/>
          <w:numId w:val="2"/>
        </w:numPr>
        <w:spacing w:after="60"/>
      </w:pPr>
      <w:r>
        <w:t xml:space="preserve">Precio por encima de 3,26 GBP: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consumo británico y los salarios dejan el beneficio plano durante años: el precio implica un 2,2 % de crecimiento anual; los analistas, en cambio, esperan ≈ 389 p (+41 %) con un BPA ajustado que crece un 9 % en FY2027.</w:t>
      </w:r>
    </w:p>
    <w:p>
      <w:pPr>
        <w:keepNext/>
        <w:spacing w:after="100"/>
      </w:pPr>
      <w:r>
        <w:rPr>
          <w:b/>
          <w:bCs/>
        </w:rPr>
        <w:t xml:space="preserve">Lo que creemos nosotros.</w:t>
      </w:r>
    </w:p>
    <w:p>
      <w:pPr>
        <w:spacing w:after="100"/>
      </w:pPr>
      <w:r>
        <w:t xml:space="preserve">A largo plazo el negocio vale más (3,81 GBP); a 12 meses coincidimos con el mercado en que el margen no se recupera solo y en que el BPA real (NIIF 16 con deterioros) es ≈ 20-23 p, no los 24 p del consenso.</w:t>
      </w:r>
    </w:p>
    <w:p>
      <w:pPr>
        <w:keepNext/>
        <w:spacing w:after="100"/>
      </w:pPr>
      <w:r>
        <w:rPr>
          <w:b/>
          <w:bCs/>
        </w:rPr>
        <w:t xml:space="preserve">Por qué podemos tener razón.</w:t>
      </w:r>
    </w:p>
    <w:p>
      <w:pPr>
        <w:spacing w:after="100"/>
      </w:pPr>
      <w:r>
        <w:t xml:space="preserve">Las aperturas añaden ventas pero también alquiler y amortización: con el margen en el 36 % el BPA crece ≈ 7 % al año, no un 9-10 %. La historia del PER (8,8-16,5 veces) deja un bajista profundo si el consumo empeora.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2,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Valor intrínseco alto</w:t>
      </w:r>
      <w:r>
        <w:t xml:space="preserve">: DCF de 3,87 GBP (+40 %); el precio descuenta un 2,2 % de crecimiento.</w:t>
      </w:r>
    </w:p>
    <w:p>
      <w:pPr>
        <w:pStyle w:val="ListParagraph"/>
        <w:numPr>
          <w:ilvl w:val="0"/>
          <w:numId w:val="2"/>
        </w:numPr>
        <w:spacing w:after="60"/>
      </w:pPr>
      <w:r>
        <w:rPr>
          <w:b/>
        </w:rPr>
        <w:t xml:space="preserve">Sin deuda bancaria</w:t>
      </w:r>
      <w:r>
        <w:t xml:space="preserve">: caja neta de 13,5 M y flujo libre de ≈ 34 M al año.</w:t>
      </w:r>
    </w:p>
    <w:p>
      <w:pPr>
        <w:pStyle w:val="ListParagraph"/>
        <w:numPr>
          <w:ilvl w:val="0"/>
          <w:numId w:val="2"/>
        </w:numPr>
        <w:spacing w:after="60"/>
      </w:pPr>
      <w:r>
        <w:rPr>
          <w:b/>
        </w:rPr>
        <w:t xml:space="preserve">Aperturas con retorno</w:t>
      </w:r>
      <w:r>
        <w:t xml:space="preserve">: 8 en FY2027 y objetivo de 130 centros en 2033; Canadá crece un 9 %.</w:t>
      </w:r>
    </w:p>
    <w:p>
      <w:pPr>
        <w:pStyle w:val="ListParagraph"/>
        <w:numPr>
          <w:ilvl w:val="0"/>
          <w:numId w:val="2"/>
        </w:numPr>
        <w:spacing w:after="60"/>
      </w:pPr>
      <w:r>
        <w:rPr>
          <w:b/>
        </w:rPr>
        <w:t xml:space="preserve">Costes cubiertos</w:t>
      </w:r>
      <w:r>
        <w:t xml:space="preserve">: 76 % de la electricidad fijada hasta FY2029; personal de los centros del 21 % de las ventas.</w:t>
      </w:r>
    </w:p>
    <w:p>
      <w:pPr>
        <w:pStyle w:val="ListParagraph"/>
        <w:numPr>
          <w:ilvl w:val="0"/>
          <w:numId w:val="2"/>
        </w:numPr>
        <w:spacing w:after="60"/>
      </w:pPr>
      <w:r>
        <w:rPr>
          <w:b/>
        </w:rPr>
        <w:t xml:space="preserve">Dividendo del 5 %</w:t>
      </w:r>
      <w:r>
        <w:t xml:space="preserve"> y recompras con el exceso de caja.</w:t>
      </w:r>
    </w:p>
    <w:p>
      <w:pPr>
        <w:pStyle w:val="Heading2"/>
      </w:pPr>
      <w:r>
        <w:t xml:space="preserve">En contra</w:t>
      </w:r>
    </w:p>
    <w:p>
      <w:pPr>
        <w:pStyle w:val="ListParagraph"/>
        <w:numPr>
          <w:ilvl w:val="0"/>
          <w:numId w:val="2"/>
        </w:numPr>
        <w:spacing w:after="60"/>
      </w:pPr>
      <w:r>
        <w:rPr>
          <w:b/>
        </w:rPr>
        <w:t xml:space="preserve">BPA plano desde FY2022</w:t>
      </w:r>
      <w:r>
        <w:t xml:space="preserve">: el margen bajó del 40 % al 36 % por salarios y energía.</w:t>
      </w:r>
    </w:p>
    <w:p>
      <w:pPr>
        <w:pStyle w:val="ListParagraph"/>
        <w:numPr>
          <w:ilvl w:val="0"/>
          <w:numId w:val="2"/>
        </w:numPr>
        <w:spacing w:after="60"/>
      </w:pPr>
      <w:r>
        <w:rPr>
          <w:b/>
        </w:rPr>
        <w:t xml:space="preserve">Consumo británico débil</w:t>
      </w:r>
      <w:r>
        <w:t xml:space="preserve">: comparables del 2S26 −5,6 % y partidas a la baja ya en el 1S26.</w:t>
      </w:r>
    </w:p>
    <w:p>
      <w:pPr>
        <w:pStyle w:val="ListParagraph"/>
        <w:numPr>
          <w:ilvl w:val="0"/>
          <w:numId w:val="2"/>
        </w:numPr>
        <w:spacing w:after="60"/>
      </w:pPr>
      <w:r>
        <w:rPr>
          <w:b/>
        </w:rPr>
        <w:t xml:space="preserve">Calidad justa</w:t>
      </w:r>
      <w:r>
        <w:t xml:space="preserve">: ROIC del 12,5 % frente a un WACC del 8,2 % (4,3 puntos).</w:t>
      </w:r>
    </w:p>
    <w:p>
      <w:pPr>
        <w:pStyle w:val="ListParagraph"/>
        <w:numPr>
          <w:ilvl w:val="0"/>
          <w:numId w:val="2"/>
        </w:numPr>
        <w:spacing w:after="60"/>
      </w:pPr>
      <w:r>
        <w:rPr>
          <w:b/>
        </w:rPr>
        <w:t xml:space="preserve">Bajista profundo a 12 meses</w:t>
      </w:r>
      <w:r>
        <w:t xml:space="preserve">: PER de 8,8 veces en 2022; ponderada del 6,4 %.</w:t>
      </w:r>
    </w:p>
    <w:p>
      <w:pPr>
        <w:pStyle w:val="ListParagraph"/>
        <w:numPr>
          <w:ilvl w:val="0"/>
          <w:numId w:val="2"/>
        </w:numPr>
        <w:spacing w:after="60"/>
      </w:pPr>
      <w:r>
        <w:rPr>
          <w:b/>
        </w:rPr>
        <w:t xml:space="preserve">Consenso alto</w:t>
      </w:r>
      <w:r>
        <w:t xml:space="preserve">: el BPA de los analistas es un 15 % mayor que el nuestro por la base pre-NIIF 16.</w:t>
      </w:r>
    </w:p>
    <w:p>
      <w:pPr>
        <w:pStyle w:val="Heading2"/>
      </w:pPr>
      <w:r>
        <w:t xml:space="preserve">Qué tiene que pasar para que la tesis funcione</w:t>
      </w:r>
    </w:p>
    <w:p>
      <w:pPr>
        <w:spacing w:after="100"/>
      </w:pPr>
      <w:r>
        <w:t xml:space="preserve">La tesis depende de que las partidas en los centros viejos dejen de caer cuando pase el efecto del calor y de que el margen se sostenga en el 36 % con la subida salarial de abril de 2027. La señal en contra sería un 1S27 con comparables del Reino Unido negativos pese a la base fácil, o un margen por debajo del 35 %; a favor, comparables positivos y Canadá con margen al alza.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comparables del Reino Unido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(FY2026; 2S −5,6 %)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gasto de ocio de las familias.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NIIF 16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 (FY2025)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salarios y energía.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por partida (Reino Unido)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 GBP (+7,6 %,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las ventas cuando bajan las partidas.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comparables de Canadá</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(FY2026; 2S +2,7 %)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Valida la expansión.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BAI ajustado pre-NIIF 16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Consenso 51,0 M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48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cifra que sigue el mercado.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13,9x / 11,3x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2,3x · 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Hollywood Bowl nació en 1988 como cadena británica de boleras; en 2014 el fondo Epiris (entonces Electra Partners) la compró y la unió con AMF Bowling, y en 2016 salió a bolsa en Londres a 185 p con 54 centros [1, 8]. Desde entonces ha reformado casi todos los centros (bolos, bar, máquinas recreativas, pistas VIP), ha comprado Bowlplex y ha entrado en Canadá con Splitsville (2022). Cerró por el covid en 2020-2021, amplió capital (29,4 M en FY2021) y salió sin deuda. Hoy tiene 95 centros y apunta a 130 en 2033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boleras Hollywood Bowl en el Reino Unido.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Epiris compra Hollywood Bowl y AMF Bowling y las une; Stephen Burns entra como director de operaciones.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Londres (185 p por acción) con 54 centros.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Cierres por el covid; ampliación de capital de 29,4 M y salida sin deuda bancaria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Teaquinn (Splitsville, 9 boleras en Canadá); dividendos extraordinarios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boleras independientes en Canadá (7,7 y 13,7 M) y aperturas; Tenpin, su rival, pasa a manos de Trive Capital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Primeras recompras (15,2 M); Capital Markets Day con el objetivo de 130 centros en 2033 [2,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récord de 261,6 M pese al verano más caluroso registrado; 95 centros; nuevo director financiero y nuevo auditor (EY) [4, 19].</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Hollywood Bowl Group explota 95 centros de ocio (boleras con comida, bebida y máquinas recreativas, y minigolf) en el Reino Unido (marcas Hollywood Bowl, AMF, Bowlplex, Puttstars) y en Canadá (Splitsville), y en Canadá fabrica e instala equipos de bolera (Striker) [1, 4].</w:t>
      </w:r>
    </w:p>
    <w:p>
      <w:pPr>
        <w:pStyle w:val="Heading2"/>
      </w:pPr>
      <w:r>
        <w:t xml:space="preserve">Cómo gana dinero</w:t>
      </w:r>
    </w:p>
    <w:p>
      <w:pPr>
        <w:spacing w:after="100"/>
      </w:pPr>
      <w:r>
        <w:t xml:space="preserve">Cobra por partida (44,6 % de las ventas), por comida y bebida (25,9 %) y por máquinas recreativas (26,7 %), con precios dinámicos por hora y día. El 70 % de las ventas no tiene coste de mercancía, así que el margen bruto es del 63 %; los costes fijos son el alquiler (en la NIIF 16, amortización e intereses), el personal (≈ 21 % de las ventas) y la energía. Crece abriendo 4-8 centros al año y reformando los antiguos [1, 3].</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Reino Unido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Canadá</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Reino Unido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Canadá</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Ventas de FY2026 según el avance (219,9 y 41,7 M) [4].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particulares (familias, grupos de jóvenes, empresas para eventos): sin concentración. Ventas del 1S26: bolos 44,6 %, comida y bebida 25,9 %, máquinas recreativas 26,7 % (vídeo y premios, no juego de azar), instalación de equipos 1,6 %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Centros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netos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aperturas en FY2027 hasta 103; objetivo de 130 en 2033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comparables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 (FY2026)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 −1,4 % (2S −5,6 % por el calor); Canadá +1,5 %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por partida en el Reino Unido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 GBP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 GBP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mejor precio en hora punta, pistas VIP y máquinas recreativas; las partidas bajaron algo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NIIF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Salarios y energía; 1S26: 38,4 %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Personal de los centros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Salario mínimo y cotizaciones sumaron ≈ 1 M cada uno en el 1S26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Electricidad cubierta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 hasta FY2029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un 12 % de placas solares propias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Ocio de proximidad bajo techo de precio asequible: boleras con comida, bebida y máquinas recreativas, minigolf y otras actividades («competitive socialising»), en el Reino Unido y Canadá. Excluye cines, gimnasios y pubs, que compiten por el mismo gasto de 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cifra oficial. Savills cuenta más de 800 locales de ocio competitivo en el Reino Unido (+58 % desde 2018) y prevé ≈ 1.100 a final de la década; las cadenas con marca tienen más de 500 [11]. Hollywood Bowl estima ser el mayor operador de boleras en ambos países; en Canadá hay más de 180 boleras, la mayoría independientes [8].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Desaceleración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Reino Unido: dos cadenas grandes de boleras (Hollywood Bowl, 77-79 centros; Tenpin, ≈ 50-60, privada desde 2024) y muchas marcas pequeñas de ocio competitivo (Lane7, Puttshack, Flight Club, Boom, Superbowl). Canadá: fragmentado, con Splitsville (Hollywood Bowl) como mayor cadena con marca y Rec Room (Cineplex) en ocio mixto [8, 11, 12].</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de ocio de las familias británicas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comparables del Reino Unido pasaron de +2,6 % en el 1S26 a −5,6 % en el 2S por el calor; el gasto por partida subió un 7,6 % con menos partidas [3,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Ocio asequible frente a alternativas caras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partida familiar cuesta menos que cine con comida o parques; la empresa mantuvo la demanda en 2022-2024 con inflación alta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Salario mínimo y cotizaciones del empleador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Sumaron ≈ 1 M cada uno en el 1S26 y restaron 1 punto de margen bruto; el personal de los centros es el 20,8 % de las ventas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76 % de la electricidad cubierta hasta FY2029, un 12 % con placas solares propias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Expansión en Canadá y nuevas aperturas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 +9,0 % en FY2026; objetivo de 35 centros en 2032 (15 en FY2025) y 130 en el grupo en 2033 [3,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Tiempo y clima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Verano de 2026 el más caluroso registrado en el Reino Unido: comparables del 2S −5,6 %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cadena rival grande (Tenpin) y muchos formatos nuevos de ocio competitivo que abren en los mismos parques comerciales [11,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nuevos entrantes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bolera cuesta ≈ 3-5 M de inversión y necesita un local grande; los formatos nuevos (minigolf, dardos, karts) entran con menos capital [8, 11].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propietarios de los locales (alquileres a 15-25 años) y los fabricantes de equipos (Striker es de Hollywood Bowl; QubicaAMF y Brunswick); la energía está cubierta [1, 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particulares, sin poder individual, pero sensibles al precio: el ocio es gasto discrecional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Compite por el mismo gasto con cines, restaurantes, pubs, ocio en casa (consolas, plataformas) y actividades al aire libre cuando hace buen tiempo [4].</w:t>
            </w:r>
          </w:p>
        </w:tc>
      </w:tr>
    </w:tbl>
    <w:p>
      <w:pPr>
        <w:spacing w:after="160" w:before="0"/>
      </w:pPr>
    </w:p>
    <w:p>
      <w:pPr>
        <w:pStyle w:val="Heading2"/>
      </w:pPr>
      <w:r>
        <w:t xml:space="preserve">Ciclo</w:t>
      </w:r>
    </w:p>
    <w:p>
      <w:pPr>
        <w:spacing w:after="100"/>
      </w:pPr>
      <w:r>
        <w:t xml:space="preserve">El consumo británico está débil (subida de impuestos, empleo flojo) y el gasto de ocio aguanta en precio pero no en volumen: el gasto por partida sube y las partidas bajan [3]. En 2008-2009 las boleras con precio asequible resistieron mejor que el ocio caro, según la empresa [1]. Canadá crece por aperturas y sus comparables mejoran (+2,7 % en el 2S26) [4].</w:t>
      </w:r>
    </w:p>
    <w:p>
      <w:pPr>
        <w:pStyle w:val="Heading2"/>
      </w:pPr>
      <w:r>
        <w:t xml:space="preserve">Regulación</w:t>
      </w:r>
    </w:p>
    <w:p>
      <w:pPr>
        <w:spacing w:after="100"/>
      </w:pPr>
      <w:r>
        <w:t xml:space="preserve">Licencias de bebidas alcohólicas y de máquinas recreativas (en el Reino Unido, máquinas de premio de categoría D y vídeo, no juego de azar). Salario mínimo (National Living Wage, subida por encima de la inflación en abril de 2026) y cotizaciones del empleador (subidas en abril de 2025). Tarifas municipales («business rates»): reforma de 2026 con tipos menores para ocio y hostelería [1, 3].</w:t>
      </w:r>
    </w:p>
    <w:p>
      <w:pPr>
        <w:pStyle w:val="Heading2"/>
      </w:pPr>
      <w:r>
        <w:t xml:space="preserve">Tendencias y disrupción</w:t>
      </w:r>
    </w:p>
    <w:p>
      <w:pPr>
        <w:spacing w:after="100"/>
      </w:pPr>
      <w:r>
        <w:t xml:space="preserve">Auge de las «salidas con actividad» frente a las salidas solo a comer o beber; reservas por internet con precios dinámicos; más peso de máquinas recreativas y comida en el gasto; cierre de grandes almacenes que deja locales grandes y baratos para boleras (Reading en un antiguo John Lewis) [3, 11].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operador de boleras del Reino Unido y de Canadá por número de centros (77 + 15 en FY2025; 95 en FY2026) [1,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Tenpin (Ten Entertainment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50-60 centros; comprada por Trive Capital en 2023-2024 por 287 M (7,3 veces el EBITDA tras renta)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Lucky Strike Entertainment (antes Bowlero)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LUCK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operador de boleras del mundo (≈ 360 centros en Norteamérica, algunos en Canadá); ventas de 1.245 M USD; muy endeudado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Dave &amp; Buster's y Main Event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Restaurante con máquinas recreativas y bolera (Main Event); ventas de 2.081 M USD; compró Main Event en 2022 a ≈ 9 veces el EBITDA [13,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 Room (Cineplex)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CGX.TO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Ocio mixto (juegos, comida, espectáculos) dentro de Cineplex (ventas totales de 1.358 M CAD)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Formatos de ocio competitivo (Lane7, Puttshack, Flight Club, Boom)</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Privados; más caros y de centro urbano; compiten por los mismos locales y el mismo gasto de grupo [11].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Escala y marca</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cadena en dos países; compras, marketing digital y precios dinámicos a escala; margen EBITDA del 36 % (NIIF 16) [2,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Ubicaciones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Locales grandes en parques de ocio con alquileres largos; pocos locales adecuados por ciudad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Striker propio abarata las aperturas y reformas; energía cubierta hasta FY2029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red: cada centro compite en su zona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cliente cambia de ocio sin coste [2].</w:t>
            </w:r>
          </w:p>
        </w:tc>
      </w:tr>
    </w:tbl>
    <w:p>
      <w:pPr>
        <w:spacing w:after="160" w:before="0"/>
      </w:pPr>
    </w:p>
    <w:p>
      <w:pPr>
        <w:pStyle w:val="Heading2"/>
      </w:pPr>
      <w:r>
        <w:t xml:space="preserve">Amenazas</w:t>
      </w:r>
    </w:p>
    <w:p>
      <w:pPr>
        <w:spacing w:after="100"/>
      </w:pPr>
      <w:r>
        <w:t xml:space="preserve">Las aperturas de ocio competitivo (más de 800 locales en el Reino Unido) y la competencia por el gasto de las familias; en Canadá, Lucky Strike si decide crecer allí. El clima: un verano caluroso resta visitas a todo el ocio bajo techo [4, 11].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FY2021-FY2025: ingresos </w:t>
      </w:r>
      <w:r>
        <w:rPr>
          <w:b/>
          <w:bCs/>
        </w:rPr>
        <w:t xml:space="preserve">36,7 %</w:t>
      </w:r>
      <w:r>
        <w:t xml:space="preserve">, EBITDA </w:t>
      </w:r>
      <w:r>
        <w:rPr>
          <w:b/>
          <w:bCs/>
        </w:rPr>
        <w:t xml:space="preserve">31,4 %</w:t>
      </w:r>
      <w:r>
        <w:t xml:space="preserve">, BPA </w:t>
      </w:r>
      <w:r>
        <w:rPr>
          <w:b/>
          <w:bCs/>
        </w:rPr>
        <w:t xml:space="preserve">109,8 %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pasaron de 193,7 M en FY2022 (primer año completo tras el covid) a 250,7 M en FY2025 (+9,0 % anual) y a 261,6 M en FY2026 según el avance (+4,3 %; −1,0 % en centros comparables por el verano más caluroso registrado en el Reino Unido) [2, 4]. El EBITDA NIIF 16 ajustado subió de 77,5 a 91,2 M, pero su margen bajó del 40,0 % al 36,4 % por los salarios (salario mínimo y cotizaciones del empleador) y la energía [2]. El EBIT apenas se mueve (55,4 → 58,2 M) porque la amortización crece con las aperturas y los derechos de uso. No recurrentes (dentro del EBITDA): devolución de IVA en FY2022 (ingreso de 3,7 M), costes de compras y del pago variable de Teaquinn en FY2023-FY2024 y una indemnización de seguros en FY2025 (ingreso de 1,6 M). Los deterioros de centros (0,9-5,3 M al año, 2,8 M en el 1S26) están en amortizaciones: se repiten cada año y no los quitamos del BPA. BPA diluido de 20,14 p en FY2025 (FY2022: 21,78 p con la devolución de IVA). Cuentas del ESEF [7]; antes de FY2021 no se usan (antes de la NIIF 16: FY2019 [10]).</w:t>
      </w:r>
    </w:p>
    <w:p>
      <w:pPr>
        <w:pStyle w:val="Heading2"/>
      </w:pPr>
      <w:r>
        <w:t xml:space="preserve">Ajustes y partidas no recurrentes</w:t>
      </w:r>
    </w:p>
    <w:p>
      <w:pPr>
        <w:spacing w:after="100"/>
      </w:pPr>
      <w:r>
        <w:t xml:space="preserve">El BPA «ajustado» de la empresa cambió de base en FY2026: ahora es antes de la NIIF 16 (renta en lugar de amortización e intereses de los derechos de uso) y sin partidas ajustadas ni deterioros (BAI ajustado pre-NIIF 16: 49,4 M en FY2025; 32,1 M en el 1S26; consenso de FY2026 51,0 M) [3, 4]. Nuestro BPA es NIIF 16 con los deterioros dentro, unos 2-3 peniques por debajo del ajustado de la empresa.</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Avance anual del 7-oct-2026: ventas de FY2026 de 261,6 M (+4,3 %), comparables −1,0 % (1S +2,3 %, 2S −4,5 %; Reino Unido 2S −5,6 % por el calor), Canadá +9,0 %, 95 centros, caja neta de 13,5 M y BAI ajustado «en línea» con el consenso de 51,0 M (48,0-53,2) [4]. La empresa publica por semestres (1S25 en [6]); los resultados anuales, en diciembre (fecha por confirmar).</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(FY2022: Compra de Teaquinn (Splitsville, 9 centros en Canadá) en mayo de 2022 por 17 M CAD iniciales más un pago variable sobre el EBITDA de FY2026 [5].; FY2023-FY2024: Compras de centros independientes en Canadá (7,7 M en FY2023 y 13,7 M en FY2024: Lucky 9, Stoked, Woodlawn y Lincoln) [5].).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Balance sin deuda financiera: el único apalancamiento son los alquileres de los centros (≈ 2,5 veces el EBITDA NIIF 16). El patrimonio apenas crece (104,7 → 151,3 M) porque se reparte casi todo el beneficio en dividendos y recompras. El fondo de comercio (92,7 M) viene de la compra de 2014 y de Canadá. Acciones en circulación: 166,6 M a 30-sep-2026 [9].</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FY2021-FY2025: FCF </w:t>
      </w:r>
      <w:r>
        <w:rPr>
          <w:b/>
          <w:bCs/>
        </w:rPr>
        <w:t xml:space="preserve">117</w:t>
      </w:r>
      <w:r>
        <w:t xml:space="preserve">, conversión </w:t>
      </w:r>
      <w:r>
        <w:rPr>
          <w:b/>
          <w:bCs/>
        </w:rPr>
        <w:t xml:space="preserve">85 %</w:t>
      </w:r>
      <w:r>
        <w:t xml:space="preserve"> del beneficio neto; adquisiciones 29, dividendos 77, recompras 16.</w:t>
      </w:r>
    </w:p>
    <w:p>
      <w:pPr>
        <w:spacing w:after="100"/>
      </w:pPr>
      <w:r>
        <w:t xml:space="preserve">El flujo operativo (73,5 M en FY2025, ya después de pagar 13,7 M de intereses de arrendamientos) cubre la inversión en centros (36,5 M) y el principal de los alquileres (14,6 M): flujo libre de ≈ 22 M en FY2025 y 34 M en los 12 meses a marzo de 2026 [2, 3]. Con él se pagaron 20,8 M de dividendos y 15,2 M de recompras en FY2025. La inversión total incluye las altas de derechos de uso de los centros nuevos (33,7 M en FY2025), que no pasan por caja pero sí comprometen alquiler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 hasta FY2025; Ernst &amp; Young LLP desde FY2026 (tras concurso)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Limpia (sin salvedades) en FY2025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sencillas: ventas al contado en los centros, sin deuda, sin coberturas complejas. Lo que hay que mirar: la empresa ajusta el BPA (deterioros recurrentes, y desde FY2026 una base pre-NIIF 16), y los deterioros de centros se repiten cada año. El cambio de auditor fue por concurso y la declaración de KPMG (s519) no señala nada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ajustado frente al publicado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FY2026 el ajustado es pre-NIIF 16 y sin deterioros: 14,51 p en el 1S26 frente a 11,64 p diluido publicado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de centros todos los años (0,9-5,3 M; 2,8 M en el 1S26): no son extraordinarios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auditor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KPMG a EY desde FY2026 tras concurso obligatorio; declaración s519 sin asuntos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 a la baja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 40,0 % en FY2022 al 36,4 % en FY2025 por salarios y energía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93 M en FY2025 (el 26 % del capital invertido medio); ha subido más de un 5 % en 2 de 4 años: compras pequeñas. ROIC publicado 12,5 %; sin fondo de comercio, 16,9 %.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32,4 % · </w:t>
      </w:r>
      <w:r>
        <w:rPr>
          <w:b/>
          <w:bCs/>
        </w:rPr>
        <w:t xml:space="preserve">WACC</w:t>
      </w:r>
      <w:r>
        <w:t xml:space="preserve">: 8,2 %.</w:t>
      </w:r>
    </w:p>
    <w:p>
      <w:pPr>
        <w:spacing w:after="100"/>
      </w:pPr>
      <w:r>
        <w:t xml:space="preserve">El ROIC del motor es del 12,5 % en FY2025 (16,0 % en FY2022): capital invertido de 357 M que incluye los derechos de uso de los centros (≈ 220 M) y el fondo de comercio de la compra de 2014 (92,7 M) [1]. Sin fondo de comercio, el 16,9 %. Frente a un WACC del 8,2 %, la diferencia es de 4,3 puntos: crea valor, pero por debajo de los 5 puntos que pide nuestro requisito de calidad. La tendencia es a la baja (16,0 → 12,5 %) porque los salarios y la energía han bajado el margen EBITDA del 40 % al 36 % y las aperturas suman capital antes que beneficio. Las aperturas maduras rinden más (17-20 % de EBITDA sobre la inversión al tercer año, objetivo de la empresa [8]); si el margen se recupera al 38 %, el ROIC volvería al 14-15 %. ROE del 22,8 %: alto porque el patrimonio es pequeño (dividendos y recompras), no por deuda bancaria.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sep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deuda bancaria desde FY2021. Caja de 26,0 M a 31-mar-2026 y caja neta de 13,5 M a 30-sep-2026 tras dividendos, recompras (2,9 M en el 2S) e inversión [3, 4]. Crédito revolving de 25 M con Barclays sin disponer, hasta mayo de 2028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calificación crediticia.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Arrendamientos NIIF 16 de los centros: 235,8 M a 30-sep-2025 y 235,1 M a 31-mar-2026 (intereses de 13,7 M en FY2025, ≈ 5,8 %) [2, 3]. Contraprestación contingente de Teaquinn: 4,96 M a 31-mar-2026, calculada sobre el EBITDA de FY2026 con tope de 17 M CAD [3].</w:t>
      </w:r>
    </w:p>
    <w:p>
      <w:pPr>
        <w:pStyle w:val="Heading1"/>
      </w:pPr>
      <w:r>
        <w:t xml:space="preserve">12. Asignación de capital</w:t>
      </w:r>
    </w:p>
    <w:p>
      <w:pPr>
        <w:pStyle w:val="Confianza"/>
        <w:spacing w:after="100"/>
      </w:pPr>
      <w:r>
        <w:t xml:space="preserve">Confianza: Media</w:t>
      </w:r>
    </w:p>
    <w:p>
      <w:pPr>
        <w:spacing w:after="100"/>
      </w:pPr>
      <w:r>
        <w:t xml:space="preserve">Prioridades: inversión en centros nuevos y reformas con un retorno objetivo sobre EBITDA del 17-20 % al tercer año, dividendo ordinario de ≈ 50-60 % del beneficio ajustado y devolución del exceso de caja (dividendos especiales en FY2022-FY2023, recompras desde FY2025) [2,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Teaquinn Holdings (Splitsville, 9 boleras en Canadá)</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Canadá: 15 centros en FY2025, ventas de 38,3 M; pago variable a 9,2 veces el EBITDA pre-NIIF 16 de FY2026 [3,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Boleras independientes en Canadá</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Integradas en Splitsville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Lucky 9, Stoked, Woodlawn y Lincoln (Canadá)</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Integradas y reformadas [5].</w:t>
            </w:r>
          </w:p>
        </w:tc>
      </w:tr>
    </w:tbl>
    <w:p>
      <w:pPr>
        <w:spacing w:after="160" w:before="0"/>
      </w:pPr>
    </w:p>
    <w:p>
      <w:pPr>
        <w:spacing w:after="100"/>
      </w:pPr>
      <w:r>
        <w:t xml:space="preserve">Asignación disciplinada: sin deuda, aperturas con objetivos de retorno publicados y reparto del exceso de caja. Las aperturas de los últimos años (Reading, Liverpool, Kanata, Creekside, Edmonton) van «por encima de lo previsto» según la empresa [3]. La caja neta bajó de 56,1 M (FY2022) a 13,5 M (FY2026): el ritmo de aperturas (8 en FY2027) y el dividendo ya consumen casi todo el flujo.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Burns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desde 2014 y consejero delegado desde 2016 (antes en Mitchells &amp; Butlers y Whitbread). Con él el grupo pasó de 54 a 95 centros, entró en Canadá y salió del covid sin deuda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Antony Smith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el 2-feb-2026; Laurence Keen, director financiero desde 2014, pasó a consejero delegado de Canadá con un mandato de seis meses [3].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Darryl Lewis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Canadá</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el 1-nov-2026, tras el periodo de Keen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 Hart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desarrollo de negocio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las aperturas y los locales; vendió 40.000 acciones en julio de 2026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Melanie Dickinson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 de personas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Recursos humanos; premios de mejor empresa para trabajar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línea con las expectativas del mercado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récord de 215,1 M; BAI ajustado de 47,8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línea con las expectativas del mercado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230,4 M; BAI ajustado de 45,0 M (−5,2 %)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en línea con el consenso (ventas de 248,0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250,7 M; EBITDA ajustado de 91,2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 ajustado en línea con el consenso de 51,0 M (48,0-53,2)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261,6 M; BAI pendiente (diciembre)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con experiencia en ocio: el consejero delegado lleva 12 años y tiene ≈ 3,2 M de acciones (≈ 8,9 M GBP). El cambio de director financiero en 2026 se hizo ordenado (Keen pasó a Canadá). La empresa no da cifras de guía: dice si va en línea con el consenso; en FY2024 el beneficio cayó pese a ventas récord [4].</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Darren Shapland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Stephen Burns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Antony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Melanie Dickinson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personas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Rachel Addison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Ivan Schofield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Julia Porter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Asheeka Hyde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Simon Dodd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(desde el 1-nov-2026)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7,4 %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Limpia (sin salvedades) en FY2025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1,18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FY2025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Schroders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FY2025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JPMorgan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FY2025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5 % en octubre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Columbia Threadneedle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FY2025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Aberforth Partners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5 % en enero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Aberdeen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 10 % (dic-2025) a menos del 5 % (feb-2026): vendedor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 Hart (director de desarrollo)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Ivan Schofield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 (plan a largo plazo, ventas para pagar impuestos)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303.326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Asheeka Hyde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Consejero delegado: 1,72 M GBP en FY2025 (fijo 0,53; variable anual 0,45; plan a largo plazo 0,74). El plan a largo plazo de FY2026 mide el BPA ajustado (70 %), la rentabilidad para el accionista (10 %), el retorno del capital de los centros (10 %) y el carbono (10 %) [1]. El informe de remuneración tuvo un 92,6 % a favor en la junta del 29-ene-2026 [15].</w:t>
      </w:r>
    </w:p>
    <w:p>
      <w:pPr>
        <w:pStyle w:val="Heading2"/>
      </w:pPr>
      <w:r>
        <w:t xml:space="preserve">Operaciones vinculadas, estructura de control y defensas</w:t>
      </w:r>
    </w:p>
    <w:p>
      <w:pPr>
        <w:spacing w:after="100"/>
      </w:pPr>
      <w:r>
        <w:t xml:space="preserve">Sin accionista de control: capital repartido entre fondos británicos y estadounidenses (ocho por encima del 5 % a finales de 2025). Una acción, un voto. Sin blindajes; sujeta al código de adquisiciones británico [1, 17].</w:t>
      </w:r>
    </w:p>
    <w:p>
      <w:pPr>
        <w:pStyle w:val="Heading2"/>
      </w:pPr>
      <w:r>
        <w:t xml:space="preserve">Señales de alerta</w:t>
      </w:r>
    </w:p>
    <w:p>
      <w:pPr>
        <w:pStyle w:val="ListParagraph"/>
        <w:numPr>
          <w:ilvl w:val="0"/>
          <w:numId w:val="2"/>
        </w:numPr>
        <w:spacing w:after="60"/>
      </w:pPr>
      <w:r>
        <w:t xml:space="preserve">Ventas de directivos en 2026 (≈ 1,2 M GBP) y ninguna compra relevante.</w:t>
      </w:r>
    </w:p>
    <w:p>
      <w:pPr>
        <w:pStyle w:val="ListParagraph"/>
        <w:numPr>
          <w:ilvl w:val="0"/>
          <w:numId w:val="2"/>
        </w:numPr>
        <w:spacing w:after="60"/>
      </w:pPr>
      <w:r>
        <w:t xml:space="preserve">Aberdeen pasó del 10 % a menos del 5 % entre diciembre de 2025 y febrero de 2026.</w:t>
      </w:r>
    </w:p>
    <w:p>
      <w:pPr>
        <w:pStyle w:val="ListParagraph"/>
        <w:numPr>
          <w:ilvl w:val="0"/>
          <w:numId w:val="2"/>
        </w:numPr>
        <w:spacing w:after="60"/>
      </w:pPr>
      <w:r>
        <w:t xml:space="preserve">Cambio de director financiero y de auditor en el mismo ejercicio (FY2026).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Sin guía numérica. En el avance del 7-oct-2026 la empresa espera un BAI ajustado de FY2026 en línea con el consenso que recopila (51,0 M de media de 8 analistas, 48,0-53,2), en su nueva base pre-NIIF 16 (renta en lugar de amortización e intereses de los derechos de uso, sin partidas ajustadas ni deterioros); FY2025 en esa base: 49,4 M [2, 4]. Para FY2027: 8 aperturas (95 → 103 centros)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86"/>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8 analistas (BPA ajustado pre-NIIF 16) [21]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8 analistas (BPA ajustado pre-NIIF 16) [21]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 – 4,50</w:t>
            </w:r>
          </w:p>
        </w:tc>
      </w:tr>
    </w:tbl>
    <w:p>
      <w:pPr>
        <w:spacing w:after="160" w:before="0"/>
      </w:pPr>
    </w:p>
    <w:p>
      <w:pPr>
        <w:pStyle w:val="Heading2"/>
      </w:pPr>
      <w:r>
        <w:t xml:space="preserve">Revisiones de estimaciones</w:t>
      </w:r>
    </w:p>
    <w:p>
      <w:pPr>
        <w:spacing w:after="100"/>
      </w:pPr>
      <w:r>
        <w:t xml:space="preserve">Revisiones a la baja leves: el BPA de FY2026 pasó de 22,99 p hace 90 días a 22,47 p y el de FY2027 de 24,59 p a 24,42 p, por el calor del verano [21]. Los 8 analistas recomiendan comprar (1 compra fuerte), con un objetivo medio de 389 p (340-450), un 41 % sobre el precio [21]. El consenso de ventas de FY2027 (290,6 M, +11 %) supone aperturas rápidas y comparables positivos.</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8" name="Gráfico 18"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-41,9 %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apenas se ha movido en cinco años (+3,6 % anual de precio, más un dividendo de ≈ 5 %), por debajo del FTSE 250 en uno y tres años. Subió un 15 % el día de los resultados del 1S26 (27-may) hasta 312,5 p y cayó un 27 % hasta 246,5 p (6-oct) con el calor del verano, que hundió los comparables del Reino Unido en el 2S; el avance anual (7-oct) la devolvió a ≈ 264 p y hoy cotiza a 275,5 p [20, 24]. Beta baja (0,52 mensual; 0,85 ajustada semanal): se mueve por el consumo británico y el clima más que por el mercado.</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+12,4 % / -5,0 % / +3,2 % / -0,2 %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 / +17,5 %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2026-12-15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may-jun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1S26 (27-may): ventas +9,5 %, BAI ajustado +8,1 %, BPA ajustado +11,3 % y confianza en el año; +15,4 % ese día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2026-01-29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Ex-dividendo final de 9,18 p el día de la junta: caída mecánica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2026-09-07/08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días seguidos de −6,0 % y −5,7 % sin nota de la empresa; causa concreta no encontrada en tres búsquedas (RNS de septiembre, AJ Bell, AskTraders): la explicación probable es el miedo al cierre del ejercicio por el calor, que el avance del 7-oct confirmó (comparables del 2S −5,6 %) [4,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avance anual (7-oct) confirma el BAI en línea con el consenso pese al calor: +7,1 % en la apertura (264 p) y +3,9 % al cierre; BlackRock supera el 5 % (13-oct) [4, 17,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 de FY2026: ventas de 261,6 M (+4,3 %), comparables −1,0 % (2S Reino Unido −5,6 % por el calor), BAI ajustado en línea con el consenso de 51,0 M, caja neta de 13,5 M y 8 aperturas en FY2027 [4].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BlackRock supera el 5 % del capital (5,17 %)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Simon Dodd entra en el consejo el 1-nov-2026; Darryl Lewis, consejero delegado de Canadá desde el 1-nov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 Hart (director de desarrollo) vende 40.000 acciones a 288,6 p; en mayo el consejero Ivan Schofield vendió 89.991 a 308,1 p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2026-06-01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recompra de 2,9 M GBP en el 2S26, completado [25].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1S26: ventas +9,5 %, comparables +2,3 %, BAI ajustado +8,1 %, salario mínimo y cotizaciones ≈ 1 M cada uno, 76 % de la electricidad cubierta hasta FY2029 [3].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auditor: EY sustituye a KPMG desde FY2026 tras concurso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2026-02-04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Aberdeen baja del 10 % (dic-2025) a menos del 5 % (feb-2026); Aberforth sube por encima del 5 % [17].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2025-12-16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FY2025: ventas de 250,7 M (+8,8 %), BAI ajustado pre-NIIF 16 de 49,4 M (−7,5 %) por salarios y energía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El precio está en la mitad de su rango de 52 semanas (−10 % del máximo, +18 % del mínimo), con tendencia lateral. Las caídas fuertes tienen causa (dividendo) o se explican por el calor del verano, ya confirmado y descontado en el avance del 7-oct; no hay colocaciones, ampliaciones, litigios ni ofertas. Los resultados anuales llegan en diciembre (fecha por confirmar; estimamos mediados de mes, como en 2024 y 2025): el riesgo es que la guía de FY2027 incluya los nuevos costes salariales de abril de 2027. Nada de esto cambia la recomendación.</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PER adelantado en nuestra base (NIIF 16 con deterioros): precio de cierre a 30 de septiembre ÷ BPA real del ejercicio siguiente (FY2025 ÷ nuestro FY2026e de ≈ 19,5 p). Mediana de cinco años 12,9 veces, mínimo 8,8 (septiembre de 2022, crisis de energía y consumo), media 12,4. Antes de FY2021 no sirve: antes de la NIIF 16 (hasta FY2019) y el covid (FY2020-FY2021) [2, 20].</w:t>
      </w:r>
    </w:p>
    <w:p>
      <w:pPr>
        <w:pStyle w:val="Heading1"/>
      </w:pPr>
      <w:r>
        <w:t xml:space="preserve">18. Comparables cotizados</w:t>
      </w:r>
    </w:p>
    <w:p>
      <w:pPr>
        <w:pStyle w:val="Confianza"/>
        <w:spacing w:after="100"/>
      </w:pPr>
      <w:r>
        <w:t xml:space="preserve">Confianza: Media</w:t>
      </w:r>
    </w:p>
    <w:p>
      <w:pPr>
        <w:spacing w:after="100"/>
      </w:pPr>
      <w:r>
        <w:t xml:space="preserve">Ocio y hostelería británicos cotizados con locales en alquiler (pubs de Young's, Fuller's, Wetherspoon y Mitchells &amp; Butlers; gimnasios de The Gym Group), ocio bajo techo (XP Factory, Cineplex con Rec Room) y gimnasios europeos (Basic-Fit). No hay otra bolera cotizada en Europa; Lucky Strike y Dave &amp; Buster's (EE. UU., US GAAP, en pérdidas o con mucha deuda) quedan fuera del múltiplo. Datos de Yahoo del 20-oct-2026 [21]; el VE de Yahoo incluye los arrendamientos en la mayoría de los británicos.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Hollywood Bowl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Young &amp; Co.'s Brewery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Fuller, Smith &amp; Turner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 D Wetherspoon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Mitchells &amp; Butlers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Gym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Cineplex (Rec Room)</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Basic-Fit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XP Factory (Boom, Escape Hunt)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 / 11,3x / 11,5x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 / 16,4x / 21,4x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 / 1,7x / 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-53,9 %</w:t>
            </w:r>
          </w:p>
        </w:tc>
      </w:tr>
    </w:tbl>
    <w:p>
      <w:pPr>
        <w:spacing w:after="160" w:before="0"/>
      </w:pPr>
    </w:p>
    <w:p>
      <w:pPr>
        <w:spacing w:after="100"/>
      </w:pPr>
      <w:r>
        <w:t xml:space="preserve">Mediana del PER adelantado de 14.4 veces sin The Gym Group (31,9, beneficio en recuperación) ni XP Factory (23,6, microcapitalización) [21]. Hollywood Bowl cotiza a 11,3 veces el BPA ajustado del consenso de FY2027 y a 9,2 veces el EBITDA de los últimos 12 meses (VE de 669 M con arrendamientos), por debajo de la mediana pese a tener el mayor margen (36 % NIIF 16) y caja neta: el mercado descuenta el consumo británico.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Ten Entertainment Group (Tenpin, ≈ 50 boleras en el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Trive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412,5 p por acción (287 M de capital, caja neta de 5,1 M): 7,3 veces el EBITDA tras renta; ≈ 7,9 veces en base NIIF 16 de Hollywood Bowl [12].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Main Event (boleras y ocio,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Dave &amp; Buster's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de 835 M USD, ≈ 9 veces el EBITDA ajustado (US GAAP, sin alquileres en la deuda) [13].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Teaquinn (Splitsville, Canadá)</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Hollywood Bowl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 CAD iniciales; pago variable a 9,2 veces el EBITDA pre-NIIF 16 de FY2026: compra pequeña y en reforma [2].</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Pocas operaciones comparables: Tenpin, el rival directo, se vendió a 7,3 veces el EBITDA tras renta (≈ 7,9 en base NIIF 16) a finales de 2023, en un mercado de consumo débil. Main Event, en EE. UU., a ≈ 9 veces. Referencia de 8-9 veces el EBITDA NIIF 16 para un control.</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(+4,3 %, fijo) es el avance publicado [4]. FY2027e y FY2028e (+8 %) suman las 8 aperturas de FY2027 (95 → 103 centros) y las 4 de FY2026 todo el año (≈ 6 puntos) y un gasto por partida al alza de ≈ 2 puntos con partidas planas; el consenso pide +11 % en FY2027 [21]. Después baja al 4 % en FY2033e a medida que se acerca el objetivo de 130 centros [8].</w:t>
      </w:r>
    </w:p>
    <w:p>
      <w:pPr>
        <w:keepNext/>
        <w:spacing w:after="100"/>
      </w:pPr>
      <w:r>
        <w:rPr>
          <w:b/>
          <w:bCs/>
        </w:rPr>
        <w:t xml:space="preserve">Márgenes.</w:t>
      </w:r>
    </w:p>
    <w:p>
      <w:pPr>
        <w:spacing w:after="100"/>
      </w:pPr>
      <w:r>
        <w:t xml:space="preserve">Margen EBITDA NIIF 16 del 36,4 % en FY2026e (igual que FY2025; 1S26 38,4 % y 2S con comparables del −4,5 %), 35,8 % en FY2027e por los costes de apertura y los salarios de abril de 2026 y 2027, y 36 % después: por debajo del 38-40 % de FY2022-FY2024 [2, 3]. No damos por recuperado el margen que se llevaron el salario mínimo y las cotizaciones (≈ 2 M al semestre) [3].</w:t>
      </w:r>
    </w:p>
    <w:p>
      <w:pPr>
        <w:keepNext/>
        <w:spacing w:after="100"/>
      </w:pPr>
      <w:r>
        <w:rPr>
          <w:b/>
          <w:bCs/>
        </w:rPr>
        <w:t xml:space="preserve">Inversión y circulante.</w:t>
      </w:r>
    </w:p>
    <w:p>
      <w:pPr>
        <w:spacing w:after="100"/>
      </w:pPr>
      <w:r>
        <w:t xml:space="preserve">Inversión con las altas de derechos de uso (alquileres nuevos), como manda la NIIF 16: 70,2 M en FY2025 (28 % de las ventas) [2]. 18,9 % en FY2026e (guía de 25-30 M en caja + ≈ 22 M de alquileres nuevos), 26 % en FY2027e por las 8 aperturas, y bajada hasta el 15 % en FY2033e frente a una amortización del 14,2 % (con los deterioros de centros, que se repiten). Circulante del −8,5 % de las ventas: cobra al contado y paga a 30-60 días.</w:t>
      </w:r>
    </w:p>
    <w:p>
      <w:pPr>
        <w:keepNext/>
        <w:spacing w:after="100"/>
      </w:pPr>
      <w:r>
        <w:rPr>
          <w:b/>
          <w:bCs/>
        </w:rPr>
        <w:t xml:space="preserve">Coste del capital.</w:t>
      </w:r>
    </w:p>
    <w:p>
      <w:pPr>
        <w:spacing w:after="100"/>
      </w:pPr>
      <w:r>
        <w:t xml:space="preserve">Tasa libre del 5,31 % (gilt a 10 años, Banco de Inglaterra, 15-oct-2026 [22, 27]); beta de 0,85, la ajustada semanal a 5 años frente al FTSE 250 (mensual sin ajustar 0,52; semanal a 2 años 1,18) [20]; prima de mercado del 5 % y 0,5 puntos por tamaño (capitalización de 459 M). Coste de la deuda del 6 % antes de impuestos (tipo implícito de los arrendamientos: 13,7 M de intereses sobre ≈ 236 M [2]) y peso del 34 % (arrendamientos de 235 M frente a 459 M de capitalización). WACC del 8,16 %.</w:t>
      </w:r>
    </w:p>
    <w:p>
      <w:pPr>
        <w:keepNext/>
        <w:spacing w:after="100"/>
      </w:pPr>
      <w:r>
        <w:rPr>
          <w:b/>
          <w:bCs/>
        </w:rPr>
        <w:t xml:space="preserve">Valor terminal.</w:t>
      </w:r>
    </w:p>
    <w:p>
      <w:pPr>
        <w:spacing w:after="100"/>
      </w:pPr>
      <w:r>
        <w:t xml:space="preserve">Crecimiento a perpetuidad del 2,5 %, cerca de la inflación británica esperada: el número de centros se estabiliza y crecen precio y gasto por visita. Implica 7,9 veces el EBITDA NIIF 16 de salida, en línea con la venta de Tenpin (≈ 7,9 veces en esa base [12]) y por debajo de los 9-11 de los comparables. El valor terminal pesa el 74 %.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M (20 %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(ROIC 12,5 %)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 frente al 5,7 %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 (histórico: 32,4 %)</w:t>
            </w:r>
          </w:p>
        </w:tc>
      </w:tr>
    </w:tbl>
    <w:p>
      <w:pPr>
        <w:spacing w:after="160" w:before="0"/>
      </w:pPr>
    </w:p>
    <w:p>
      <w:pPr>
        <w:spacing w:after="100"/>
      </w:pPr>
      <w:r>
        <w:t xml:space="preserve">La proyección reinvierte el 20 % del NOPAT. Con el ROIC del último ejercicio (12,5 %), eso financia un crecimiento del 2,5 % anual, frente al 5,7 % de ingresos proyectado. Supone que el capital nuevo rinde un 20,9 %, frente a un ROIC incremental histórico del 32,4 %.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6 %: 8 aperturas (95 → 103 centros) y las 4 de FY2026 todo el año, con partidas por centro planas tras el −5,6 % del verano de 2026; precio del 2 % (gasto por partida +7,6 % en el 1S26, más prudente) [3,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5,5 % (aperturas de FY2027 todo el año y 5-6 nuevas) y precio del 2,5 %.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3,5 % (4-5 aperturas al año hacia 130 en 2033) y precio del 2,5 %.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3 % y precio del 2,5 %.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2,5 % y precio del 2,5 %: converge con la inflación y un parque casi completo.</w:t>
            </w:r>
          </w:p>
        </w:tc>
      </w:tr>
    </w:tbl>
    <w:p>
      <w:pPr>
        <w:spacing w:after="160" w:before="0"/>
      </w:pPr>
    </w:p>
    <w:p>
      <w:pPr>
        <w:spacing w:after="100"/>
      </w:pPr>
      <w:r>
        <w:t xml:space="preserve">El crecimiento proyectado (5,9 % medio en FY2027e-FY2033e) está por debajo del histórico desde FY2022 (9,0 % anual) y lo explican las aperturas ya anunciadas (8 en FY2027, 130 centros en 2033) más un precio cerca de la inflación [4, 8]. Se paga con el flujo operativo (sin deuda bancaria) y con alquileres nuevos que el DCF cuenta como inversión. El motor da «Sí». No hay cifra oficial del mercado final (mercado_final en null): no hay estadística del gasto en boleras del Reino Unido ni de Canadá; Savills cuenta más de 800 locales de ocio competitivo en el Reino Unido, +58 % desde 2018, camino de ≈ 1.100 [11]. El riesgo no es que falte mercado sino que los centros nuevos canibalicen a los viejos y que el consumo británico deje las partidas en negativo, como en el 2S26: lo recoge el bajista.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 (base: 5,9 %)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31,8 % (base: 36,0 %)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 (WACC: 8,2 %)</w:t>
            </w:r>
          </w:p>
        </w:tc>
      </w:tr>
    </w:tbl>
    <w:p>
      <w:pPr>
        <w:spacing w:after="160" w:before="0"/>
      </w:pPr>
    </w:p>
    <w:p>
      <w:pPr>
        <w:spacing w:after="100"/>
      </w:pPr>
      <w:r>
        <w:t xml:space="preserve">El DCF da 3,87 GBP por acción, un 40,5 % sobre el precio, con un WACC del 8,16 % y un valor terminal que pesa el 74 %. El DCF inverso dice que el precio descuenta un crecimiento del 2,2 % anual con nuestro margen (o un margen del 31,8 % con nuestro crecimiento), frente al 5,9 % y el 36 % del caso base: el mercado no paga las aperturas. Con la prima de riesgo que hoy pide el mercado (4,2 %) vale 4,35 GBP. El bajista (crecimiento −2 puntos, margen −1,5 puntos y WACC +0,5) vale 2,29 GBP (−16,9 %). El valor intrínseco es alto; la regla a 12 meses, que mira el PER, no lo es.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consumo británico sigue flojo y las partidas por centro caen dos o tres años seguidos; el salario mínimo y las cotizaciones suben más que el precio y el margen se queda en el 34,5 %; las aperturas en Canadá tardan en madurar y algunas canibalizan centros viejos.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Partidas planas y precio cerca de la inflación en los centros viejos; 8 aperturas en FY2027 y 4-6 al año después hasta 130 en 2033; margen EBITDA del 36 % (por debajo del 38-40 % de antes de los salarios de 2025-2026).</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clima se normaliza y las partidas vuelven a crecer; Canadá acelera hacia 35 centros en 2032 y madura su margen; el precio dinámico y las máquinas recreativas suben el gasto por partida: 1,5 puntos más de crecimiento y 0,8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GBP) · precio actual 2,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3,67 GBP (+33,2 %).</w:t>
      </w:r>
    </w:p>
    <w:p>
      <w:pPr>
        <w:spacing w:after="100"/>
      </w:pPr>
      <w:r>
        <w:t xml:space="preserve">La asimetría es favorable en el valor intrínseco: el alcista vale 4,63 GBP (+68,1 %) y el bajista 2,29 (−16,9 %), 4 veces más de subida que de bajada. El valor ponderado de los escenarios (3,67 GBP) está un 33 % sobre el precio. El bajista no es una catástrofe porque no hay deuda bancaria y el flujo cubre la inversión de mantenimiento; lo que más mueve el valor es el margen (1 punto ≈ 0,26 GBP por acción).</w:t>
      </w:r>
    </w:p>
    <w:p>
      <w:pPr>
        <w:pStyle w:val="Heading1"/>
      </w:pPr>
      <w:r>
        <w:t xml:space="preserve">22. Suma de partes</w:t>
      </w:r>
    </w:p>
    <w:p>
      <w:pPr>
        <w:pStyle w:val="Confianza"/>
        <w:spacing w:after="100"/>
      </w:pPr>
      <w:r>
        <w:t xml:space="preserve">Confianza: Media</w:t>
      </w:r>
    </w:p>
    <w:p>
      <w:pPr>
        <w:spacing w:after="100"/>
      </w:pPr>
      <w:r>
        <w:t xml:space="preserve">No aplica: un solo negocio (centros de ocio) en dos países; Canadá (16 % de las ventas y 11 % del EBITDA de segmentos en FY2025) crece más pero comparte modelo, marca de grupo y equipo de aperturas [2].</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GBP) · precio actual 2,7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3,81 GBP (+38,3 % sobre 2,75).</w:t>
      </w:r>
    </w:p>
    <w:p>
      <w:pPr>
        <w:spacing w:after="100"/>
      </w:pPr>
      <w:r>
        <w:t xml:space="preserve">Pesos: DCF 45 %, escenarios 40 % y comparables 15 %. El DCF es el método más fiable para un negocio estable, sin deuda bancaria y con aperturas de retorno conocido, pero depende del margen y del valor terminal (74 %). Los comparables pesan poco: no hay otra bolera cotizada en Europa, y el PER de los próximos 12 meses del motor aplica la mediana (14,4 veces) al BPA ajustado del consenso, más alto que el nuestro. Las transacciones no pesan: solo hay dos con múltiplo (Tenpin a ≈ 7,9 veces el EBITDA NIIF 16 y Main Event a ≈ 9 en US GAAP) y apuntan a 7,9-9 veces, por debajo del DCF. El valor objetivo de la síntesis es de 3,81 GBP (+38,3 %); el rango del DCF con ± 0,5 puntos (3,14-4,90) queda todo por encima del precio. El puente resta 235,1 M de arrendamientos (a marzo de 2026) y 4,96 M del pago variable de Teaquinn, y suma 13,5 M de caja neta (30-sep-2026) [3, 4].</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(13.2x) a mitad de camino hacia abajo, hacia la mediana de 5 años (12.8x)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r>
    </w:tbl>
    <w:p>
      <w:pPr>
        <w:spacing w:after="160" w:before="0"/>
      </w:pPr>
    </w:p>
    <w:p>
      <w:pPr>
        <w:spacing w:after="100"/>
      </w:pPr>
      <w:r>
        <w:rPr>
          <w:b/>
          <w:bCs/>
        </w:rPr>
        <w:t xml:space="preserve">Objetivo a 12 meses (ponderado):</w:t>
      </w:r>
      <w:r>
        <w:t xml:space="preserve"> 2,80 GBP (280,00 GBp) · rentabilidad +6,4 % (base +12,1 %) · señal Mantener.</w:t>
      </w:r>
    </w:p>
    <w:p>
      <w:pPr>
        <w:spacing w:after="100"/>
      </w:pPr>
      <w:r>
        <w:t xml:space="preserve">Para comparar, con la regla v2 (historia al cierre, mismo precio): 9,3x / 12,9x / 14,4x, 6,8 %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FY2027e (20,68 p) queda un 15 % por debajo del consenso (24,42 p, 8 analistas) [21]. Unos 2,9 p son de base: el consenso usa el BPA ajustado de la empresa, antes de la NIIF 16 (renta en lugar de amortización e intereses de los derechos de uso: 3,4 M de diferencia en FY2025) y sin los deterioros de centros (≈ 2-3 M al año) [2, 3]. El resto (≈ 0,8 p) son ventas: el consenso espera 290,6 M en FY2027 (+11 %) y nosotros 282,5 M (+8 %). La diferencia con el objetivo medio de los analistas (389 p) es de múltiplo y de base: aplican ≈ 16 veces a su BPA ajustado; la regla común deja 13,0 veces sobre el nuestro.</w:t>
      </w:r>
    </w:p>
    <w:p>
      <w:pPr>
        <w:keepNext/>
        <w:spacing w:after="100"/>
      </w:pPr>
      <w:r>
        <w:rPr>
          <w:b/>
          <w:bCs/>
        </w:rPr>
        <w:t xml:space="preserve">Del valor intrínseco al objetivo a 12 meses.</w:t>
      </w:r>
    </w:p>
    <w:p>
      <w:pPr>
        <w:spacing w:after="100"/>
      </w:pPr>
      <w:r>
        <w:t xml:space="preserve">El objetivo a 12 meses (2,80 GBP, ponderado) queda un 1,6 % sobre el precio (+6,4 % con el dividendo del 5 %) y el valor intrínseco (3,81) un 38 %. El base (2,95 GBP, +12,1 % con dividendo) supone que nuestro BPA crece un 7,5 % anual hasta 22,67 p en FY2028e y que el PER baja de 13,2 a 13,0 veces (a mitad de camino hacia la mediana de 12,8); el bajista (1,73 GBP) es el PER de septiembre de 2022 (8,8 veces) sobre un BPA un 13 % menor, y es lo que hunde la ponderada. Para comprar haría falta un precio de 2,55 GBP (255 p, −7,4 %): la ponderada llegaría al 15 %. Para vender (ponderada ≤ −10 %), uno por encima de 3,26 GBP.</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(fecha por confirmar) y comentario de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BAI ajustado frente a los 51,0 M del consenso; primeras semanas de FY2027 y dividendo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 y dividendo final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de remuneración; ex-dividendo de ≈ 9-10 p</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subida del salario mínimo y de los costes laborales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1-2 M de coste al semestre si sube por encima de la inflación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Comparables tras el verano de 2026 (base fácil en el 2S) y margen de las aperturas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 aperturas (Reino Unido y Canadá) hasta 103 centros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puntos de ventas; costes de apertura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con el exceso de caja (15,2 M en FY2025 y 2,9 M en el 2S26)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 de BPA al año si se repiten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Oferta de compra de un fondo (como Tenpin en 2023)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 sobre el precio; Trive pagó ≈ 7,9 veces el EBITDA NIIF 16 por Tenpin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de ocio de las familias británicas: consumo débil, subidas de impuestos y empleo flojo; las partidas por centro bajaron en el 1S26 y los comparables del Reino Unido cayeron un 5,6 % en el 2S26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−20 %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Ocio asequible (una partida cuesta menos que el cine con comida), precio dinámico, gasto por partida al alza (+7,6 % en el 1S26) y sin deuda bancaria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Comparables del Reino Unido negativos en el 1S27, con la base fácil del verano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Salario mínimo y cotizaciones del empleador: ≈ 1 M cada uno en el 1S26 y otra subida en abril de 2027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 (1 punto de margen ≈ 0,26 GBP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personal de los centros es solo el 20,8 % de las ventas (menos que la hostelería) y el 70 % de las ventas no tiene coste de mercancía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NIIF 16 por debajo del 35 % en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energía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−4 % a partir de FY2030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76 % de la electricidad cubierta hasta FY2029, con un 12 % de placas solares propias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de las coberturas para FY2030 a precios más altos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Expansión en Canadá: aperturas de centros nuevos (35 en 2032 desde 15) con un margen menor (EBITDA del 26 % frente al 38 % del Reino Unido) y un mercado que conoce menos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Aperturas recientes (Kanata, Creekside, Edmonton) por encima de lo previsto; comparables del 2S26 +2,7 %; nuevo consejero delegado de Canadá [3,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Comparables de Canadá negativos o deterioros de centros canadienses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la regla a 12 meses no deja margen (ponderada del 6,4 %) porque el bajista usa el PER de 2022 (8,8 veces)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−37 % en el bajista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valor intrínseco (3,81 GBP) y el DCF inverso (2,2 % de crecimiento descontado) dan colchón a largo plazo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por debajo de 10 veces con el BPA estable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Clima: veranos calurosos y largos restan visitas al ocio bajo techo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 −3 % por verano malo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Afecta a un semestre; el invierno y la lluvia ayudan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verano récord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directivos y salida de Aberdeen (del 10 % a menos del 5 %)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Señal, no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pequeñas (≈ 1,2 M GBP en 2026) y en parte para pagar impuestos del plan a largo plazo; entran BlackRock y Aberforth [16,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consejero delegado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ocio en casa más atractivo (juegos, contenidos generados por IA) y competencia por el tiempo libre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bolera es una experiencia física y social que la IA no sustituye; la empresa ya usa IA en marketing y precios dinámicos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Partidas por centro a la baja varios años con consumo normal</w:t>
            </w:r>
          </w:p>
        </w:tc>
      </w:tr>
    </w:tbl>
    <w:p>
      <w:pPr>
        <w:spacing w:after="160" w:before="0"/>
      </w:pPr>
    </w:p>
    <w:p>
      <w:pPr>
        <w:pStyle w:val="Heading2"/>
      </w:pPr>
      <w:r>
        <w:t xml:space="preserve">Pre-mortem</w:t>
      </w:r>
    </w:p>
    <w:p>
      <w:pPr>
        <w:spacing w:after="100"/>
      </w:pPr>
      <w:r>
        <w:t xml:space="preserve">Octubre de 2028: la acción ha caído un 35 %. El consumo británico no se recuperó: dos años de partidas en negativo en los centros viejos, mientras el salario mínimo subía un 4-5 % cada abril y las cotizaciones del empleador volvían a subir. El margen EBITDA bajó al 33 %, las aperturas de Canadá tardaron más en madurar y hubo deterioros de centros. El BPA se quedó en ≈ 19 p y el mercado volvió a pagar 9 veces, como en 2022. La señal la dieron los comparables del 1S27, negativos pese a la base fácil del verano de 2026.</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±2 % a 3-5 años</w:t>
      </w:r>
    </w:p>
    <w:p>
      <w:pPr>
        <w:spacing w:after="100"/>
      </w:pPr>
      <w:r>
        <w:t xml:space="preserve">La IA no sustituye lo que vende Hollywood Bowl: un rato de ocio físico y social (bolos, minigolf, comida y bebida, máquinas recreativas) en un local. Le ayuda a bajar costes y subir ventas: la empresa ya usa IA en el marketing (más conversión y reservas de mayor importe) y en el precio dinámico por hora y día [3]. El riesgo, menor, es indirecto: un ocio en casa más atractivo (videojuegos, contenidos y compañía generados por IA) que compita por el tiempo libre de los jóvenes. No lo vemos en las cifras (el gasto por partida sube) y lo tratamos como neutral con un margen de ±2 % del valor.</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gente (≈ 21 % de las ventas en personal de los centros, con mucho empleo joven a salario mínimo; premios de mejor empresa para trabajar en el Reino Unido y Canadá [3]), la energía (76 % de la electricidad cubierta hasta FY2029, un 12 % con placas solares propias [3]) y el consumo responsable de alcohol y de máquinas recreativas de premio (categoría D, no juego de azar) [1]. El plan a largo plazo de los directivos incluye un 10 % ligado al carbono [1].</w:t>
      </w:r>
    </w:p>
    <w:p>
      <w:pPr>
        <w:pStyle w:val="Heading2"/>
      </w:pPr>
      <w:r>
        <w:t xml:space="preserve">Controversias</w:t>
      </w:r>
    </w:p>
    <w:p>
      <w:pPr>
        <w:spacing w:after="100"/>
      </w:pPr>
      <w:r>
        <w:t xml:space="preserve">Sin controversias relevantes encontradas en 12 meses.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y partidas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han ido las partidas (no el gasto) en los centros comparables del Reino Unido en octubre-noviembre de 2026, ya sin calor?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efecto del clima del de un consumidor británico más débil: es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laborales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suma la subida del salario mínimo y de las cotizaciones de abril de 2027 y cuánto se puede repercutir en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punto de margen vale ≈ 0,26 GBP por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Canadá</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EBITDA tienen los centros abiertos desde cero en Canadá en su segundo y tercer año, frente al 26 % del segmento?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objetivo de 35 centros en 2032 crea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mantendrán las recompras con 8 aperturas en FY2027 y la caja neta en 13,5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recompras el BPA crece solo con el beneficio.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Energía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qué precio está cubierta la electricidad hasta FY2029 y qué pasa en FY2030?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coste que más subió en 2022-2023.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centros se deterioraron en el 1S26 (2,8 M) y hay más candidatos al cierre o traslado (Cardiff en FY2031)?</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deterioros se repiten y restan ≈ 1 p de BPA al año.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Neutro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AskTraders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récord pero segundo semestre en caída por el calor; las ventas quedan un 2,7 % por debajo del consenso de 268,9 M y la atención está en si se mantiene la guía de beneficio [26].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 Bell / Alliance News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«Resiliente»: la acción sube un 7,1 % en la apertura con el beneficio en línea y 8 aperturas en FY2027 [24].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 (Yahoo)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de 8 recomiendan comprar, objetivo medio de 389 p; BPA de FY2026 y FY2027 recortado ≈ 1-2 % en 90 días [21].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calor del verano como algo puntual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en parte: el clima no es estructural, pero el 1S26 ya tenía partidas a la baja y el precio sostenía las ventas [26].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por aperturas (130 centros en 2033, Canadá 35 en 2032)</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es creíble (ritmo de 4-8 al año, sin deuda) pero consume casi todo el flujo libre [24].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Consumo británico débil y costes salariales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margen bajó 3,6 puntos en tres años; el salario mínimo sube otra vez en abril de 2027 [26].</w:t>
            </w:r>
          </w:p>
        </w:tc>
      </w:tr>
    </w:tbl>
    <w:p>
      <w:pPr>
        <w:spacing w:after="160" w:before="0"/>
      </w:pPr>
    </w:p>
    <w:p>
      <w:pPr>
        <w:spacing w:after="100"/>
      </w:pPr>
      <w:r>
        <w:t xml:space="preserve">Poca conversación y tono neutro a positivo: los analistas son unánimemente compradores y la prensa trató el avance como un alivio. No hay euforia ni pánico; la acción está a mitad de su rango.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20 controles correctos. Fuentes: 27 (18 primarias); citas distintas en el texto: 27.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20,9 % frente a un ROIC de 12,5 % y un incremental histórico de 32,4 %: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-8,5 % frente a -8,7 %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74 %.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fuentes (18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Estadística oficial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Académica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causa de la caída del 7-8 de septiembre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RNS de la empresa de septiembre (solo derechos de voto y cambio de consejo); 2) AJ Bell/Alliance News; 3) AskTraders y titulares de Investegate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explica como miedo al calor del verano, confirmado el 7-oct, sin causa concreta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y BPA de FY2028e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quoteSummary (solo FY2026 y FY2027); 2) MarketScreener (no abre la página del valor); 3) AJ Bell (solo noticias)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Accounts 2025 (ejercicio a 30-sep-2025): cuentas consolidadas NIIF, notas de arrendamientos, deterioros, segmentos, remuneración y gobierno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Hollywood Bowl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https://www.hollywoodbowlgroup.com/application/files/5417/6769/7101/HollywoodBowl_AR25_Full_report.pdf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Final results for the year ended 30 September 2025 (RNS): cuenta, balance, flujos, conciliación de medidas ajustadas y pre-NIIF 16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Hollywood Bowl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https://www.hollywoodbowlgroup.com/application/files/7617/6587/6921/FINAL_RNS_FOR_LOADING_12.45pm_15.12.pdf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for the six months ended 31 March 2026 (RNS con estados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Hollywood Bowl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https://www.hollywoodbowlgroup.com/application/files/5717/7986/4494/Combined_with_FIN_statements_FINAL.pdf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Statement – Year Ended 30 September 2026 (avance de ventas, centros y caja neta de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Hollywood Bowl Group plc (RNS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https://www.investegate.co.uk/announcement/rns/hollywood-bowl-group--bowl/trading-statement-year-ended-30-september-2026/9809896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Final results FY2024, FY2023, FY2022 y FY2021 (RNS): cuentas y segmentos de cada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Hollywood Bowl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https://www.hollywoodbowlgroup.com/application/files/7117/3443/2643/Hollywood_Bowl_Group_plc_RNS_FY2024_v3.pdf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for the six months ended 31 March 2025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Hollywood Bowl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https://www.hollywoodbowlgroup.com/application/files/4317/4851/0577/Hollywood_Bowl_-_Final_Full_RNS_m.pdf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anual ESEF (iXBRL) FY2021-FY2025, LEI 213800XB8YZNGJYDEZ97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filings.xbrl.org (FCA National Storage Mechanism)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objetivos de centros (130 en 2033), rentabilidad de aperturas y reformas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Hollywood Bowl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https://www.hollywoodbowlgroup.com/application/files/4717/6277/3702/Preso_v22_-_FINAL_PRINT_OUT_AND_PLC_WEBSITE_VERSION_v2.pdf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Buyback Programme (RNS) y Total Voting Rights a 30-sep-2026 (166.611.812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Hollywood Bowl Group plc (RNS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https://www.investegate.co.uk/announcement/rns/hollywood-bowl-group--bowl/total-voting-rights/9800142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Final results FY2019 (RNS): cuentas antes de la NIIF 16 y antes del covid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Hollywood Bowl Group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https://www.hollywoodbowlgroup.com/application/files/5816/4303/0800/RNS12-12-19.pdf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Competitive socialising: el mercado británico de ocio competitivo (más de 800 locales, +58 % desde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Savills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https://www.savills.co.uk/research_articles/229130/388823-0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Recommended cash acquisition of Ten Entertainment Group plc by Trive Capital (Tenpin)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Ten Entertainment Group plc (RNS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https://www.investegate.co.uk/announcement/rns/ten-entertainment-group--teg/recommended-cash-acquisition/7924102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Dave &amp; Buster's to acquire Main Event (8-K,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Dave &amp; Buster's Entertainment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https://www.sec.gov/Archives/edgar/data/1525769/000110465922042998/tm2210601d1_ex99-1.htm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comparables (Lucky Strike, Dave &amp; Buster's, Cineplex, The Gym Group)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https://finance.yahoo.com/quote/BOWL.L/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 of AGM (29-ene-2026): votos de cada resolución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Hollywood Bowl Group plc (RNS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https://www.investegate.co.uk/announcement/rns/hollywood-bowl-group--bowl/result-of-agm/9393668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Director/PDMR Shareholding (RNS de enero a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Hollywood Bowl Group plc (RNS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https://www.investegate.co.uk/announcement/rns/hollywood-bowl-group--bowl/director-pdmr-shareholding/9796953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Holding(s) in Company (RNS de enero a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Hollywood Bowl Group plc (RNS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https://www.investegate.co.uk/announcement/rns/hollywood-bowl-group--bowl/holding-s-in-company/9816818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Directorate Change: nombramiento de Simon Dodd y consejero delegado de Canadá</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Hollywood Bowl Group plc (RNS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https://www.investegate.co.uk/announcement/rns/hollywood-bowl-group--bowl/directorate-change/9790285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of Auditor (EY sustituye a KPMG desde FY2026)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Hollywood Bowl Group plc (RNS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https://www.investegate.co.uk/announcement/rns/hollywood-bowl-group--bowl/change-of-auditor/9476132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de BOWL.L, FTSE 250 (^FTMC) y Vanguard FTSE 250 (VMID.L), hasta el 16-oct-2026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https://finance.yahoo.com/quote/BOWL.L/history/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BOWL.L y comparables (precio, capitalización, VE, EBITDA, consenso, recomendaciones)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https://finance.yahoo.com/quote/BOWL.L/analysis/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 rendimiento del gilt a 10 años (serie IUDMNPY), hasta el 15-oct-2026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England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 oficial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https://www.bankofengland.co.uk/boeapps/database/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Académica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Hollywood Bowl confident after «resilient» 2026, on track for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AJ Bell (Alliance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https://www.ajbell.co.uk/news/articles/hollywood-bowl-confident-after-resilient-2026-track-growth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Buyback Programme (2,9 M GBP en el 2S26)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Hollywood Bowl Group plc (RNS vía 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https://www.investegate.co.uk/announcement/rns/hollywood-bowl-group--bowl/share-buyback-programme-/9645699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Hollywood Bowl Record Revenue Masks Weaker Second Half as Heat Bites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AskTraders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https://www.asktraders.com/analysis/hollywood-bowl-record-revenue-masks-weaker-second-half-as-heat-bites/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Computacenter: análisis value del 20-oct-2026 (mismo día; gilt a 10 años del Banco de Inglaterra y tipo GBP/GBp)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(informes/computacenter-2026-10-20)</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informes/computacenter-2026-10-20/</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89,4 %</w:t>
      </w:r>
      <w:r>
        <w:t xml:space="preserve"> · Secciones con menos del 60 % de campos cubiertos: </w:t>
      </w:r>
      <w:r>
        <w:rPr>
          <w:b/>
          <w:bCs/>
        </w:rPr>
        <w:t xml:space="preserve">ninguna</w:t>
      </w:r>
      <w:r>
        <w:t xml:space="preserve"> · Generado el 20 oct 2026.</w:t>
      </w:r>
    </w:p>
    <w:p>
      <w:pPr>
        <w:pStyle w:val="Nota"/>
        <w:spacing w:after="100"/>
      </w:pPr>
      <w:r>
        <w:t xml:space="preserve">Cifras en millones de GBP, ejercicio a 30 de septiembre etiquetado por el año en que termina (FY2026 = oct-25 a sep-26). El último ejercicio auditado es FY2025: FY2026 ya cerró pero se publica en diciembre; de él solo hay el avance del 7-oct-2026 (ventas, centros y caja neta) [4], y el LTM es a 31-mar-2026. La acción cotiza en peniques (GBp): el informe da los precios por acción en GBP (1 GBp = 0,01 GBP). Precio: 2,755 GBP (275,5 p), cierre del 19-oct-2026; la sesión del 20-oct estaba abierta al hacer el análisis (275,5 p a las 07:56 UTC [21]) y la decisión se comprueba con el precio del día en las pruebas de robustez. Nuestro BPA es NIIF 16 con los deterioros de centros dentro; el ajustado de la empresa y del consenso es pre-NIIF 16 y sin deterioros (≈ 2,9 p más). Sin estadística oficial del tamaño del mercado de boleras. Precio de una acción en EUR: ≈ 3,27 EUR (1,188 EUR por GBP [21]); 1.000 EUR son ≈ 306 acciones.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Hollywood Bowl Group plc (BOWL)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2,75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(2,27 – 3,13)</c:v>
                </c:pt>
                <c:pt idx="1">
                  <c:v>Precio objetivo de los analistas (3,40 – 4,50)</c:v>
                </c:pt>
                <c:pt idx="2">
                  <c:v>Comparables: PER NTM (3,44 – 5,23)</c:v>
                </c:pt>
                <c:pt idx="3">
                  <c:v>DCF (WACC y g ± 0,5) (3,14 – 4,90)</c:v>
                </c:pt>
                <c:pt idx="4">
                  <c:v>Escenarios (bajista – alcista) (2,29 – 4,63)</c:v>
                </c:pt>
                <c:pt idx="5">
                  <c:v>DCF con la prima implícita del mercado (4,2 %)</c:v>
                </c:pt>
                <c:pt idx="6">
                  <c:v>Precio actual (2,75)</c:v>
                </c:pt>
              </c:strCache>
            </c:strRef>
          </c:cat>
          <c:val>
            <c:numRef>
              <c:f>Hoja1!$B$2:$B$8</c:f>
              <c:numCache>
                <c:formatCode>#,##0.00</c:formatCode>
                <c:ptCount val="7"/>
                <c:pt idx="0">
                  <c:v>2.28</c:v>
                </c:pt>
                <c:pt idx="1">
                  <c:v>3.4</c:v>
                </c:pt>
                <c:pt idx="2">
                  <c:v>3.44</c:v>
                </c:pt>
                <c:pt idx="3">
                  <c:v>3.14</c:v>
                </c:pt>
                <c:pt idx="4">
                  <c:v>2.29</c:v>
                </c:pt>
                <c:pt idx="5">
                  <c:v>3.82</c:v>
                </c:pt>
                <c:pt idx="6">
                  <c:v>2.74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(2,27 – 3,13)</c:v>
                </c:pt>
                <c:pt idx="1">
                  <c:v>Precio objetivo de los analistas (3,40 – 4,50)</c:v>
                </c:pt>
                <c:pt idx="2">
                  <c:v>Comparables: PER NTM (3,44 – 5,23)</c:v>
                </c:pt>
                <c:pt idx="3">
                  <c:v>DCF (WACC y g ± 0,5) (3,14 – 4,90)</c:v>
                </c:pt>
                <c:pt idx="4">
                  <c:v>Escenarios (bajista – alcista) (2,29 – 4,63)</c:v>
                </c:pt>
                <c:pt idx="5">
                  <c:v>DCF con la prima implícita del mercado (4,2 %)</c:v>
                </c:pt>
                <c:pt idx="6">
                  <c:v>Precio actual (2,75)</c:v>
                </c:pt>
              </c:strCache>
            </c:strRef>
          </c:cat>
          <c:val>
            <c:numRef>
              <c:f>Hoja1!$C$2:$C$8</c:f>
              <c:numCache>
                <c:formatCode>#,##0.00</c:formatCode>
                <c:ptCount val="7"/>
                <c:pt idx="0">
                  <c:v>0.8500000000000001</c:v>
                </c:pt>
                <c:pt idx="1">
                  <c:v>1.1</c:v>
                </c:pt>
                <c:pt idx="2">
                  <c:v>1.7900000000000005</c:v>
                </c:pt>
                <c:pt idx="3">
                  <c:v>1.7600000000000002</c:v>
                </c:pt>
                <c:pt idx="4">
                  <c:v>2.34</c:v>
                </c:pt>
                <c:pt idx="5">
                  <c:v>1.1700000000000004</c:v>
                </c:pt>
                <c:pt idx="6">
                  <c:v>0.029999999999999805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(GBP, millones)</a:t>
            </a:r>
          </a:p>
        </c:rich>
      </c:tx>
      <c:overlay val="0"/>
    </c:title>
    <c:autoTitleDeleted val="0"/>
    <c:plotArea>
      <c:layout/>
      <c:barChart>
        <c:barDir val="col"/>
        <c:grouping val="stacked"/>
        <c:varyColors val="0"/>
        <c:ser>
          <c:idx val="0"/>
          <c:order val="0"/>
          <c:tx>
            <c:strRef>
              <c:f>Hoja1!$B$1</c:f>
              <c:strCache>
                <c:ptCount val="1"/>
                <c:pt idx="0">
                  <c:v>Reino Unido</c:v>
                </c:pt>
              </c:strCache>
            </c:strRef>
          </c:tx>
          <c:spPr>
            <a:solidFill>
              <a:srgbClr val="2A78D6"/>
            </a:solidFill>
            <a:ln w="12700">
              <a:solidFill>
                <a:srgbClr val="FFFFFF"/>
              </a:solidFill>
            </a:ln>
          </c:spPr>
          <c:invertIfNegative val="0"/>
          <c:cat>
            <c:strRef>
              <c:f>Hoja1!$A$2:$A$4</c:f>
              <c:strCache>
                <c:ptCount val="3"/>
                <c:pt idx="0">
                  <c:v>FY2023</c:v>
                </c:pt>
                <c:pt idx="1">
                  <c:v>FY2024</c:v>
                </c:pt>
                <c:pt idx="2">
                  <c:v>FY2025</c:v>
                </c:pt>
              </c:strCache>
            </c:strRef>
          </c:cat>
          <c:val>
            <c:numRef>
              <c:f>Hoja1!$B$2:$B$4</c:f>
              <c:numCache>
                <c:formatCode>#,##0</c:formatCode>
                <c:ptCount val="3"/>
                <c:pt idx="0">
                  <c:v>192.609</c:v>
                </c:pt>
                <c:pt idx="1">
                  <c:v>199.696</c:v>
                </c:pt>
                <c:pt idx="2">
                  <c:v>212.41</c:v>
                </c:pt>
              </c:numCache>
            </c:numRef>
          </c:val>
        </c:ser>
        <c:ser>
          <c:idx val="1"/>
          <c:order val="1"/>
          <c:tx>
            <c:strRef>
              <c:f>Hoja1!$C$1</c:f>
              <c:strCache>
                <c:ptCount val="1"/>
                <c:pt idx="0">
                  <c:v>Canadá</c:v>
                </c:pt>
              </c:strCache>
            </c:strRef>
          </c:tx>
          <c:spPr>
            <a:solidFill>
              <a:srgbClr val="EB6834"/>
            </a:solidFill>
            <a:ln w="12700">
              <a:solidFill>
                <a:srgbClr val="FFFFFF"/>
              </a:solidFill>
            </a:ln>
          </c:spPr>
          <c:invertIfNegative val="0"/>
          <c:cat>
            <c:strRef>
              <c:f>Hoja1!$A$2:$A$4</c:f>
              <c:strCache>
                <c:ptCount val="3"/>
                <c:pt idx="0">
                  <c:v>FY2023</c:v>
                </c:pt>
                <c:pt idx="1">
                  <c:v>FY2024</c:v>
                </c:pt>
                <c:pt idx="2">
                  <c:v>FY2025</c:v>
                </c:pt>
              </c:strCache>
            </c:strRef>
          </c:cat>
          <c:val>
            <c:numRef>
              <c:f>Hoja1!$C$2:$C$4</c:f>
              <c:numCache>
                <c:formatCode>#,##0</c:formatCode>
                <c:ptCount val="3"/>
                <c:pt idx="0">
                  <c:v>22.473</c:v>
                </c:pt>
                <c:pt idx="1">
                  <c:v>30.703</c:v>
                </c:pt>
                <c:pt idx="2">
                  <c:v>38.252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Reino Unido</c:v>
                </c:pt>
                <c:pt idx="1">
                  <c:v>Canadá</c:v>
                </c:pt>
              </c:strCache>
            </c:strRef>
          </c:cat>
          <c:val>
            <c:numRef>
              <c:f>Hoja1!$B$2:$B$3</c:f>
              <c:numCache>
                <c:formatCode>General</c:formatCode>
                <c:ptCount val="2"/>
                <c:pt idx="0">
                  <c:v>84.7</c:v>
                </c:pt>
                <c:pt idx="1">
                  <c:v>15.3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Ventas de FY2026 según el avance (219,9 y 41,7 M) [4].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Reino Unido</c:v>
                </c:pt>
                <c:pt idx="1">
                  <c:v>Canadá</c:v>
                </c:pt>
              </c:strCache>
            </c:strRef>
          </c:cat>
          <c:val>
            <c:numRef>
              <c:f>Hoja1!$B$2:$B$3</c:f>
              <c:numCache>
                <c:formatCode>0"%"</c:formatCode>
                <c:ptCount val="2"/>
                <c:pt idx="0">
                  <c:v>84.1</c:v>
                </c:pt>
                <c:pt idx="1">
                  <c:v>15.9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Amenaza de nuevos entrantes</c:v>
                </c:pt>
                <c:pt idx="2">
                  <c:v>Poder de los proveedores</c:v>
                </c:pt>
                <c:pt idx="3">
                  <c:v>Poder de los clientes</c:v>
                </c:pt>
                <c:pt idx="4">
                  <c:v>Amenaza de sustitutos</c:v>
                </c:pt>
              </c:strCache>
            </c:strRef>
          </c:cat>
          <c:val>
            <c:numRef>
              <c:f>Hoja1!$B$2:$B$6</c:f>
              <c:numCache>
                <c:formatCode>General</c:formatCode>
                <c:ptCount val="5"/>
                <c:pt idx="0">
                  <c:v>3</c:v>
                </c:pt>
                <c:pt idx="1">
                  <c:v>3</c:v>
                </c:pt>
                <c:pt idx="2">
                  <c:v>2</c:v>
                </c:pt>
                <c:pt idx="3">
                  <c:v>2</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Hollywood Bowl</c:v>
                </c:pt>
                <c:pt idx="1">
                  <c:v>Tenpin (Ten Entertainment Group)</c:v>
                </c:pt>
                <c:pt idx="2">
                  <c:v>Lucky Strike Entertainment (antes Bowlero)</c:v>
                </c:pt>
                <c:pt idx="3">
                  <c:v>Dave &amp; Buster's y Main Event</c:v>
                </c:pt>
                <c:pt idx="4">
                  <c:v>Rec Room (Cineplex)</c:v>
                </c:pt>
                <c:pt idx="5">
                  <c:v>Formatos de ocio competitivo (Lane7, Puttshack, Flight Club, Boom)</c:v>
                </c:pt>
              </c:strCache>
            </c:strRef>
          </c:cat>
          <c:val>
            <c:numRef>
              <c:f>Hoja1!$B$2:$B$7</c:f>
              <c:numCache>
                <c:formatCode>0.0"%"</c:formatCode>
                <c:ptCount val="6"/>
                <c:pt idx="0">
                  <c:v>22.8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Escala y marca</c:v>
                </c:pt>
                <c:pt idx="1">
                  <c:v>Ubicaciones</c:v>
                </c:pt>
                <c:pt idx="2">
                  <c:v>Costes</c:v>
                </c:pt>
                <c:pt idx="3">
                  <c:v>Efectos de red</c:v>
                </c:pt>
                <c:pt idx="4">
                  <c:v>Costes de cambio</c:v>
                </c:pt>
              </c:strCache>
            </c:strRef>
          </c:cat>
          <c:val>
            <c:numRef>
              <c:f>Hoja1!$B$2:$B$6</c:f>
              <c:numCache>
                <c:formatCode>0</c:formatCode>
                <c:ptCount val="5"/>
                <c:pt idx="0">
                  <c:v>3</c:v>
                </c:pt>
                <c:pt idx="1">
                  <c:v>3</c:v>
                </c:pt>
                <c:pt idx="2">
                  <c:v>2</c:v>
                </c:pt>
                <c:pt idx="3">
                  <c:v>0</c:v>
                </c:pt>
                <c:pt idx="4">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strCache>
            </c:strRef>
          </c:cat>
          <c:val>
            <c:numRef>
              <c:f>Hoja1!$B$2:$B$14</c:f>
              <c:numCache>
                <c:formatCode>#,##0</c:formatCode>
                <c:ptCount val="13"/>
                <c:pt idx="0">
                  <c:v>71.878</c:v>
                </c:pt>
                <c:pt idx="1">
                  <c:v>193.741</c:v>
                </c:pt>
                <c:pt idx="2">
                  <c:v>215.082</c:v>
                </c:pt>
                <c:pt idx="3">
                  <c:v>230.399</c:v>
                </c:pt>
                <c:pt idx="4">
                  <c:v>250.662</c:v>
                </c:pt>
                <c:pt idx="5">
                  <c:v>261</c:v>
                </c:pt>
                <c:pt idx="6">
                  <c:v>282</c:v>
                </c:pt>
                <c:pt idx="7">
                  <c:v>305</c:v>
                </c:pt>
                <c:pt idx="8">
                  <c:v>323</c:v>
                </c:pt>
                <c:pt idx="9">
                  <c:v>341</c:v>
                </c:pt>
                <c:pt idx="10">
                  <c:v>358</c:v>
                </c:pt>
                <c:pt idx="11">
                  <c:v>374</c:v>
                </c:pt>
                <c:pt idx="12">
                  <c:v>389</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strCache>
            </c:strRef>
          </c:cat>
          <c:val>
            <c:numRef>
              <c:f>Hoja1!$C$2:$C$14</c:f>
              <c:numCache>
                <c:formatCode>#,##0</c:formatCode>
                <c:ptCount val="13"/>
                <c:pt idx="0">
                  <c:v>30.558</c:v>
                </c:pt>
                <c:pt idx="1">
                  <c:v>77.455</c:v>
                </c:pt>
                <c:pt idx="2">
                  <c:v>82.73100000000001</c:v>
                </c:pt>
                <c:pt idx="3">
                  <c:v>87.58699999999999</c:v>
                </c:pt>
                <c:pt idx="4">
                  <c:v>91.235</c:v>
                </c:pt>
                <c:pt idx="5">
                  <c:v>95</c:v>
                </c:pt>
                <c:pt idx="6">
                  <c:v>101</c:v>
                </c:pt>
                <c:pt idx="7">
                  <c:v>110</c:v>
                </c:pt>
                <c:pt idx="8">
                  <c:v>116</c:v>
                </c:pt>
                <c:pt idx="9">
                  <c:v>123</c:v>
                </c:pt>
                <c:pt idx="10">
                  <c:v>129</c:v>
                </c:pt>
                <c:pt idx="11">
                  <c:v>135</c:v>
                </c:pt>
                <c:pt idx="12">
                  <c:v>140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85.7</c:v>
                </c:pt>
                <c:pt idx="1">
                  <c:v>67.4</c:v>
                </c:pt>
                <c:pt idx="2">
                  <c:v>63.6</c:v>
                </c:pt>
                <c:pt idx="3">
                  <c:v>63.2</c:v>
                </c:pt>
                <c:pt idx="4">
                  <c:v>62.6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42.5</c:v>
                </c:pt>
                <c:pt idx="1">
                  <c:v>40</c:v>
                </c:pt>
                <c:pt idx="2">
                  <c:v>38.5</c:v>
                </c:pt>
                <c:pt idx="3">
                  <c:v>38</c:v>
                </c:pt>
                <c:pt idx="4">
                  <c:v>36.4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13.3</c:v>
                </c:pt>
                <c:pt idx="1">
                  <c:v>26.7</c:v>
                </c:pt>
                <c:pt idx="2">
                  <c:v>26.2</c:v>
                </c:pt>
                <c:pt idx="3">
                  <c:v>24</c:v>
                </c:pt>
                <c:pt idx="4">
                  <c:v>22.8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Hoja1!$E$2:$E$6</c:f>
              <c:numCache>
                <c:formatCode>0"%"</c:formatCode>
                <c:ptCount val="5"/>
                <c:pt idx="0">
                  <c:v>2.4</c:v>
                </c:pt>
                <c:pt idx="1">
                  <c:v>19.4</c:v>
                </c:pt>
                <c:pt idx="2">
                  <c:v>15.9</c:v>
                </c:pt>
                <c:pt idx="3">
                  <c:v>13</c:v>
                </c:pt>
                <c:pt idx="4">
                  <c:v>13.8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1S24</c:v>
                </c:pt>
                <c:pt idx="1">
                  <c:v>2S24</c:v>
                </c:pt>
                <c:pt idx="2">
                  <c:v>1S25</c:v>
                </c:pt>
                <c:pt idx="3">
                  <c:v>2S25</c:v>
                </c:pt>
                <c:pt idx="4">
                  <c:v>1S26</c:v>
                </c:pt>
                <c:pt idx="5">
                  <c:v>2S26</c:v>
                </c:pt>
              </c:strCache>
            </c:strRef>
          </c:cat>
          <c:val>
            <c:numRef>
              <c:f>Hoja1!$B$2:$B$7</c:f>
              <c:numCache>
                <c:formatCode>0.0"%"</c:formatCode>
                <c:ptCount val="6"/>
                <c:pt idx="2">
                  <c:v>8.4</c:v>
                </c:pt>
                <c:pt idx="3">
                  <c:v>9.3</c:v>
                </c:pt>
                <c:pt idx="4">
                  <c:v>9.5</c:v>
                </c:pt>
                <c:pt idx="5">
                  <c:v>-1.1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1S24</c:v>
                </c:pt>
                <c:pt idx="1">
                  <c:v>2S24</c:v>
                </c:pt>
                <c:pt idx="2">
                  <c:v>1S25</c:v>
                </c:pt>
                <c:pt idx="3">
                  <c:v>2S25</c:v>
                </c:pt>
                <c:pt idx="4">
                  <c:v>1S26</c:v>
                </c:pt>
                <c:pt idx="5">
                  <c:v>2S26</c:v>
                </c:pt>
              </c:strCache>
            </c:strRef>
          </c:cat>
          <c:val>
            <c:numRef>
              <c:f>Hoja1!$C$2:$C$7</c:f>
              <c:numCache>
                <c:formatCode>0.0"%"</c:formatCode>
                <c:ptCount val="6"/>
                <c:pt idx="4">
                  <c:v>2.3</c:v>
                </c:pt>
                <c:pt idx="5">
                  <c:v>-4.5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17</c:v>
                </c:pt>
                <c:pt idx="1">
                  <c:v>10</c:v>
                </c:pt>
                <c:pt idx="2">
                  <c:v>14</c:v>
                </c:pt>
                <c:pt idx="3">
                  <c:v>15</c:v>
                </c:pt>
                <c:pt idx="4">
                  <c:v>14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53</c:v>
                </c:pt>
                <c:pt idx="1">
                  <c:v>12</c:v>
                </c:pt>
                <c:pt idx="2">
                  <c:v>11</c:v>
                </c:pt>
                <c:pt idx="3">
                  <c:v>12</c:v>
                </c:pt>
                <c:pt idx="4">
                  <c:v>14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644</c:v>
                </c:pt>
                <c:pt idx="1">
                  <c:v>166</c:v>
                </c:pt>
                <c:pt idx="2">
                  <c:v>136</c:v>
                </c:pt>
                <c:pt idx="3">
                  <c:v>131</c:v>
                </c:pt>
                <c:pt idx="4">
                  <c:v>137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9.3</c:v>
                </c:pt>
                <c:pt idx="1">
                  <c:v>38.900000000000006</c:v>
                </c:pt>
                <c:pt idx="2">
                  <c:v>29.200000000000003</c:v>
                </c:pt>
                <c:pt idx="3">
                  <c:v>16.8</c:v>
                </c:pt>
                <c:pt idx="4">
                  <c:v>22.4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1.728</c:v>
                </c:pt>
                <c:pt idx="1">
                  <c:v>37.5</c:v>
                </c:pt>
                <c:pt idx="2">
                  <c:v>34.2</c:v>
                </c:pt>
                <c:pt idx="3">
                  <c:v>29.91</c:v>
                </c:pt>
                <c:pt idx="4">
                  <c:v>34.609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3.9</c:v>
                </c:pt>
                <c:pt idx="1">
                  <c:v>16</c:v>
                </c:pt>
                <c:pt idx="2">
                  <c:v>15.2</c:v>
                </c:pt>
                <c:pt idx="3">
                  <c:v>12.3</c:v>
                </c:pt>
                <c:pt idx="4">
                  <c:v>12.5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8.2</c:v>
                </c:pt>
                <c:pt idx="1">
                  <c:v>8.2</c:v>
                </c:pt>
                <c:pt idx="2">
                  <c:v>8.2</c:v>
                </c:pt>
                <c:pt idx="3">
                  <c:v>8.2</c:v>
                </c:pt>
                <c:pt idx="4">
                  <c:v>8.2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1.7</c:v>
                </c:pt>
                <c:pt idx="1">
                  <c:v>30.9</c:v>
                </c:pt>
                <c:pt idx="2">
                  <c:v>23.9</c:v>
                </c:pt>
                <c:pt idx="3">
                  <c:v>19.9</c:v>
                </c:pt>
                <c:pt idx="4">
                  <c:v>22.8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FY2021</c:v>
                </c:pt>
                <c:pt idx="1">
                  <c:v>FY2022</c:v>
                </c:pt>
                <c:pt idx="2">
                  <c:v>FY2023</c:v>
                </c:pt>
                <c:pt idx="3">
                  <c:v>FY2024</c:v>
                </c:pt>
                <c:pt idx="4">
                  <c:v>FY2025</c:v>
                </c:pt>
              </c:strCache>
            </c:strRef>
          </c:cat>
          <c:val>
            <c:numRef>
              <c:f>Hoja1!$B$2:$B$6</c:f>
              <c:numCache>
                <c:formatCode>0.0"x"</c:formatCode>
                <c:ptCount val="5"/>
                <c:pt idx="0">
                  <c:v>4.71</c:v>
                </c:pt>
                <c:pt idx="1">
                  <c:v>1.71</c:v>
                </c:pt>
                <c:pt idx="2">
                  <c:v>1.71</c:v>
                </c:pt>
                <c:pt idx="3">
                  <c:v>2.16</c:v>
                </c:pt>
                <c:pt idx="4">
                  <c:v>2.42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0</c:v>
                </c:pt>
                <c:pt idx="1">
                  <c:v>8.1</c:v>
                </c:pt>
                <c:pt idx="2">
                  <c:v>7.7</c:v>
                </c:pt>
                <c:pt idx="3">
                  <c:v>13.679</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0</c:v>
                </c:pt>
                <c:pt idx="1">
                  <c:v>5.1</c:v>
                </c:pt>
                <c:pt idx="2">
                  <c:v>25.3</c:v>
                </c:pt>
                <c:pt idx="3">
                  <c:v>26.2</c:v>
                </c:pt>
                <c:pt idx="4">
                  <c:v>20.8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0</c:v>
                </c:pt>
                <c:pt idx="1">
                  <c:v>0</c:v>
                </c:pt>
                <c:pt idx="2">
                  <c:v>0</c:v>
                </c:pt>
                <c:pt idx="3">
                  <c:v>0.379</c:v>
                </c:pt>
                <c:pt idx="4">
                  <c:v>15.151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6</c:v>
                </c:pt>
                <c:pt idx="1">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FMR (Fidelity)</c:v>
                </c:pt>
                <c:pt idx="1">
                  <c:v>Schroders</c:v>
                </c:pt>
                <c:pt idx="2">
                  <c:v>JPMorgan Asset Management</c:v>
                </c:pt>
                <c:pt idx="3">
                  <c:v>BlackRock</c:v>
                </c:pt>
                <c:pt idx="4">
                  <c:v>Columbia Threadneedle</c:v>
                </c:pt>
                <c:pt idx="5">
                  <c:v>Aberforth Partners</c:v>
                </c:pt>
                <c:pt idx="6">
                  <c:v>Aberdeen</c:v>
                </c:pt>
              </c:strCache>
            </c:strRef>
          </c:cat>
          <c:val>
            <c:numRef>
              <c:f>Hoja1!$B$2:$B$8</c:f>
              <c:numCache>
                <c:formatCode>0.0"%"</c:formatCode>
                <c:ptCount val="7"/>
                <c:pt idx="0">
                  <c:v>5.66</c:v>
                </c:pt>
                <c:pt idx="1">
                  <c:v>5.44</c:v>
                </c:pt>
                <c:pt idx="2">
                  <c:v>5.23</c:v>
                </c:pt>
                <c:pt idx="3">
                  <c:v>5.17</c:v>
                </c:pt>
                <c:pt idx="4">
                  <c:v>5.12</c:v>
                </c:pt>
                <c:pt idx="5">
                  <c:v>5.095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23.9</c:v>
                </c:pt>
                <c:pt idx="1">
                  <c:v>13.1</c:v>
                </c:pt>
                <c:pt idx="2">
                  <c:v>22.3</c:v>
                </c:pt>
                <c:pt idx="3">
                  <c:v>-28.4</c:v>
                </c:pt>
                <c:pt idx="4">
                  <c:v>17.2</c:v>
                </c:pt>
                <c:pt idx="5">
                  <c:v>4.2</c:v>
                </c:pt>
                <c:pt idx="6">
                  <c:v>22.9</c:v>
                </c:pt>
                <c:pt idx="7">
                  <c:v>-2.5</c:v>
                </c:pt>
                <c:pt idx="8">
                  <c:v>-7.7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14.7</c:v>
                </c:pt>
                <c:pt idx="1">
                  <c:v>-15.6</c:v>
                </c:pt>
                <c:pt idx="2">
                  <c:v>25</c:v>
                </c:pt>
                <c:pt idx="3">
                  <c:v>-6.4</c:v>
                </c:pt>
                <c:pt idx="4">
                  <c:v>14.6</c:v>
                </c:pt>
                <c:pt idx="5">
                  <c:v>-19.7</c:v>
                </c:pt>
                <c:pt idx="6">
                  <c:v>4.4</c:v>
                </c:pt>
                <c:pt idx="7">
                  <c:v>4.7</c:v>
                </c:pt>
                <c:pt idx="8">
                  <c:v>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Hoja1!$B$2:$B$7</c:f>
              <c:numCache>
                <c:formatCode>0.0"x"</c:formatCode>
                <c:ptCount val="6"/>
                <c:pt idx="0">
                  <c:v>17.8</c:v>
                </c:pt>
                <c:pt idx="1">
                  <c:v>5.9</c:v>
                </c:pt>
                <c:pt idx="2">
                  <c:v>6.9</c:v>
                </c:pt>
                <c:pt idx="3">
                  <c:v>8.3</c:v>
                </c:pt>
                <c:pt idx="4">
                  <c:v>7.2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FY2021</c:v>
                </c:pt>
                <c:pt idx="1">
                  <c:v>FY2022</c:v>
                </c:pt>
                <c:pt idx="2">
                  <c:v>FY2023</c:v>
                </c:pt>
                <c:pt idx="3">
                  <c:v>FY2024</c:v>
                </c:pt>
                <c:pt idx="4">
                  <c:v>FY2025</c:v>
                </c:pt>
                <c:pt idx="5">
                  <c:v>FY2026</c:v>
                </c:pt>
              </c:strCache>
            </c:strRef>
          </c:cat>
          <c:val>
            <c:numRef>
              <c:f>Hoja1!$C$2:$C$7</c:f>
              <c:numCache>
                <c:formatCode>0.0"x"</c:formatCode>
                <c:ptCount val="6"/>
                <c:pt idx="0">
                  <c:v>7.2</c:v>
                </c:pt>
                <c:pt idx="1">
                  <c:v>7.2</c:v>
                </c:pt>
                <c:pt idx="2">
                  <c:v>7.2</c:v>
                </c:pt>
                <c:pt idx="3">
                  <c:v>7.2</c:v>
                </c:pt>
                <c:pt idx="4">
                  <c:v>7.2</c:v>
                </c:pt>
                <c:pt idx="5">
                  <c:v>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Ten Entertainment Group (Tenpin, ≈ 50 boleras en el Reino Unido)</c:v>
                </c:pt>
                <c:pt idx="1">
                  <c:v>Main Event (boleras y ocio, EE. UU.)</c:v>
                </c:pt>
                <c:pt idx="2">
                  <c:v>Teaquinn (Splitsville, Canadá)</c:v>
                </c:pt>
              </c:strCache>
            </c:strRef>
          </c:cat>
          <c:val>
            <c:numRef>
              <c:f>Hoja1!$B$2:$B$4</c:f>
              <c:numCache>
                <c:formatCode>0.0"x"</c:formatCode>
                <c:ptCount val="3"/>
                <c:pt idx="0">
                  <c:v>7.9</c:v>
                </c:pt>
                <c:pt idx="1">
                  <c:v>9</c:v>
                </c:pt>
                <c:pt idx="2">
                  <c:v>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FY2026e</c:v>
                </c:pt>
                <c:pt idx="1">
                  <c:v>FY2027e</c:v>
                </c:pt>
                <c:pt idx="2">
                  <c:v>FY2028e</c:v>
                </c:pt>
                <c:pt idx="3">
                  <c:v>FY2029e</c:v>
                </c:pt>
                <c:pt idx="4">
                  <c:v>FY2030e</c:v>
                </c:pt>
                <c:pt idx="5">
                  <c:v>FY2031e</c:v>
                </c:pt>
                <c:pt idx="6">
                  <c:v>FY2032e</c:v>
                </c:pt>
                <c:pt idx="7">
                  <c:v>FY2033e</c:v>
                </c:pt>
              </c:strCache>
            </c:strRef>
          </c:cat>
          <c:val>
            <c:numRef>
              <c:f>Hoja1!$B$2:$B$9</c:f>
              <c:numCache>
                <c:formatCode>#,##0</c:formatCode>
                <c:ptCount val="8"/>
                <c:pt idx="0">
                  <c:v>31</c:v>
                </c:pt>
                <c:pt idx="1">
                  <c:v>14</c:v>
                </c:pt>
                <c:pt idx="2">
                  <c:v>35</c:v>
                </c:pt>
                <c:pt idx="3">
                  <c:v>42</c:v>
                </c:pt>
                <c:pt idx="4">
                  <c:v>47</c:v>
                </c:pt>
                <c:pt idx="5">
                  <c:v>53</c:v>
                </c:pt>
                <c:pt idx="6">
                  <c:v>57</c:v>
                </c:pt>
                <c:pt idx="7">
                  <c:v>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227</c:v>
                </c:pt>
                <c:pt idx="1">
                  <c:v>645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2,75</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2.29</c:v>
                </c:pt>
                <c:pt idx="1">
                  <c:v>3.87</c:v>
                </c:pt>
                <c:pt idx="2">
                  <c:v>4.63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2,75</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(2,27 – 3,13)</c:v>
                </c:pt>
                <c:pt idx="1">
                  <c:v>Precio objetivo de los analistas (3,40 – 4,50)</c:v>
                </c:pt>
                <c:pt idx="2">
                  <c:v>Comparables: PER NTM (3,44 – 5,23)</c:v>
                </c:pt>
                <c:pt idx="3">
                  <c:v>DCF (WACC y g ± 0,5) (3,14 – 4,90)</c:v>
                </c:pt>
                <c:pt idx="4">
                  <c:v>Escenarios (bajista – alcista) (2,29 – 4,63)</c:v>
                </c:pt>
                <c:pt idx="5">
                  <c:v>DCF con la prima implícita del mercado (4,2 %)</c:v>
                </c:pt>
                <c:pt idx="6">
                  <c:v>Precio actual (2,75)</c:v>
                </c:pt>
              </c:strCache>
            </c:strRef>
          </c:cat>
          <c:val>
            <c:numRef>
              <c:f>Hoja1!$B$2:$B$8</c:f>
              <c:numCache>
                <c:formatCode>#,##0.00</c:formatCode>
                <c:ptCount val="7"/>
                <c:pt idx="0">
                  <c:v>2.28</c:v>
                </c:pt>
                <c:pt idx="1">
                  <c:v>3.4</c:v>
                </c:pt>
                <c:pt idx="2">
                  <c:v>3.44</c:v>
                </c:pt>
                <c:pt idx="3">
                  <c:v>3.14</c:v>
                </c:pt>
                <c:pt idx="4">
                  <c:v>2.29</c:v>
                </c:pt>
                <c:pt idx="5">
                  <c:v>3.82</c:v>
                </c:pt>
                <c:pt idx="6">
                  <c:v>2.74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(2,27 – 3,13)</c:v>
                </c:pt>
                <c:pt idx="1">
                  <c:v>Precio objetivo de los analistas (3,40 – 4,50)</c:v>
                </c:pt>
                <c:pt idx="2">
                  <c:v>Comparables: PER NTM (3,44 – 5,23)</c:v>
                </c:pt>
                <c:pt idx="3">
                  <c:v>DCF (WACC y g ± 0,5) (3,14 – 4,90)</c:v>
                </c:pt>
                <c:pt idx="4">
                  <c:v>Escenarios (bajista – alcista) (2,29 – 4,63)</c:v>
                </c:pt>
                <c:pt idx="5">
                  <c:v>DCF con la prima implícita del mercado (4,2 %)</c:v>
                </c:pt>
                <c:pt idx="6">
                  <c:v>Precio actual (2,75)</c:v>
                </c:pt>
              </c:strCache>
            </c:strRef>
          </c:cat>
          <c:val>
            <c:numRef>
              <c:f>Hoja1!$C$2:$C$8</c:f>
              <c:numCache>
                <c:formatCode>#,##0.00</c:formatCode>
                <c:ptCount val="7"/>
                <c:pt idx="0">
                  <c:v>0.8500000000000001</c:v>
                </c:pt>
                <c:pt idx="1">
                  <c:v>1.1</c:v>
                </c:pt>
                <c:pt idx="2">
                  <c:v>1.7900000000000005</c:v>
                </c:pt>
                <c:pt idx="3">
                  <c:v>1.7600000000000002</c:v>
                </c:pt>
                <c:pt idx="4">
                  <c:v>2.34</c:v>
                </c:pt>
                <c:pt idx="5">
                  <c:v>1.1700000000000004</c:v>
                </c:pt>
                <c:pt idx="6">
                  <c:v>0.029999999999999805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