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Demant A/S</w:t>
      </w:r>
    </w:p>
    <w:p>
      <w:pPr>
        <w:spacing w:after="60"/>
        <w:rPr>
          <w:color w:val="52514E"/>
          <w:sz w:val="22"/>
          <w:szCs w:val="22"/>
        </w:rPr>
      </w:pPr>
      <w:r>
        <w:rPr>
          <w:color w:val="52514E"/>
          <w:sz w:val="22"/>
          <w:szCs w:val="22"/>
        </w:rPr>
        <w:t xml:space="preserve">DEMANT · Nasdaq Copenhague · ISIN DK0060738599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354,80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395,16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+11,4 %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303,60 DKK · mercado 369,86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74.827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Demant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DEMANT / DK0060738599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(audífonos y audiología)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Smørum (Dinamarca) · 1904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https://www.demant.com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354,80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359,40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74.827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92.490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88,8 M DKK/día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395,16 DKK</w:t>
      </w:r>
      <w:r>
        <w:t xml:space="preserve"> frente a 354,80 · Rentabilidad a 12 meses </w:t>
      </w:r>
      <w:r>
        <w:rPr>
          <w:b/>
          <w:bCs/>
        </w:rPr>
        <w:t xml:space="preserve">+11,4 % (base +19,2 %)</w:t>
      </w:r>
      <w:r>
        <w:t xml:space="preserve"> · Valor intrínseco 303,60 DKK · con la prima implícita del mercado: 369,86 (+4,2 %) · Alcista / bajista -6,6 % / -44,6 %</w:t>
      </w:r>
    </w:p>
    <w:p>
      <w:pPr>
        <w:spacing w:after="100"/>
      </w:pPr>
      <w:r>
        <w:rPr>
          <w:b/>
        </w:rPr>
        <w:t xml:space="preserve">La recomendación y por qué.</w:t>
      </w:r>
      <w:r>
        <w:t xml:space="preserve"> Mantener con convicción baja. El objetivo a 12 meses es de 395,16 DKK (nuestro BPA de 2028e por el PER de la regla v3, ponderado 25/50/25), un 11,4 % sobre el precio de 354,80; el caso base da un 19,2 % y la asimetría a 12 meses es de 1,2. No llega al 15 % ponderado de un Comprar porque el bajista (−35 %) pesa mucho. El valor intrínseco es de 303,60 DKK, un 14,4 % por debajo del precio, y el objetivo medio de los analistas (334,45) también queda por debajo. La convicción es baja porque las reglas discrepan: con nuestro WACC la acción está cara (Vender) y con la prima implícita del mercado vale 369,86 (Mantener). Subiría si el margen EBIT del 3T26, que se publica el 3-nov, superase el 19 % y el orgánico de audífonos siguiera por encima del 10 % en el 4T.</w:t>
      </w:r>
    </w:p>
    <w:p>
      <w:pPr>
        <w:spacing w:after="100"/>
      </w:pPr>
      <w:r>
        <w:rPr>
          <w:b/>
        </w:rPr>
        <w:t xml:space="preserve">El negocio.</w:t>
      </w:r>
      <w:r>
        <w:t xml:space="preserve"> Demant es el segundo fabricante mundial de audífonos (≈ 27 % del mayorista) y el segundo minorista, con 4.500 clínicas [1, 11]. El ROIC (11,1 % en 2025, ≈ 13 % con el beneficio de 2026) supera al WACC (7,69 %) en unos 3-5 puntos: el fondo de comercio de las compras minoristas (19.034 M) diluye un negocio fabril muy rentable. </w:t>
      </w:r>
      <w:r>
        <w:rPr>
          <w:b/>
        </w:rPr>
        <w:t xml:space="preserve">Veredicto de calidad: En parte</w:t>
      </w:r>
      <w:r>
        <w:t xml:space="preserve"> (ROIC − WACC de 3,4 puntos, por debajo de los 5 que pedimos). La sostenibilidad del crecimiento es «En parte»: la cuota implícita sube del 16,6 % al 19,1 % en 2032 y casi no hace falta capital, pero el poder de precios es de producto, no de marca.</w:t>
      </w:r>
    </w:p>
    <w:p>
      <w:pPr>
        <w:spacing w:after="100"/>
      </w:pPr>
      <w:r>
        <w:rPr>
          <w:b/>
        </w:rPr>
        <w:t xml:space="preserve">Sector y ciclo.</w:t>
      </w:r>
      <w:r>
        <w:t xml:space="preserve"> El mercado vuelve a crecer tras un 2025 flojo: +6-7 % en valor en el 3T26 frente al 4-6 % estructural [7]. Oticon Reveal, el primer audífono con doble IA, llevó el orgánico de audífonos al 17 % en el 3T [17]. </w:t>
      </w:r>
      <w:r>
        <w:rPr>
          <w:b/>
        </w:rPr>
        <w:t xml:space="preserve">Riesgo de que la IA se coma el negocio: bajo.</w:t>
      </w:r>
      <w:r>
        <w:t xml:space="preserve"> La IA hoy juega a favor (es el argumento del ciclo de producto) y la sustitución por electrónica de consumo, AirPods Pro autorizados como audífono OTC desde 2024 [18], afecta al tramo leve; el usuario medio tiene más de 70 años y pérdida moderada o mayor, y Demant no ve efecto en el canal con receta [1].</w:t>
      </w:r>
    </w:p>
    <w:p>
      <w:pPr>
        <w:spacing w:after="100"/>
      </w:pPr>
      <w:r>
        <w:rPr>
          <w:b/>
        </w:rPr>
        <w:t xml:space="preserve">Finanzas.</w:t>
      </w:r>
      <w:r>
        <w:t xml:space="preserve"> 2026 es el año del giro: guía elevada dos veces (orgánico 7-8 %, EBIT antes de especiales 4.700-5.000 M) [7]. La deuda neta ajustada es de 3,2 veces el EBITDA, y el 37 % de la deuda bruta vence a menos de un año (el ESEF no etiqueta esa deuda a corto: la sumamos a mano) [14].</w:t>
      </w:r>
    </w:p>
    <w:p>
      <w:pPr>
        <w:spacing w:after="100"/>
      </w:pPr>
      <w:r>
        <w:rPr>
          <w:b/>
        </w:rPr>
        <w:t xml:space="preserve">Equipo y gobierno.</w:t>
      </w:r>
      <w:r>
        <w:t xml:space="preserve"> La Fundación William Demant controla el 59 %; el equipo dura desde 2015 y recupera credibilidad tras dos rebajas de guía [1].</w:t>
      </w:r>
    </w:p>
    <w:p>
      <w:pPr>
        <w:spacing w:after="100"/>
      </w:pPr>
      <w:r>
        <w:rPr>
          <w:b/>
        </w:rPr>
        <w:t xml:space="preserve">Valoración.</w:t>
      </w:r>
      <w:r>
        <w:t xml:space="preserve"> El DCF da 289,16; el precio descuenta un crecimiento del 10,5 % anual (nuestro base: 5,8 %) o un margen EBITDA del 29,4 %. El PER adelantado (21,1 veces nuestro BPA de 2027) está en su mediana de cinco años (22,5x) y por debajo de los comparables (23,8x): por múltiplos no está cara; por flujos, sí. Nuestro BPA de 2028e (19,40) coincide con el consenso (19,02). La regla v2 de control da un 12,9 %.</w:t>
      </w:r>
    </w:p>
    <w:p>
      <w:pPr>
        <w:spacing w:after="100"/>
      </w:pPr>
      <w:r>
        <w:rPr>
          <w:b/>
        </w:rPr>
        <w:t xml:space="preserve">Riesgos y catalizadores.</w:t>
      </w:r>
      <w:r>
        <w:t xml:space="preserve"> El mayor riesgo es que el salto de Reveal sea un trimestre de lanzamiento y que Phonak responda en 2027 (−35 % en el bajista). Los foros pasaron de la capitulación de febrero al entusiasmo; el debate es ya el margen. Catalizadores: 3T26 el 3-nov y recompras de 3.000 M hasta 2027.</w:t>
      </w:r>
    </w:p>
    <w:p>
      <w:pPr>
        <w:spacing w:after="100"/>
      </w:pPr>
      <w:r>
        <w:rPr>
          <w:b/>
        </w:rPr>
        <w:t xml:space="preserve">Qué cambiaría la decisión.</w:t>
      </w:r>
      <w:r>
        <w:t xml:space="preserve"> Compraríamos por debajo de 303,60 DKK y venderíamos por encima de 439,06. Pasaríamos a Vender si el orgánico de audífonos cae por debajo del 5 % en el 1S27 o el margen EBIT antes de especiales de 2026 queda por debajo del 18 %.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395,16 DKK</w:t>
      </w:r>
      <w:r>
        <w:t xml:space="preserve"> (rentabilidad +11,4 % (base +19,2 %)) · Valor intrínseco: 303,60 DKK (-14,4 % sobre 354,80) · con la prima implícita del mercado: 369,86 (+4,2 %)</w:t>
      </w:r>
    </w:p>
    <w:p>
      <w:pPr>
        <w:spacing w:after="100"/>
      </w:pPr>
      <w:r>
        <w:t xml:space="preserve">Demant es el segundo grupo mundial de audición y el único integrado en fabricación, venta minorista y diagnóstico: 22.971 M DKK de ventas en 2025, margen bruto del 75-77 % y una caja libre de 3.094 M [1]. Tras dos años de crecimiento orgánico del 2 % y una pérdida de cuota en EE. UU., 2026 es el año del giro: Oticon Zeal y, sobre todo, Oticon Reveal con doble IA llevaron el orgánico al 11 % en el 3T y la guía subió dos veces [7].</w:t>
      </w:r>
    </w:p>
    <w:p>
      <w:pPr>
        <w:spacing w:after="100"/>
      </w:pPr>
      <w:r>
        <w:t xml:space="preserve">El precio (354,80, +65 % en el año) descuenta que ese giro dura: el DCF inverso pide un crecimiento del 10,5 % anual en 2027-2032, casi el doble de nuestro base (5,8 %), aunque el PER adelantado de 21,1 veces está en su mediana de cinco años y por debajo de Sonova.</w:t>
      </w:r>
    </w:p>
    <w:p>
      <w:pPr>
        <w:spacing w:after="100"/>
      </w:pPr>
      <w:r>
        <w:t xml:space="preserve">Para invertir hay que creer que Reveal no es un ciclo de un año y que el margen EBIT llega al 20 % con KIND y el ahorro de 500 M. Nuestro BPA de 2028e (19,40) ya coincide con el consenso; la rentabilidad a 12 meses (11,4 %) no paga el riesgo de que el múltiplo vuelva al 14 veces de 2022.</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395,16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16,10 = 230,23 · 21,8x × 19,40 = 422,92 · 23,8x × 21,20 = 504,56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334,45 (nuestro base +26,5 %)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303,60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 -44,6 %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7,7 %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369,86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303,60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303,60 y 439,06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439,06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303,60 DKK sin cambio en la tesis, pasaríamos a Comprar.</w:t>
      </w:r>
    </w:p>
    <w:p>
      <w:pPr>
        <w:pStyle w:val="ListParagraph"/>
        <w:numPr>
          <w:ilvl w:val="0"/>
          <w:numId w:val="2"/>
        </w:numPr>
        <w:spacing w:after="60"/>
      </w:pPr>
      <w:r>
        <w:t xml:space="preserve">Si el precio supera 439,06 DKK, pasaríamos a Vender.</w:t>
      </w:r>
    </w:p>
    <w:p>
      <w:pPr>
        <w:pStyle w:val="ListParagraph"/>
        <w:numPr>
          <w:ilvl w:val="0"/>
          <w:numId w:val="2"/>
        </w:numPr>
        <w:spacing w:after="60"/>
      </w:pPr>
      <w:r>
        <w:t xml:space="preserve">Si el margen EBIT antes de especiales de 2026 queda por debajo del 18 % (guía implícita ≈ 18,3 %), pasaríamos a Vender.</w:t>
      </w:r>
    </w:p>
    <w:p>
      <w:pPr>
        <w:pStyle w:val="ListParagraph"/>
        <w:numPr>
          <w:ilvl w:val="0"/>
          <w:numId w:val="2"/>
        </w:numPr>
        <w:spacing w:after="60"/>
      </w:pPr>
      <w:r>
        <w:t xml:space="preserve">Si el orgánico de Hearing Aids cae por debajo del 5 % en el 1S27,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producto de Reveal y Zeal se prolonga y que Demant vuelve a crecer al 8-10 % anual a medio plazo con márgenes crecientes; los analistas suben objetivos tras la nota del 9-oct.</w:t>
      </w:r>
    </w:p>
    <w:p>
      <w:pPr>
        <w:keepNext/>
        <w:spacing w:after="100"/>
      </w:pPr>
      <w:r>
        <w:rPr>
          <w:b/>
          <w:bCs/>
        </w:rPr>
        <w:t xml:space="preserve">Lo que creemos nosotros.</w:t>
      </w:r>
    </w:p>
    <w:p>
      <w:pPr>
        <w:spacing w:after="100"/>
      </w:pPr>
      <w:r>
        <w:t xml:space="preserve">El beneficio de 2026-2028 que espera el consenso es razonable (nuestro BPA coincide), pero el múltiplo ya lo paga: con un crecimiento del 5-6 % después de 2027 y un ROIC de 11-13 %, el valor por flujos está en 290-305 DKK.</w:t>
      </w:r>
    </w:p>
    <w:p>
      <w:pPr>
        <w:keepNext/>
        <w:spacing w:after="100"/>
      </w:pPr>
      <w:r>
        <w:rPr>
          <w:b/>
          <w:bCs/>
        </w:rPr>
        <w:t xml:space="preserve">Por qué podemos tener razón.</w:t>
      </w:r>
    </w:p>
    <w:p>
      <w:pPr>
        <w:spacing w:after="100"/>
      </w:pPr>
      <w:r>
        <w:t xml:space="preserve">La historia de Demant alterna ciclos de lanzamiento: 14 % de orgánico en 2023 y 2 % en 2024-2025. Sonova y WSA lanzan en el 2S26 y el canal se concentra (Amplifon-GN).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354,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Ciclo de producto ganador</w:t>
      </w:r>
      <w:r>
        <w:t xml:space="preserve">: orgánico de audífonos del 17 % en el 3T26 frente a un mercado del 6-7 % [7].</w:t>
      </w:r>
    </w:p>
    <w:p>
      <w:pPr>
        <w:pStyle w:val="ListParagraph"/>
        <w:numPr>
          <w:ilvl w:val="0"/>
          <w:numId w:val="2"/>
        </w:numPr>
        <w:spacing w:after="60"/>
      </w:pPr>
      <w:r>
        <w:rPr>
          <w:b/>
        </w:rPr>
        <w:t xml:space="preserve">Guía elevada dos veces</w:t>
      </w:r>
      <w:r>
        <w:t xml:space="preserve"> en 2026: EBIT antes de especiales de 4.700-5.000 M frente a 3.960 M en 2025 [7].</w:t>
      </w:r>
    </w:p>
    <w:p>
      <w:pPr>
        <w:pStyle w:val="ListParagraph"/>
        <w:numPr>
          <w:ilvl w:val="0"/>
          <w:numId w:val="2"/>
        </w:numPr>
        <w:spacing w:after="60"/>
      </w:pPr>
      <w:r>
        <w:rPr>
          <w:b/>
        </w:rPr>
        <w:t xml:space="preserve">Recompras reanudadas</w:t>
      </w:r>
      <w:r>
        <w:t xml:space="preserve">: al menos 3.000 M hasta 2027, ≈ 4 % del capital [7].</w:t>
      </w:r>
    </w:p>
    <w:p>
      <w:pPr>
        <w:pStyle w:val="ListParagraph"/>
        <w:numPr>
          <w:ilvl w:val="0"/>
          <w:numId w:val="2"/>
        </w:numPr>
        <w:spacing w:after="60"/>
      </w:pPr>
      <w:r>
        <w:rPr>
          <w:b/>
        </w:rPr>
        <w:t xml:space="preserve">PER adelantado en su mediana</w:t>
      </w:r>
      <w:r>
        <w:t xml:space="preserve">: 21,1x frente a 22,5x de mediana en cinco años y 23,8x de los comparables.</w:t>
      </w:r>
    </w:p>
    <w:p>
      <w:pPr>
        <w:pStyle w:val="ListParagraph"/>
        <w:numPr>
          <w:ilvl w:val="0"/>
          <w:numId w:val="2"/>
        </w:numPr>
        <w:spacing w:after="60"/>
      </w:pPr>
      <w:r>
        <w:rPr>
          <w:b/>
        </w:rPr>
        <w:t xml:space="preserve">IA a favor</w:t>
      </w:r>
      <w:r>
        <w:t xml:space="preserve">: Oticon Reveal, primer audífono con doble IA, es la causa del salto [17].</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303,60 DKK, un 14,4 % menos.</w:t>
      </w:r>
    </w:p>
    <w:p>
      <w:pPr>
        <w:pStyle w:val="ListParagraph"/>
        <w:numPr>
          <w:ilvl w:val="0"/>
          <w:numId w:val="2"/>
        </w:numPr>
        <w:spacing w:after="60"/>
      </w:pPr>
      <w:r>
        <w:rPr>
          <w:b/>
        </w:rPr>
        <w:t xml:space="preserve">El precio pide un crecimiento del 10,5 % anual</w:t>
      </w:r>
      <w:r>
        <w:t xml:space="preserve"> en 2027-2032; nuestro base, 5,8 %.</w:t>
      </w:r>
    </w:p>
    <w:p>
      <w:pPr>
        <w:pStyle w:val="ListParagraph"/>
        <w:numPr>
          <w:ilvl w:val="0"/>
          <w:numId w:val="2"/>
        </w:numPr>
        <w:spacing w:after="60"/>
      </w:pPr>
      <w:r>
        <w:rPr>
          <w:b/>
        </w:rPr>
        <w:t xml:space="preserve">Calidad justa</w:t>
      </w:r>
      <w:r>
        <w:t xml:space="preserve">: ROIC del 11,1 % frente a un WACC del 7,69 %; 19.034 M de fondo de comercio.</w:t>
      </w:r>
    </w:p>
    <w:p>
      <w:pPr>
        <w:pStyle w:val="ListParagraph"/>
        <w:numPr>
          <w:ilvl w:val="0"/>
          <w:numId w:val="2"/>
        </w:numPr>
        <w:spacing w:after="60"/>
      </w:pPr>
      <w:r>
        <w:rPr>
          <w:b/>
        </w:rPr>
        <w:t xml:space="preserve">Deuda alta</w:t>
      </w:r>
      <w:r>
        <w:t xml:space="preserve">: 3,2 veces el EBITDA y 6.337 M a corto plazo [14].</w:t>
      </w:r>
    </w:p>
    <w:p>
      <w:pPr>
        <w:pStyle w:val="ListParagraph"/>
        <w:numPr>
          <w:ilvl w:val="0"/>
          <w:numId w:val="2"/>
        </w:numPr>
        <w:spacing w:after="60"/>
      </w:pPr>
      <w:r>
        <w:rPr>
          <w:b/>
        </w:rPr>
        <w:t xml:space="preserve">Canal que se concentra</w:t>
      </w:r>
      <w:r>
        <w:t xml:space="preserve">: Amplifon compra GN Hearing por 17.000 M [16].</w:t>
      </w:r>
    </w:p>
    <w:p>
      <w:pPr>
        <w:pStyle w:val="Heading2"/>
      </w:pPr>
      <w:r>
        <w:t xml:space="preserve">Qué tiene que pasar para que la tesis funcione</w:t>
      </w:r>
    </w:p>
    <w:p>
      <w:pPr>
        <w:spacing w:after="100"/>
      </w:pPr>
      <w:r>
        <w:t xml:space="preserve">La tesis depende de que el crecimiento orgánico de Hearing Aids se mantenga por encima del mercado cuando Sonova y WS Audiology lancen sus nuevas plataformas, y de que el margen EBIT antes de especiales llegue al 19 % en el 2S26. La señal de que no se cumple: orgánico de audífonos por debajo del 8 % en el 4T26 o el 1T27, o un precio medio que vuelve a caer como en 2S25.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Hearing Aids (externo)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ciclo de Reveal dura.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especiales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implica ≈ 19 % en 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mercado en valor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antes de especiales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3,0x a fin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2,0-2,5x con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 KIND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16 % (325 M sobre ≈ 2.000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Valida la compra de 700 M EUR.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30,9x / 22,7x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Hans Demant fundó Oticon en Odense en 1904 para importar audífonos para su mujer sorda; su hijo William creó la fábrica. En 1957 la familia cedió el control a la Fundación William Demant, que hoy tiene el 59 % del capital [1]. Cotiza desde 1995. El grupo ha pasado de fabricante a «hearing healthcare» integrado: audífonos, una red de más de 4.500 clínicas propias y diagnóstico. Entre 2022 y 2026 vendió lo que no era audición (comunicaciones EPOS a ACCO; implantes Oticon Medical a Impilo tras el veto británico a Cochlear) y compró KIND, la mayor cadena alemana, por 700 M EUR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 Demant funda Oticon en Odense.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transfiere el control a la Fundación William Demant.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Copenhague (William Demant Holding).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audífono con conexión a internet (Oticon Opn) y giro a la «BrainHearing».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vender Oticon Medical a Cochlear (850 M DKK); la operación se frustra después en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Oticon Zeal y compra de KIND (700 M EUR); venta de EPOS a ACCO Brands.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Oticon Medical a Impilo (marzo) y lanzamiento de Oticon Reveal con doble IA (agosto).</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Demant es el segundo grupo mundial de audición y el único de los grandes integrado en las tres capas: fabrica audífonos (Oticon, Bernafon, Sonic y Philips Hearing Solutions bajo licencia) en Dinamarca y Polonia, los vende al por mayor a clínicas independientes, cadenas, el VA estadounidense y grandes minoristas (9.841 M DKK en 2025), los vende al usuario final en más de 4.500 clínicas propias (Hearing Care: 10.724 M; Audika, HearingLife y, desde diciembre de 2025, KIND en Alemania) y fabrica equipos de diagnóstico audiológico (Interacoustics, MAICO: 2.406 M) [1, 11]. Tras vender EPOS (comunicaciones) y Oticon Medical (implantes) en 2026, todo el grupo es audición [12, 13]. Europa es el 44,5 % de las ventas y Norteamérica el 38,7 % [1].</w:t>
      </w:r>
    </w:p>
    <w:p>
      <w:pPr>
        <w:pStyle w:val="Heading2"/>
      </w:pPr>
      <w:r>
        <w:t xml:space="preserve">Cómo gana dinero</w:t>
      </w:r>
    </w:p>
    <w:p>
      <w:pPr>
        <w:spacing w:after="100"/>
      </w:pPr>
      <w:r>
        <w:t xml:space="preserve">El margen bruto es del 75-77 % porque un audífono es un microordenador de diseño propio que se vende con un servicio de adaptación profesional [1, 5]. El beneficio depende del volumen (unidades +6 % anual de media en diez años), del precio medio (estable a largo plazo: la tecnología lo sube y la mezcla de canales lo baja) y del ciclo de producto: un buen lanzamiento gana cuota en uno o dos trimestres, como Oticon Reveal en el 3T26 (+17 % orgánico en audífonos) [1, 7]. La venta minorista convierte cada audífono vendido en clínica propia en margen mayorista y minorista a la vez y fija el canal, pero exige alquileres (NIIF 16) y personal. El apalancamiento operativo es alto: con ventas +18 % en moneda local, el EBIT antes de especiales subió un 19 % en el 1S26 [6]. Hay algo de estacionalidad (2S más fuerte) y poco ingreso recurrente salvo servicio, baterías y consumibles de diagnóstico.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Aids (ventas externas)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Diagnostics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Aids (ventas externas)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Diagnostics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diez primeros clientes son el 11 % de las ventas (13 % en 2024) [1]: no hay dependencia de uno solo, pero en 2025 la pérdida de ventas a un gran minorista estadounidense costó cuota en EE. UU. [10]. El VA (veteranos de EE. UU.) compra por concurso; la cuota de Demant en unidades fue del 18,9 % en el 4T25 [1]. El poder de precios es de producto, no de marca: en 2S25 el precio medio cayó un 2 % por mezcla de canal y país, y en 2026 sube por mezcla premium (margen bruto 77,1 % en el 1S26, +1,1 pp) [5, 10]. Los usuarios repiten audífono cada 4-5 años, y el audioprotesista que ajusta con el software del fabricante tiende a repetir marca.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por Oticon Zeal y el lanzamiento de Oticon Reveal en agosto de 2026 [7,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Hearing Aids (externo)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Muy por encima de un mercado que creció un 6-7 % en valor en el 3T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 precio medio por mezcla de producto y canal, y KIND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partidas especiales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Lastrado por divisa y una compra minorista en Reino Unido; sin ellos +0,6 pp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(DFN/EBITDA antes de especiales)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2,0-2,5x a finales de 2027 con recompras de al menos 3.000 M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Unidades de audífonos (crecimiento)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(2S25)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precio medio −2 % por mezcla geográfica y de canal en 2S25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cadena del audífono con prescripción (fabricación mayorista y venta minorista con adaptación profesional) más el diagnóstico audiológico, mundial. La empresa da dos tamaños: mayorista ≈ 7.000 M USD y minorista ≈ 20.000 M USD, sin canales públicos, y diagnóstico ≈ 700 M USD [1]. Como Demant está en las tres capas, usamos como perímetro el valor minorista más diagnóstico (≈ 20.700 M USD, ≈ 138.200 M DKK al cambio del BCE del 14-oct-2026: 6,677 DKK/USD); la cuota mayorista se da aparte. Segunda fuente: la ficha sectorial del 14-oct (sectores/audifonos-2026-10-14.md) contrasta el tamaño con las ventas de los cinco fabricantes.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138.200 M DKK en 2025 (minorista ≈ 20.000 M USD + diagnóstico ≈ 700 M USD) [1]; mayorista ≈ 46.700 M DKK (7.000 M USD)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(fabricación); fragmentada (minorista)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KK (valor minorista + diagnóst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(envejecimiento) y mayor acceso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+6 % anual de media en diez años; la mitad del crecimiento estructural por demografía y la otra mitad por acceso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estable y ciclo de producto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+6-7 % en valor en el 3T26 empujado por lanzamientos, frente a solo +2-4 % previsto a principios de 2026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la distribución y managed care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pagadores concentran volumen y presionan precio medio y honorarios de adaptación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OTC y auriculares con función de audífono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OTC de la FDA (oct-2022) y autorización de la función de audífono de los AirPods Pro (sep-2024) para pérdida leve a moderada [18]; impacto en el mercado con receta «limitado» según Demant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en el procesado del sonido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Oticon Reveal combina dos redes de IA en un miniRITE; impulsó el 17 % orgánico de Hearing Aids en el 3T26 [7,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fabricantes con ≈ 90 % del mayorista y ciclos de lanzamiento de 18-24 meses; Demant perdió cuota en EE. UU. en 2025 por un gran minorista y la recupera en 2026 con Zeal y Reveal [1,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diez primeros clientes son el 11 % de las ventas; grandes cadenas, VA y managed care negocian volumen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y pocos componentes críticos; el riesgo es de suministro y aranceles, no de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de producto sanitario, I+D de más de 1.400 M DKK al año y acceso a las clínicas; los entrantes OTC no han conquistado el canal con receta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AirPods Pro y audífonos OTC para pérdida leve a moderada [18]; los implantes solo para pérdidas profundas.</w:t>
            </w:r>
          </w:p>
        </w:tc>
      </w:tr>
    </w:tbl>
    <w:p>
      <w:pPr>
        <w:spacing w:after="160" w:before="0"/>
      </w:pPr>
    </w:p>
    <w:p>
      <w:pPr>
        <w:pStyle w:val="Heading2"/>
      </w:pPr>
      <w:r>
        <w:t xml:space="preserve">Ciclo</w:t>
      </w:r>
    </w:p>
    <w:p>
      <w:pPr>
        <w:spacing w:after="100"/>
      </w:pPr>
      <w:r>
        <w:t xml:space="preserve">El mercado se frenó en 2025 (crecimiento en valor por debajo del 4-6 % estructural por incertidumbre macro) y se recupera en 2026: +4 % en valor en el 1S y +6-7 % en el 3T [1, 7]. En 2008-09 el sector apenas cayó; en 2020 las ventas se hundieron un trimestre por el cierre de clínicas y rebotaron (orgánico de Demant +27 % en 2021); en 2022-23 la inflación no tocó la demanda [1].</w:t>
      </w:r>
    </w:p>
    <w:p>
      <w:pPr>
        <w:pStyle w:val="Heading2"/>
      </w:pPr>
      <w:r>
        <w:t xml:space="preserve">Regulación</w:t>
      </w:r>
    </w:p>
    <w:p>
      <w:pPr>
        <w:spacing w:after="100"/>
      </w:pPr>
      <w:r>
        <w:t xml:space="preserve">En EE. UU., la regla OTC de la FDA (en vigor desde octubre de 2022) permite vender audífonos sin receta para pérdida leve a moderada en adultos, y en septiembre de 2024 la FDA autorizó el software de Apple que convierte los AirPods Pro en audífono OTC [18]. En Europa el reembolso público fija buena parte del volumen (Francia «100 % Santé», Alemania, Reino Unido NHS) [1]. Los aranceles de EE. UU. a importaciones costaron en 2025; Demant espera recuperar parte en el 2S26 [1].</w:t>
      </w:r>
    </w:p>
    <w:p>
      <w:pPr>
        <w:pStyle w:val="Heading2"/>
      </w:pPr>
      <w:r>
        <w:t xml:space="preserve">Tendencias y disrupción</w:t>
      </w:r>
    </w:p>
    <w:p>
      <w:pPr>
        <w:spacing w:after="100"/>
      </w:pPr>
      <w:r>
        <w:t xml:space="preserve">La IA en el chip (redes neuronales que separan habla y ruido) es hoy el argumento de venta del segmento premium: Oticon Reveal, primer audífono con doble IA, es la razón del salto del 3T26 [17, 19]. Los auriculares con función de audífono (Apple) atacan el tramo leve y la venta en línea; la regulación y la adaptación profesional protegen el tramo moderado a profundo, donde está el grueso del valor. La distribución se concentra: Amplifon compra GN Hearing por 17.000 M DKK y Demant compró KIND [11,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fabricante mundial de audífonos (≈ 27 % del mayorista medido con sus ventas totales de audífonos, 12.473 M DKK) y 2.º minorista tras Amplifon; 16,6 % del perímetro minorista + diagnóstico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(Phonak, Unitron, AudioNova, Sennheiser consumo); margen EBITDA ≈ 26 % según MarketScreener, recogido en el análisis de Cochlear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 Audiology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Signia y Widex; propiedad de EQT y las familias fundadoras de Widex; no cotiza ni publica cuentas completas.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 Store Nord (GN Hearing)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ReSound y Beltone; GN Hearing (7.214 M DKK de ventas en 2025, EBITDA pro forma 1.185 M) se vende a Amplifon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minorista mundial (2.396 M EUR de ventas en 2025, EBIT 281 M) y, con GN, futuro fabricante integrado [16,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Starkey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Privado; fuerte en el canal independiente de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Cochlear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Implantes cocleares (pérdida profunda); complemento más que competidor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clínicas propias dirigen volumen a las marcas del grupo, pero no hay red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audioprotesistas trabajan con el software de ajuste del fabricante (Genie) y la reposición cada 4-5 años tiende a repetir marca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Oticon y plataforma de chip propia; I+D &gt; 1.400 M DKK al año [1]; el 3T26 demuestra que un lanzamiento acertado gana cuota en meses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75-77 % similar al de Sonova; plan de ahorro de 500 M DKK anuales desde 2028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fabricantes con ≈ 90 % del mayorista; la I+D y la regulación hacen inviable un sexto fabricante con receta.</w:t>
            </w:r>
          </w:p>
        </w:tc>
      </w:tr>
    </w:tbl>
    <w:p>
      <w:pPr>
        <w:spacing w:after="160" w:before="0"/>
      </w:pPr>
    </w:p>
    <w:p>
      <w:pPr>
        <w:pStyle w:val="Heading2"/>
      </w:pPr>
      <w:r>
        <w:t xml:space="preserve">Amenazas</w:t>
      </w:r>
    </w:p>
    <w:p>
      <w:pPr>
        <w:spacing w:after="100"/>
      </w:pPr>
      <w:r>
        <w:t xml:space="preserve">La amenaza más citada es la sustitución por electrónica de consumo: los AirPods Pro ya son audífonos OTC autorizados por la FDA para pérdida leve a moderada [18]. Pesa poco en el valor porque el usuario típico de audífono con receta tiene más de 70 años y pérdida moderada o mayor, y Demant dice que el efecto en el mercado con receta de EE. UU. es «limitado» [1]. Más probable (30-40 % en cinco años) es la presión del canal: managed care y grandes cadenas (Amplifon con GN integrada) negocian precio medio. Un fallo de lanzamiento frente a Sonova (Phonak) cuesta cuota en uno o dos trimestres, como en EE. UU. en 2025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4,2 %</w:t>
      </w:r>
      <w:r>
        <w:t xml:space="preserve">, BPA </w:t>
      </w:r>
      <w:r>
        <w:rPr>
          <w:b/>
          <w:bCs/>
        </w:rPr>
        <w:t xml:space="preserve">-0,6 %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17.905 M (2021) a 22.971 M (2025), con un orgánico irregular (3 % en el 3T25) [9]: 27 % en 2021 (rebote de la pandemia), 14 % en 2023 y solo 2 % en 2024 y 2025, cuando el mercado se frenó y Demant perdió cuota en EE. UU. [1]. El margen EBIT antes de especiales bajó del 20,9 % (2023) al 17,2 % (2025) por menor precio medio, divisa y menor apalancamiento [10]. 2026 es el giro: orgánico del 6 % en el 1T, 9 % en el 2T y 11 % en el 3T, guía elevada a 7-8 % y EBIT antes de especiales de 4.700-5.000 M (19 % de margen en el 2S implícito), más KIND (≈ 2.000 M de ventas, 325 M de EBIT previsto) [6, 7, 8]. 2021-2022 incluyen EPOS (no reexpresados) y no son del todo comparables con 2023-2025; 2025 lleva KIND en balance y solo un mes en la cuenta [1, 11].</w:t>
      </w:r>
    </w:p>
    <w:p>
      <w:pPr>
        <w:pStyle w:val="Heading2"/>
      </w:pPr>
      <w:r>
        <w:t xml:space="preserve">Ajustes y partidas no recurrentes</w:t>
      </w:r>
    </w:p>
    <w:p>
      <w:pPr>
        <w:spacing w:after="100"/>
      </w:pPr>
      <w:r>
        <w:t xml:space="preserve">Usamos el beneficio y el BPA de la actividad continuada: el total de 2025 (7,31 DKK) incluye −823 M de actividades interrumpidas, sobre todo ajustes sin caja por las ventas de EPOS y Oticon Medical [10, 12]. Las partidas especiales están dentro del EBIT: +124 M en 2024 (plusvalía por toma de control), −128 M en 2025 (costes de KIND y un ajuste de esa plusvalía) y −216 M en el 1S26 (ahorro e integración de KIND); se guían −400 M en 2026 y −100 M en 2027 [1, 6]. Las tratamos como no recurrentes porque cesan en 2028. El «BPA ajustado» de la empresa solo excluye esas partidas (11,74 en 2025 frente a 11,20 publicado de la continuada) [1]. La participación en asociadas (36 M en 2025) va dentro del EBIT y la sacamos al resultado financiero.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(12-ago) el mensaje fue la aceleración en las tres áreas y la confianza en Oticon Reveal; los analistas preguntaron por la fragilidad del margen (16,5 % frente al 16,4 % con ventas +18 %) y por cuánto del 2S dependía del ahorro de 300 M y de un producto aún sin vender [6, 43]. La dirección atribuyó el margen plano a la divisa (−50 M) y a una compra minorista en Reino Unido, y dijo que sin ellas sube 0,6 pp [6]. El 9-oct publicó por adelantado el 3T: orgánico del 11 % (17 % en audífonos), mercado +6-7 % en valor, segunda subida de guía y recompras de al menos 3.000 M hasta 2027 [7]. El discurso cambió de «desapalancar tras KIND» a «devolver caja»: la deuda llegará a 2,0-2,5x en 2027. Lo que no contó: el margen del 3T (solo «mejora significativa») y la reacción de Sonova y WSA, que lanzan en el 2S [7]. El 3-nov dará el detalle.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KIND (unas 650 clínicas en Alemania, ≈ 2.000 M DKK de ventas) consolidada desde el 1-dic-2025: entra entera en el balance y solo un mes en la cuenta [11].; 2023: Comunicaciones (EPOS) pasa a actividad interrumpida desde 2024; 2023 está reexpresado y 2021-2022 no (incluyen EPOS en la actividad continuada)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criterio de la empresa) pasó de 9.150 M en 2021 a 18.742 M en 2025 por las recompras (8.769 M en cinco años) y las compras (11.485 M, KIND la mayor), y bajó a 17.950 M en junio de 2026, 3,0 veces el EBITDA antes de especiales [1, 5]. El circulante comercial cae del 26,6 % de las ventas en 2021 al 23,8 % en 2025 al crecer la parte minorista. En 2022 el 52 % de la deuda era a corto (6.598 M) y en junio de 2026 el 37 % (6.337 M): la empresa se apoya en líneas bancarias que renueva; con 3.400 M de flujo operativo al año el riesgo de refinanciación es bajo, pero un cierre del crédito encarecería la deuda [3,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11.126</w:t>
      </w:r>
      <w:r>
        <w:t xml:space="preserve">, conversión </w:t>
      </w:r>
      <w:r>
        <w:rPr>
          <w:b/>
          <w:bCs/>
        </w:rPr>
        <w:t xml:space="preserve">85 %</w:t>
      </w:r>
      <w:r>
        <w:t xml:space="preserve"> del beneficio neto; adquisiciones 11.485, dividendos 0, recompras 8.769.</w:t>
      </w:r>
    </w:p>
    <w:p>
      <w:pPr>
        <w:spacing w:after="100"/>
      </w:pPr>
      <w:r>
        <w:t xml:space="preserve">La conversión de beneficio en caja libre (después de arrendamientos) es del 85 % de media en 2021-2025; el bache de 2022 (48 %) fue por circulante y existencias tras la escasez de chips [1]. El capex es bajo y estable (3,2-4,7 % de las ventas); unos 400 M al año son clínicas y fábricas y el resto software e I+D capitalizada, casi todo mantenimiento (estimación propia). Las altas de derechos de uso (883 M en 2025) son el coste real de la red minorista y las incluimos en el capex del DCF [1]. Toda la caja libre y más se ha ido a compras y recompras: 11.485 M y 8.769 M en cinco años frente a 11.126 M de caja libre [1]. En el 1S26 la caja libre subió un 14 %, a 1.284 M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(PwC), reelegido en la junta de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firma sin salvedades y fue reelegido en la junta de 2026 [24]. La contabilidad es conservadora en I+D (capitaliza poco: intangibles en desarrollo de 427 M) y la remuneración en acciones es pequeña (RSU de 43 M en 2025) [1, 14]. Lo que distorsiona es el perímetro: actividades interrumpidas en cuatro de los cinco años, partidas especiales en tres y un cambio grande de balance con KIND en diciembre de 2025. Por eso el Altman Z (2,89, zona gris) refleja más el apalancamiento elegido que un riesgo real; el Piotroski F de 4 cae por la deuda nueva, la caída del margen bruto de 2025 y el ROA de un balance con KIND sin su año de beneficio; el Beneish M (−2,59) no señala manipulación. Los ingresos se reconocen al adaptar el audífono; hay pasivos por devoluciones (192 M) y obligaciones de servicio diferidas (1.935 M) que crecen con la venta minorista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Actividades interrumpidas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1.025 M (2023), 504 M (2024) y 823 M (2025) fuera del beneficio continuado; ya no quedan negocios por vender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tres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 M guiados en 2026 y −100 M en 2027; ligadas a KIND y al plan de ahorro, con fin anunciado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a corto plazo alta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6.337 M a corto en jun-2026; el ESEF no la etiqueta como deuda financiera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2,5 % · </w:t>
      </w:r>
      <w:r>
        <w:rPr>
          <w:b/>
          <w:bCs/>
        </w:rPr>
        <w:t xml:space="preserve">WACC</w:t>
      </w:r>
      <w:r>
        <w:t xml:space="preserve">: 7,7 %.</w:t>
      </w:r>
    </w:p>
    <w:p>
      <w:pPr>
        <w:spacing w:after="100"/>
      </w:pPr>
      <w:r>
        <w:t xml:space="preserve">Demant crea valor, pero menos que antes: el ROIC fue del 14-15 % en 2021-2024 y del 11,1 % en 2025, frente a un WACC del 7,69 %: 3,4 puntos de diferencia. 2025 está deprimido porque el balance incluye KIND entero (≈ 5.200 M) con un solo mes de beneficio [11]; con el EBIT antes de especiales guiado para 2026 (4.850 M en el punto medio) el ROIC se acerca al 13 %, unos 5 puntos sobre el WACC (estimación propia). La rotación del capital (0,64) es la de un negocio con mucho fondo de comercio (19.034 M): el ROIC incremental histórico es solo del 2,5 % porque el capital nuevo han sido compras minoristas caras. Sin fondo de comercio, el retorno del negocio es muy alto (capex del 4 % de las ventas). Sonova, el mejor comparable, tiene un ROIC del 17 % [37] y menos deuda; la diferencia es la estrategia minorista de Demant, que compra margen con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1.496 M a 30-jun-2026 más líneas comprometidas no dispuestas «considerables» (sin cifra publicada)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(financiación bancaria, BEI y NIB)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bruta a 30-jun-2026 es de 16.908 M (10.571 M a largo y 6.337 M a corto: el ESEF de la empresa solo etiqueta como deuda la parte a largo) más 3.374 M de arrendamientos [5, 14]. La deuda es bancaria (89 % en coronas), con un tipo efectivo del 2,7 % en 2025 y la mitad de los intereses a doce meses fijada con permutas [1]. Los préstamos del BEI y del NIB para I+D tienen covenants que se cumplen [1]. Fuera de la deuda: préstamos a clientes de 644 M (financiación a audioprotesistas, que restan en la deuda neta de la empresa), pagos contingentes de compras de 37 M y garantías por 1.220 M a filiales danesas [1]. Sin pensiones relevantes. No hay rating; la financiación depende de los bancos.</w:t>
      </w:r>
    </w:p>
    <w:p>
      <w:pPr>
        <w:pStyle w:val="Heading1"/>
      </w:pPr>
      <w:r>
        <w:t xml:space="preserve">12. Asignación de capital</w:t>
      </w:r>
    </w:p>
    <w:p>
      <w:pPr>
        <w:pStyle w:val="Confianza"/>
        <w:spacing w:after="100"/>
      </w:pPr>
      <w:r>
        <w:t xml:space="preserve">Confianza: Alta</w:t>
      </w:r>
    </w:p>
    <w:p>
      <w:pPr>
        <w:spacing w:after="100"/>
      </w:pPr>
      <w:r>
        <w:t xml:space="preserve">Demant no paga dividendo: devuelve la caja que sobra tras inversiones y compras con recompras, siempre que la deuda neta quede en 2,0-2,5 veces el EBITDA antes de especiales [1]. Suspendió las recompras en junio de 2025 por KIND y las reanudó el 9-oct-2026 con el compromiso de recomprar al menos 3.000 M hasta finales de 2027 (≈ 4 % del capital al precio de hoy) [7]. La junta autorizó recomprar hasta el 10 % y amortizar la autocartera (2,04 M de acciones en abril de 2026) [15,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KIND Group (Alemania, ≈ 650 clínicas)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 apalancamiento 3,4x al cierre de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325 M de EBIT antes de especiales previsto en 2026 (antes 300 M); margen objetivo 20 % en 2028 [6,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minoristas (Hearing Care) y venta de implantes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Hearing Care crece por encima del mercado; la venta de Oticon Medical se cerró en 2026 a Impilo tras fracasar la de Cochlear [1,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EPOS a ACCO Brands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contable de ≈ 650 M (sin caja) en actividades interrumpidas; cierra la salida de comunicaciones [12].</w:t>
            </w:r>
          </w:p>
        </w:tc>
      </w:tr>
    </w:tbl>
    <w:p>
      <w:pPr>
        <w:spacing w:after="160" w:before="0"/>
      </w:pPr>
    </w:p>
    <w:p>
      <w:pPr>
        <w:spacing w:after="100"/>
      </w:pPr>
      <w:r>
        <w:t xml:space="preserve">La dirección asigna capital con disciplina financiera pero con rendimientos decrecientes: en 2021-2025 dedicó 11.485 M a compras y 8.769 M a recompras, el 180 % de la caja libre (11.126 M), y el ROIC incremental de ese periodo es del 2,5 %. Las recompras han reducido las acciones de 234,8 M a 211,3 M de media (−10 %), lo que sostiene el BPA. KIND (700 M EUR, ≈ 2,6 veces las ventas y ≈ 17 veces el EBIT) solo crea valor si llega al 20 % de margen EBIT en 2028; de momento va mejor de lo previsto (325 M de EBIT en 2026 frente a 300 M) [6, 11]. La salida de implantes y comunicaciones costó 2.350 M de pérdidas contables en tres años, pero libera gestión. Veredicto: correcta, no brillante.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Søren Nielsen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Oticon desde 1995; dirigió la división de audífonos antes de suceder a Niels Jacobsen. Con él el grupo pasó de 12.000 a 23.000 M DKK de ventas y se integró en la venta minorista; recibió 36.749 acciones por RSU en abril de 2026 [1,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René Schneider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GN Store Nord y Novo Nordisk; responsable de la financiación de KIND y del regreso a 2,0-2,5x [1,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Kristian Villumsen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2021; ex consejero delegado de Coloplast. Preside desde la junta de marzo de 2026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Jacobsen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Demant hasta 2017 y de William Demant Invest, el vehículo de la Fundación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Niels Wagner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Hearing Care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la red minorista, que creció un 6 % orgánico en el 1S26 e integra KIND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orgánico 3-6 %, EBIT antes de especiales 4.100-4.500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Elevada dos veces: 7-8 % y 4.700-5.000 M (9-oct-2026)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orgánico 3-7 %, EBIT 4.500-4.900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2 %, EBIT antes de especiales 3.960 M (guía rebajada a mitad de año)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4.500-4.900 M (rebajada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antes de especiales 4.404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y EBIT dentro de rangos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14 %, EBIT 4.506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con historial: Søren Nielsen es consejero delegado desde 2015 y René Schneider director financiero desde entonces [1]. Su credibilidad sufrió en 2024-2025 (dos rebajas de guía y un 2 % orgánico) y se recupera en 2026 con dos subidas [7]. El variable a largo plazo se paga en RSU; el consejero delegado convierte parte del salario en acciones [25, 26]. En mayo de 2026 amplió el comité de dirección con los presidentes de las áreas de negocio [29]. No hay plan de sucesión público; el relevo en la presidencia del consejo (Villumsen, ex Coloplast, por Christiansen tras 17 años) se anunció con un año de antelación [23].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Kristian Villumsen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Jacobsen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Hofman-Bang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Sisse Fjelsted Rasmussen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(presidenta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Katrin Pucknat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Duer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la plantilla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Heidir Hørby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la plantilla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Anders Højsgaard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la plantilla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12,71 / ventas 1,47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Fundación William Demant (directamente y vía William Demant Invest)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intención declarada de mantener el 55-60 %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Amortizadas 2,04 M acciones en abril de 2026; recompras reanudadas el 9-oct-2026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40 % registrado en Dinamarca y 25 % en Norteamérica (excluida la Fundación)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Niels Wagner (presidente de Hearing Care)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Hofman-Bang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Søren Nielsen (CEO),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Søren Nielsen (CEO), salario en acciones de 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dirección (dos personas) cobró 35,8 M DKK en 2025: 25,0 M de salario, 1,3 M de bonus y 9,5 M en acciones; el bonus casi desapareció con el mal 2025 [1]. El variable corto mide crecimiento y EBIT; el largo, RSU con permanencia; no hemos podido confirmar en el informe de remuneración que el largo dependa de ROIC o del retorno total. El consejo cobra solo fijo (450.000 DKK base; el presidente el triple) y la junta de 2026 aprobó subirlo [24]. Las juntas danesas aprueban la remuneración sin recuento publicado [30]. El consejero de la Fundación, Thomas Hofman-Bang, compró 17.224 acciones (4,97 M DKK) en agosto [27].</w:t>
      </w:r>
    </w:p>
    <w:p>
      <w:pPr>
        <w:pStyle w:val="Heading2"/>
      </w:pPr>
      <w:r>
        <w:t xml:space="preserve">Operaciones vinculadas, estructura de control y defensas</w:t>
      </w:r>
    </w:p>
    <w:p>
      <w:pPr>
        <w:spacing w:after="100"/>
      </w:pPr>
      <w:r>
        <w:t xml:space="preserve">La Fundación William Demant controla el 59 % del capital (directamente y vía William Demant Invest) y quiere mantener el 55-60 % [1]. Su estatuto exige que un consejero de la Fundación se siente en el consejo (Thomas Hofman-Bang desde 2026); el vicepresidente, Niels Jacobsen, dirige William Demant Invest [23]. Una sola clase de acciones, un voto por acción [1]. La Fundación impide una OPA hostil y, a cambio, da estabilidad: no hay operaciones vinculadas relevantes con ella. El presidente (Villumsen) es independiente [23]. Tres de los ocho consejeros son elegidos por la plantilla, como manda la ley danesa.</w:t>
      </w:r>
    </w:p>
    <w:p>
      <w:pPr>
        <w:pStyle w:val="Heading2"/>
      </w:pPr>
      <w:r>
        <w:t xml:space="preserve">Señales de alerta</w:t>
      </w:r>
    </w:p>
    <w:p>
      <w:pPr>
        <w:pStyle w:val="ListParagraph"/>
        <w:numPr>
          <w:ilvl w:val="0"/>
          <w:numId w:val="2"/>
        </w:numPr>
        <w:spacing w:after="60"/>
      </w:pPr>
      <w:r>
        <w:t xml:space="preserve">Ninguna relevante detectada tras revisar el informe anual, las comunicaciones de la junta y las operaciones de directivos de 12 meses.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elevada el 9-oct-2026 (segunda subida): crecimiento orgánico del 7-8 % (antes 6-7 %; al principio del año 3-6 %) y EBIT antes de partidas especiales de 4.700-5.000 M DKK (antes 4.400-4.800; inicial 4.100-4.500), con un 9 % de crecimiento por compras, −1 % de divisa, partidas especiales de −400 M y un tipo efectivo del 23 % [7]. Recompras reanudadas el 9-oct: al menos 3.000 M DKK hasta finales de 2027, acabando 2027 con 2,0-2,5x de deuda neta sobre EBITDA [7]. A medio plazo: ventas +8-10 % anual en moneda local (6-8 % orgánico con un mercado al 5 %) y mejora gradual del margen EBIT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220,00 – 429,00</w:t>
            </w:r>
          </w:p>
        </w:tc>
      </w:tr>
    </w:tbl>
    <w:p>
      <w:pPr>
        <w:spacing w:after="160" w:before="0"/>
      </w:pPr>
    </w:p>
    <w:p>
      <w:pPr>
        <w:pStyle w:val="Heading2"/>
      </w:pPr>
      <w:r>
        <w:t xml:space="preserve">Revisiones de estimaciones</w:t>
      </w:r>
    </w:p>
    <w:p>
      <w:pPr>
        <w:spacing w:after="100"/>
      </w:pPr>
      <w:r>
        <w:t xml:space="preserve">Revisiones al alza fuertes y recientes: tras la nota del 9-oct, diez bancos subieron el objetivo el 12-oct (Morgan Stanley 399→429, Goldman 380→405, SEB 330→400, Nordea 350→400, Danske 285→340, Jyske 300→340, Deutsche Bank 281→343, BNP 305→330, Oddo 275→315), después de otra ronda tras el 1S26 en agosto (JP Morgan 250→315, Goldman 290→330) [33]. Aun así el objetivo medio (334,45) queda un 6 % por debajo del precio: los analistas van por detrás de la subida. AlphaValue/Baader rebajó a «reducir» el 13-oct [33]. Única fuente con estimaciones completas: MarketScreener; el EBIT del consenso es antes de partidas especiales (2025: 3.960) y su BPA es el publicado total (2025: 7,31, con las interrumpidas).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64,9 % en el año y un 58,3 % en doce meses frente al 0,9 % y el 9,9 % del C25 [31]. Tocó mínimo en 175 DKK el 13-feb-2026, tras caer un 10,7 % el 3-feb con unos resultados de 2025 flojos y una guía prudente, y desde entonces encadenó dos subidas de guía (11-ago y 9-oct) y la reanudación de las recompras; marcó máximo de 359,4 el 13-oct [7, 31]. A cinco años la acción rinde un 4,3 % anual (−52,5 % de caída máxima entre feb-2024 y feb-2026). Beta de 0,93 (mensual, cinco años) y 1,15 semanal frente al C25; volatilidad del 33,9 %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Medido como el motor (últimos doce meses al cierre de cada año) Demant cotiza a 15,7 veces el EBITDA, un 16 % sobre su media de cinco años (13,5x), y a 30,9 veces el beneficio publicado, máximo del periodo; pero el PER de los últimos doce meses está inflado por las partidas especiales y por el mes escaso de KIND. Con el beneficio adelantado (precio ÷ BPA del año siguiente), la base de la regla a 12 meses, cotiza a 21,1 veces nuestro BPA de 2027 frente a una mediana de 22,5 veces en cinco años: en su media, no cara. No ha cambiado nada estructural en el múltiplo; ha cambiado el beneficio esperado.</w:t>
      </w:r>
    </w:p>
    <w:p>
      <w:pPr>
        <w:pStyle w:val="Heading1"/>
      </w:pPr>
      <w:r>
        <w:t xml:space="preserve">18. Comparables cotizados</w:t>
      </w:r>
    </w:p>
    <w:p>
      <w:pPr>
        <w:pStyle w:val="Confianza"/>
        <w:spacing w:after="100"/>
      </w:pPr>
      <w:r>
        <w:t xml:space="preserve">Confianza: Media</w:t>
      </w:r>
    </w:p>
    <w:p>
      <w:pPr>
        <w:spacing w:after="100"/>
      </w:pPr>
      <w:r>
        <w:t xml:space="preserve">Sonova (fabricante y minorista, el comparable directo), Amplifon (minorista; solo su PER, porque su EV/EBITDA de 2027 incluye GN Hearing y su deuda no) y Cochlear (implantes) son el sector de audición; Straumann y Coloplast, la tecnología médica de consumo nórdica y suiza con margen alto y venta por profesionales. Fuera GN Store Nord: tras vender GN Hearing a Amplifon es un negocio de auriculares y videoconferencia con pérdidas en 2026 (PER negativo) [21]. WS Audiology y Starkey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Amplifon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14,8x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16,5x / 17,7x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 / 23,8x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4,7x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(4 comparables): múltiplo = 14,3 + 0,10 × crecimiento; R² = 0,27. El crecimiento explica poco los múltiplos de estos comparables (R² &lt; 0,3): la regresión no se usa en la valoración.</w:t>
      </w:r>
    </w:p>
    <w:p>
      <w:pPr>
        <w:spacing w:after="100"/>
      </w:pPr>
      <w:r>
        <w:t xml:space="preserve">Demant cotiza con descuento en EV/EBITDA (13,5x de los próximos doce meses frente a 14,6-15,7x de Sonova, Straumann, Cochlear y Coloplast) y en PER (22,7x frente a una mediana de 23,8x), lo que se justifica por su deuda (3,2 veces el EBITDA frente a 1,1 de Sonova) y por un ROIC menor (11,1 % frente al 17 % de Sonova). Su crecimiento esperado (los próximos doce meses llevan KIND) es mayor que el de todos. Usaríamos el PER de Sonova (23,8x) como techo: Demant no tiene hoy la calidad de balance para cotizar por encima. El valor por EV/EBITDA de los próximos doce meses (≈ 400 DKK) sale alto porque el EBITDA de Demant incluye los alquileres de 4.500 clínicas.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(ReSound, Beltone)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 de caja y deuda; 12.600 M en efectivo y 56 M de acciones de Amplifon; EBITDA pro forma 2025 de 1.185 M con costes de separación [16].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 Group (≈ 650 clínicas en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700 M EUR libre de caja y deuda; ventas pro forma 2026 ≈ 2.000 M DKK y EBIT ≈ 300 M (≈ 17x EBIT) [11, 39].</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dos operaciones del sector valoran negocios de audición a 2,4-2,6 veces las ventas: Amplifon paga 17.000 M DKK por GN Hearing (14,3 veces el EBITDA pro forma) y Demant pagó 700 M EUR por KIND (≈ 17 veces el EBIT) [11, 16, 39]. Demant cotiza a 3,8 veces sus ventas de los últimos doce meses y 15,7 veces el EBITDA: sin prima de control frente a esas operaciones. No es objeto posible de una OPA: la Fundación tiene el 59 % y no quiere vender. Si acaso, es comprador (más clínicas minoristas). Sin peso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es el año de la guía (fijo): orgánico 7,5 % (punto medio de 7-8 %), compras +9 % (KIND) y divisa −1 %: +15,5 %, 26.532 M (consenso 26.547) [7, 32]. Después, 7,0 % en 2027 (orgánico 6 %, compras 2 %, divisa −1 %), en la parte baja del 8-10 % a medio plazo de la empresa [1], y bajando hasta el 4,5 % en 2032, cerca del mercado (4-6 % estructural) [1]. La historia: orgánico del 2 % en 2024-2025 y del 14 % en 2023; el promedio de cinco años ronda el 9 %.</w:t>
      </w:r>
    </w:p>
    <w:p>
      <w:pPr>
        <w:keepNext/>
        <w:spacing w:after="100"/>
      </w:pPr>
      <w:r>
        <w:rPr>
          <w:b/>
          <w:bCs/>
        </w:rPr>
        <w:t xml:space="preserve">Márgenes.</w:t>
      </w:r>
    </w:p>
    <w:p>
      <w:pPr>
        <w:spacing w:after="100"/>
      </w:pPr>
      <w:r>
        <w:t xml:space="preserve">Margen EBITDA (con partidas especiales y alquileres dentro) del 23,6 % en 2026e (EBIT antes de especiales de 4.850 M menos 400 M de especiales), 25,0 % en 2027 y 26,3 % desde 2031: el EBIT antes de especiales pasa del 18,3 % al 19,7 %, por debajo del máximo de 2023 (20,9 %) y del objetivo de KIND (20 %), con el ahorro de 500 M [1, 11]. El consenso de 2028 (EBIT 19,1 %) está casi igual [32].</w:t>
      </w:r>
    </w:p>
    <w:p>
      <w:pPr>
        <w:keepNext/>
        <w:spacing w:after="100"/>
      </w:pPr>
      <w:r>
        <w:rPr>
          <w:b/>
          <w:bCs/>
        </w:rPr>
        <w:t xml:space="preserve">Inversión y circulante.</w:t>
      </w:r>
    </w:p>
    <w:p>
      <w:pPr>
        <w:spacing w:after="100"/>
      </w:pPr>
      <w:r>
        <w:t xml:space="preserve">Capex del 7,0 % de las ventas: 3,7 % de inmovilizado e intangibles (857 M en 2025) más 3,3 % de altas de derechos de uso de las clínicas (883 M en 2025) [1]. La amortización (6,6-6,8 %) incluye la de intangibles de compras. Circulante comercial del 23,5 % de las ventas, como en 2025 (23,8 %).</w:t>
      </w:r>
    </w:p>
    <w:p>
      <w:pPr>
        <w:keepNext/>
        <w:spacing w:after="100"/>
      </w:pPr>
      <w:r>
        <w:rPr>
          <w:b/>
          <w:bCs/>
        </w:rPr>
        <w:t xml:space="preserve">Coste del capital.</w:t>
      </w:r>
    </w:p>
    <w:p>
      <w:pPr>
        <w:spacing w:after="100"/>
      </w:pPr>
      <w:r>
        <w:t xml:space="preserve">Tasa libre: Bund a 10 años al 3,48 % el 14-oct (la corona está anclada al euro) [34]. Beta 1,0: entre la mensual de cinco años (0,93) y la semanal (1,15) frente al C25 [31]. Prima de mercado del 5,5 %, sin prima adicional. Coste de la deuda antes de impuestos del 3,3 % (2,7 % efectivo en 2025 más el diferencial de la deuda nueva) [1], tipo del 23 % y 20 % de deuda (18.000 M sobre 92.500 M de valor empresa). WACC 7,69 %.</w:t>
      </w:r>
    </w:p>
    <w:p>
      <w:pPr>
        <w:keepNext/>
        <w:spacing w:after="100"/>
      </w:pPr>
      <w:r>
        <w:rPr>
          <w:b/>
          <w:bCs/>
        </w:rPr>
        <w:t xml:space="preserve">Valor terminal.</w:t>
      </w:r>
    </w:p>
    <w:p>
      <w:pPr>
        <w:spacing w:after="100"/>
      </w:pPr>
      <w:r>
        <w:t xml:space="preserve">Crecimiento a perpetuidad del 2,0 %: el real del mercado de audífonos es del 4-6 %, pero a perpetuidad usamos la inflación de la corona y algo de volumen, por debajo de la tasa libre menos medio punto (2,98 %). El múltiplo implícito del valor terminal es coherente con los 14-16 veces el EBITDA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361,99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 (hoy: 16,6 %)</w:t>
            </w:r>
          </w:p>
        </w:tc>
      </w:tr>
    </w:tbl>
    <w:p>
      <w:pPr>
        <w:spacing w:after="160" w:before="0"/>
      </w:pPr>
    </w:p>
    <w:p>
      <w:pPr>
        <w:spacing w:after="100"/>
      </w:pPr>
      <w:r>
        <w:t xml:space="preserve">La proyección apenas necesita inversión neta de la amortización (reinversión acumulada de 3.982 M, el 12 % del NOPAT, con un capex bruto medio del 7,0 % de las ventas). En un negocio de activos ligeros, el crecimiento medio del 7,1 % tiene que salir de subir precios y de ganar volumen sin capital nuevo, y la prueba es el poder de precios y la cuota (19,1 % del mercado en 2032e, frente al 16,6 %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9-oct: orgánico 7-8 % (unidades y precio medio por mezcla premium de Reveal y Zeal), compras +9 % (KIND), divisa −1 %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+5 % en valor y algo de cuota por el ciclo de Reveal; compras minoristas pequeñas (+2 %) y divisa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(demografía), precio medio +1,5 % por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4-6 % estructural del mercado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sin compras grandes.</w:t>
            </w:r>
          </w:p>
        </w:tc>
      </w:tr>
    </w:tbl>
    <w:p>
      <w:pPr>
        <w:spacing w:after="160" w:before="0"/>
      </w:pPr>
    </w:p>
    <w:p>
      <w:pPr>
        <w:spacing w:after="100"/>
      </w:pPr>
      <w:r>
        <w:t xml:space="preserve">La proyección necesita poca inversión neta (reinversión del 12 % del NOPAT), así que la prueba de financiación no aplica y la prueba es el poder de precios y la cuota: la cuota implícita pasa del 16,6 % al 19,1 % del mercado en 2032 (1,15 veces), dentro del límite. El crecimiento del 7,1 % medio sale de un mercado del 4-6 % estructural más cuota y compras minoristas pequeñas. Es «en parte» porque el foso es estrecho: el poder de precios es de producto (el precio medio cayó un 2 % en 2S25 y sube en 2026 con Reveal) y el ROIC incremental histórico es solo del 2,5 % porque el crecimiento de 2021-2025 se compró (KIND, clínicas). Sin compras, el crecimiento orgánico del 5-6 % es sostenible; no rebajamos el base porque ninguna prueba falla.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 (base: 26,3 %)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7,7 %)</w:t>
            </w:r>
          </w:p>
        </w:tc>
      </w:tr>
    </w:tbl>
    <w:p>
      <w:pPr>
        <w:spacing w:after="160" w:before="0"/>
      </w:pPr>
    </w:p>
    <w:p>
      <w:pPr>
        <w:spacing w:after="100"/>
      </w:pPr>
      <w:r>
        <w:t xml:space="preserve">El DCF da 289,16 DKK por acción, un 18,5 % por debajo del precio, con el 73 % del valor en el terminal. El DCF inverso dice que el precio de 354,80 descuenta un crecimiento de las ventas del 10,5 % anual en 2027-2032, frente al 5,8 % de nuestro base y al 8-10 % a medio plazo que promete la propia empresa (que incluye un 2 % de compras), o un margen EBITDA del 29,4 % frente al 26,3 %. La rentabilidad anual implícita en el precio es del 6,9 %, por debajo de nuestro WACC (7,69 %) y algo por encima de la que pide el mercado con su prima implícita (6,65 %). Es exigente: pide que el ciclo de Reveal dure años o que el margen supere su máximo histórico. Con la prima implícita del mercado el DCF sube a 374,21 (+5,5 %): la diferencia con el precio es de tasa de descuento más que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Reveal pierde fuelle ante Phonak en 2027, el orgánico vuelve al 3-4 % y el margen se queda en el 17-18 % antes de especiales; ya pasó en 2024-2025. BPA 2028e de 16,10.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se cumple, el mercado crece un 5 % y Demant gana algo de cuota; margen EBIT antes de especiales del 19 % en 2028 y recompras de 3.000 M. BPA 2028e de 19,40 (consenso 19,02).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Reveal sostiene un orgánico del 8-9 % dos años, KIND llega al 20 % de margen antes de lo previsto y el margen EBIT supera el 20 %. BPA 2028e de 21,20.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DKK) · precio actual 354,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276,55 DKK (-22,1 %).</w:t>
      </w:r>
    </w:p>
    <w:p>
      <w:pPr>
        <w:spacing w:after="100"/>
      </w:pPr>
      <w:r>
        <w:t xml:space="preserve">Por DCF la asimetría es desfavorable: el alcista vale 331,50 (−6,6 %) y el bajista 196,39 (−44,6 %); incluso el caso bueno queda por debajo del precio. A 12 meses, con la regla de múltiplos, el alcista da +42 % y el bajista −35 %: la diferencia es que el mercado paga hoy 21 veces el beneficio adelantado y el DCF exige a ese múltiplo un crecimiento que no proyectamos. No compensa comprar: se gana más en el alcista a 12 meses que en el bajista solo si el múltiplo aguanta.</w:t>
      </w:r>
    </w:p>
    <w:p>
      <w:pPr>
        <w:pStyle w:val="Heading1"/>
      </w:pPr>
      <w:r>
        <w:t xml:space="preserve">22. Suma de partes</w:t>
      </w:r>
    </w:p>
    <w:p>
      <w:pPr>
        <w:pStyle w:val="Confianza"/>
        <w:spacing w:after="100"/>
      </w:pPr>
      <w:r>
        <w:t xml:space="preserve">Confianza: Media</w:t>
      </w:r>
    </w:p>
    <w:p>
      <w:pPr>
        <w:spacing w:after="100"/>
      </w:pPr>
      <w:r>
        <w:t xml:space="preserve">No aplica: Demant gestiona y reporta un único segmento (Hearing Healthcare) y las tres áreas comparten tecnología, marcas y clientes; no publica resultado por área con el que valorar cada parte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DKK) · precio actual 354,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303,60 DKK (-14,4 % sobre 354,80).</w:t>
      </w:r>
    </w:p>
    <w:p>
      <w:pPr>
        <w:spacing w:after="100"/>
      </w:pPr>
      <w:r>
        <w:t xml:space="preserve">Pesamos el DCF (40 %) y los escenarios (40 %) porque el beneficio de Demant está en plena recuperación y los múltiplos de los comparables (20 %) mezclan negocios con menos deuda. Transacciones sin peso (dos operaciones, sin prima de control aplicable). La dispersión es amplia: el DCF da 289,16, el PER de los próximos doce meses de los comparables 372,81 y el EV/EBITDA 400,36, porque los comparables cotizan con un PER de 19-27 veces que el DCF no justifica para un crecimiento del 5-6 %. El valor intrínseco (síntesis) es de 303,60 DKK, un 14,4 % por debajo del precio. Con la prima implícita del mercado (4,2 %) sería de 369,86 (+4,2 %).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(21.1x) a mitad de camino hacia la mediana de 5 años (22.5x)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r>
    </w:tbl>
    <w:p>
      <w:pPr>
        <w:spacing w:after="160" w:before="0"/>
      </w:pPr>
    </w:p>
    <w:p>
      <w:pPr>
        <w:spacing w:after="100"/>
      </w:pPr>
      <w:r>
        <w:rPr>
          <w:b/>
          <w:bCs/>
        </w:rPr>
        <w:t xml:space="preserve">Objetivo a 12 meses (ponderado):</w:t>
      </w:r>
      <w:r>
        <w:t xml:space="preserve"> 395,16 DKK · rentabilidad +11,4 % (base +19,2 %) · señal Mantener.</w:t>
      </w:r>
    </w:p>
    <w:p>
      <w:pPr>
        <w:spacing w:after="100"/>
      </w:pPr>
      <w:r>
        <w:t xml:space="preserve">Para comparar, con la regla v2 (historia al cierre, mismo precio): 18,3x / 20,7x / 23,8x, 12,9 %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(19,40) está un 2 % por encima del consenso (19,02) y el de 2027e (16,81) un 3 % por encima (16,32): coinciden en ventas (30.234 frente a 30.354 M) y margen; la diferencia es que contamos las recompras anunciadas. Nuestro precio base (≈ 423) queda muy por encima del objetivo medio de los analistas (334,45), que sigue por detrás de la cotización aunque diez bancos lo subieron el 12-oct: es diferencia de múltiplo (la regla toma el PER adelantado actual, en su mediana) y de fecha, no de beneficio.</w:t>
      </w:r>
    </w:p>
    <w:p>
      <w:pPr>
        <w:keepNext/>
        <w:spacing w:after="100"/>
      </w:pPr>
      <w:r>
        <w:rPr>
          <w:b/>
          <w:bCs/>
        </w:rPr>
        <w:t xml:space="preserve">Del valor intrínseco al objetivo a 12 meses.</w:t>
      </w:r>
    </w:p>
    <w:p>
      <w:pPr>
        <w:spacing w:after="100"/>
      </w:pPr>
      <w:r>
        <w:t xml:space="preserve">El valor intrínseco (303,60) queda un 28 % por debajo del objetivo a 12 meses: el precio y la regla de múltiplos dan por hecho que el mercado seguirá pagando unas 22 veces el beneficio adelantado, que es lo que ha pagado de mediana en cinco años, mientras que el DCF a un WACC del 7,7 % no justifica ese múltiplo con un crecimiento del 5-6 %. Para cerrar la distancia tendría que pasar que el crecimiento se mantenga cerca del 8-10 % a medio plazo durante varios años.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completo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3T y confirmación de los 4.700-5.000 M; el precio descuenta la parte alta [7,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Sonova (Phonak) y WS Audiology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Pueden frenar la ganancia de cuota de Oticon Reveal; Demant lo da por supuesto en la guía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al menos 3.000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4 % del capital; sostiene el BPA de 2027-2028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sin partidas especiales grandes; prueba del margen del 19-20 %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Amplifon-GN Hearing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 pasa a fabricante: puede retirar volumen de marcas de Demant en sus tiendas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Sinergias de KIND y ahorro de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KIND del 15 % al 20 % y 500 M anuales de ahorro desde 2028 [6,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salto de cuota de Oticon Reveal es temporal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producto renovada (Zeal y Reveal) y lanzamientos en todas las marcas del grupo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Hearing Aids por debajo del 8 % en el 4T26 o el 1T27.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tras +65 % en el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(PER mínimo de cinco años, 14,3x)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(21,1x) está en su mediana, no en un extremo.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medio de los analistas por debajo del precio de forma persistente.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 electrónica de consumo (AirPods Pro, OTC) se comen el tramo leve-moderado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(precio medio y volumen en EE. UU.)</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usuario medio tiene más de 70 años y pérdida moderada o mayor; la adaptación profesional y el reembolso protegen el canal; la IA en el chip es hoy la ventaja de Demant [1,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canal OTC o de Apple en EE. UU. con caída de unidades con receta.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acompaña (KIND, divisa, costes de clínicas)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ahorro de 500 M desde 2028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antes de especiales de 2026 por debajo del 18 %.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si el crédito se encarece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3.400-3.900 M al año; objetivo 2,0-2,5x en 2027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medio de la deuda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vertical de Amplifon con GN Hearing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Demant tiene su propia red de 4.500 clínicas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mayoristas en Europa del sur y Australia.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Managed care y aranceles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Reembolso esperado de aranceles en el 2S26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medio en EE. UU. negativo dos trimestres.</w:t>
            </w:r>
          </w:p>
        </w:tc>
      </w:tr>
    </w:tbl>
    <w:p>
      <w:pPr>
        <w:spacing w:after="160" w:before="0"/>
      </w:pPr>
    </w:p>
    <w:p>
      <w:pPr>
        <w:pStyle w:val="Heading2"/>
      </w:pPr>
      <w:r>
        <w:t xml:space="preserve">Pre-mortem</w:t>
      </w:r>
    </w:p>
    <w:p>
      <w:pPr>
        <w:spacing w:after="100"/>
      </w:pPr>
      <w:r>
        <w:t xml:space="preserve">Octubre de 2029: la acción ha perdido un 40 %. Oticon Reveal ganó cuota durante tres trimestres, pero Phonak respondió en la primavera de 2027 con su propio audífono con IA y en el canal independiente de EE. UU. la ventaja se esfumó; el orgánico de Hearing Aids volvió al 2-3 % en 2027, como en 2025. A la vez, Amplifon, ya dueña de GN Hearing, desvió volumen de sus tiendas a ReSound, y el mercado volvió al 3-4 % en valor. El margen EBIT se quedó en el 18 % en vez del 19-20 % y Demant, que había vuelto a recomprar con deuda, se encontró en 2,8 veces el EBITDA. El mercado pasó de pagar 21 veces el beneficio adelantado a 15, como en 2022, sobre un BPA de 2028 de 16 DKK en vez de 19. La señal: el orgánico de audífonos del 2T27 por debajo del 5 % y el precio medio cayendo, cosa que ya se vio en 2025.</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la seguridad del producto y la privacidad de los datos de audición (audífonos conectados), el acceso al tratamiento (12,1 M de vidas mejoradas en 2025) y el consumo de electricidad de las fábricas: 53 % renovable en 2025 frente al 21 % en 2023 [1]. Las emisiones de alcance 1 y 2 son pequeñas (26.781 t CO2e) y no mueven el coste [1].</w:t>
      </w:r>
    </w:p>
    <w:p>
      <w:pPr>
        <w:pStyle w:val="Heading2"/>
      </w:pPr>
      <w:r>
        <w:t xml:space="preserve">Controversias</w:t>
      </w:r>
    </w:p>
    <w:p>
      <w:pPr>
        <w:spacing w:after="100"/>
      </w:pPr>
      <w:r>
        <w:t xml:space="preserve">Sin multas ni litigios relevantes en tres años. El veto británico a la venta de Oticon Medical a Cochlear (2024) obligó a buscar otro comprador (Impilo, 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3T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margen EBIT antes de especiales del 3T26 y cuánto del 2S depende del ahorro?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implica ≈ 19 % en el 2S; el precio lo descuenta.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17 % orgánico de Hearing Aids es llenado de canal en el lanzamiento y qué parte reposición real?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BPA de 2027-2028 es sostenible.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Amplifon-GN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vende Demant hoy a Amplifon y qué espera tras la compra de GN Hearing?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canal no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llega KIND al 20 % de margen y cuántas clínicas se cierran?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el precio pagado (≈ 17 veces el EBIT).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OTC y Apple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Demant canibalización en el tramo leve en EE. UU. tras la función de audífono de los AirPods?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sustitución que más preocupa a largo plazo.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a corto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6.337 M de la deuda vencen a menos de un año y cómo se refinanciarán?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37 % de la deuda bruta es a corto.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HearingTracker (usuarios y audioprotesistas)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técnico alto por Oticon Reveal (ganancia de 25 dB con el nuevo control de realimentación, ajuste NAL-NL3 solo en Reveal); dudas sobre si sirve para pérdidas profundas frente a Phonak y Xceed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Inderes / HC Andersen Capital (comentario con debate en el foro de Inderes)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positiva de la subida de guía pero «bandera roja» por el margen EBIT casi plano (16,5 % frente a 16,4 %) con ventas +18 % y por depender de un Reveal aún no vendido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(WILYY)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transcripciones y noticias; sin debate apreciable de lectores en el ADR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Notas de bancos recogidas por MarketScreener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subidas de objetivo el 12-oct y una rebaja a «reducir» de AlphaValue el 13-oct: el mercado discute ya la valoración, no el crecimiento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Oticon Reveal y la IA como motor de cuota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Hearing Aids +17 % orgánico en el 3T26 frente a un mercado del 6-7 % (nota del 9-oct).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acompaña al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el 1S26 (16,5 %), pero la guía del 2S implica ≈ 19 % antes de especiales: es la prueba del 3-nov.</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+65 % en 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 21x sobre nuestro BPA de 2027) está en su mediana de cinco años; el objetivo medio de los analistas, por debajo del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AirPods y audífonos OTC</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los foros de usuarios se ven como complemento para pérdidas leves; los datos de Demant no muestran efecto en el canal con receta.</w:t>
            </w:r>
          </w:p>
        </w:tc>
      </w:tr>
    </w:tbl>
    <w:p>
      <w:pPr>
        <w:spacing w:after="160" w:before="0"/>
      </w:pPr>
    </w:p>
    <w:p>
      <w:pPr>
        <w:spacing w:after="100"/>
      </w:pPr>
      <w:r>
        <w:t xml:space="preserve">El sentimiento ha pasado de la capitulación de febrero (mínimo de 175 DKK) al entusiasmo: diez bancos subieron el objetivo el 12-oct y en los foros de usuarios Oticon Reveal genera interés técnico alto [33, 44]. El debate ya no es el crecimiento sino el margen y el precio: el comentario de HC Andersen Capital marcó como «bandera roja» que el margen EBIT no subiera con ventas +18 % [43], y AlphaValue rebajó a «reducir» al día siguiente de las subidas [33]. Para la decisión aporta dos cosas: el riesgo de que el 3-nov el margen del 3T decepcione frente a lo que ya descuenta el precio, y que los particulares no ven a los AirPods como amenaza para el audífono con receta. No contradice al consenso: lo adelanta.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44 (28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19,1 % en 2032e frente al 16,6 %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23,5 % frente a 23,8 % real: genera una variación de circulante de 773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0,27: el crecimiento no explica los múltiplos de estos comparables; no uses el valor de la regresión. Explicación: Con cinco comparables de negocios distintos (implantes, dental, ostomía, minorista) la regresión no explica nada (R² 0,27); no se usa su valor.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IMS 1T26 y 3T25 (solo ventas por trimestre); 2) nota preliminar del 3T26 (solo ventas); 3) presentaciones: Demant publica resultados por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área de negocio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2024-2025); 2) ESEF 2023 sin desglose por área; 3) informes anteriores con otra segmentación (Hearing Healthcare / Communications)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las publica); 2) web de inversores (no accesible sin JavaScript);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individual del primer ejecutivo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total de la dirección: 35,8 M DKK); 2) acta de la junta de 2026 (aprobado sin recuento publicado); 3) Remuneration Report 2025 no localizado en los comunicados descargados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operación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Venta de Oticon Medical a Impilo (hasta 600 M DKK, sin ventas ni EBITDA publicados); 2) EPOS a ACCO (no es audición); 3) fusión Sivantos-Widex (2019, sin múltiplo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Finanstilsynet (xlsx mensual no descargado); 2) prensa; 3) proveedores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inversores daneses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Shareville y Euroinvestor (requieren sesión o JavaScript); 2) Reddit (403 en la nube); 3) Stocktwits WILYY (sin mensajes)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 con la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Sonova y Amplifon (no descargados por tiempo); 2) MarketScreener (no da ROIC); 3) informes del repositorio (Sonova 17 % en el de Alcon)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Demant Annual Report 2025 (cifras clave 2021-2025, notas 2.1, 5.2, 5.3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https://via.ritzau.dk/ir-files/13560112/14774039/17104/Demant%20Annual%20Report%202025.pdf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en ESEF (xBRL-JSON): cuenta, balance y flujos 2024-2025, deuda a corto (ShorttermBorrowings)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Demant A/S vía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https://filings.xbrl.org/213800RM6L9LN78BVA56/2025-12-31/ESEF/DK/0/DEMANT-2025-12-31-en.json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2023 en ESEF (xBRL-JSON): 2022-2023 reexpresados, deuda a corto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https://filings.xbrl.org/213800RM6L9LN78BVA56/2023-12-31/ESEF/DK/0/DEMANT-2023-12-31-en.json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en ESEF (xBRL-JSON): 2021-2022 con implantes como actividad interrumpida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https://filings.xbrl.org/213800RM6L9LN78BVA56/2022-12-31/ESEF/DK/0/DEMANT-2022-12-31-en.json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2026 (1S26): cifras clave, cuenta, balance,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https://via.ritzau.dk/ir-files/13560112/15085908/25128/Interim%20Report%202026.pdf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2026-09: Interim Report 2026 and upgraded financial outlook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https://via.ritzau.dk/ir-files/13560112/15086142/25127/2026-09%20Interim%20Report%202026%20and%20upgraded%20financial%20outlook%20for%202026.pdf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2026-12: Upgraded financial outlook for 2026 and resumption of share buy-backs (cifras preliminares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https://via.ritzau.dk/ir-files/13560112/15199920/30935/2026-12%20Upgraded%20financial%20outlook%20for%202026%20and%20resumption%20of%20share%20buy-backs.pdf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Management Statement for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https://via.ritzau.dk/ir-files/13560112/14914364/19235/2026-08%20Interim%20Management%20Statement%20for%20Q1%202026.pdf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Management Statement for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https://via.ritzau.dk/ir-files/13560112/14655735/16520/2025-12%20Interim%20Management%20Statement%20for%20Q3%202025.pdf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2026-02: Annual Report 2025 and review of H2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https://via.ritzau.dk/ir-files/13560112/14774035/17102/2026-02%20Annual%20Report%202025%20and%20review%20of%20H2%202025.pdf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2025-13: Demant closes the acquisition of KIND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https://via.ritzau.dk/ir-files/13560112/14698764/16746/2025-13%20Demant%20closes%20the%20acquisiton%20of%20KIND.pdf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2025-15: Demant sells EPOS to ACCO 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https://via.ritzau.dk/ir-files/13560112/14735247/16877/2025-15%20Demant%20sells%20EPOS%20to%20ACCO%20Brands.pdf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news: Demant completes divestment of Oticon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https://via.ritzau.dk/ir-files/13560112/14859215/17547/Investor%20news%20-%20Demant%20completes%20divestment%20of%20Oticon%20Medical.pdf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2026 en ESEF (xBRL-JSON): balance a 30-jun-2026 (deuda a largo 10.571 M y a corto 6.337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https://filings.xbrl.org/213800RM6L9LN78BVA56/2026-06-30/ESEF/DK/0/213800RM6L9LN78BVA56-2026-06-30-1-en.json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2026-07: Completion of capital reduction (211.753.291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https://via.ritzau.dk/ir-files/13560112/14866768/17593/2026-07%20Completion%20of%20capital%20reduction.pdf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enters into agreement to sell its hearing business to Amplifon for DKK 17.0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https://www.inderes.se/en/releases/gn-store-nord-as-enters-into-agreement-to-sell-its-hearing-business-to-amplifon-spa-for-dkk-170-billion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news: Oticon announces launch of new flagship hearing aids (Oticon Reveal, Dual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https://via.ritzau.dk/ir-files/13560112/15086161/25160/Investor%20news%20-%20Demant-owned%20Oticon%20announces%20launch%20of%20new%20flagship%20hearing%20aids.pdf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Authorizes First Over-the-Counter Hearing Aid Software (Apple AirPods Pro)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https://www.fda.gov/news-events/press-announcements/fda-authorizes-first-over-counter-hearing-aid-software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Oticon Reveal launches with Dual AI for speech and surrounding sounds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HearingTracker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https://www.hearingtracker.com/news/oticon-reveal-launches-with-dual-ai-for-speech-and-surrounding-sounds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estimaciones y cuentas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estimaciones y cuentas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https://www.marketscreener.com/quote/stock/GN-STORE-NORD-A-S-1412917/finances/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Cochlear del repositorio (sector de implantes y comparables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informes/cochlear-2026-10-08/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2026-03: Changes to Demant’s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https://via.ritzau.dk/ir-files/13560112/14774063/17107/2026-03%20Changes%20to%20Demant%E2%80%99s%20Board%20of%20Directors.pdf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2026-05: Decisions of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https://via.ritzau.dk/ir-files/13560112/14821734/17324/2026-05%20Decisions%20of%20annual%20general%20meeting.pdf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2026-01: transactions with Demant shares by managers (S. Nielsen, plan de salario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https://via.ritzau.dk/ir-files/13560112/14750120/16979/2026-01%20Managers%20and%20closely%20related%20parties%20transactions%20with%20Demant%20shares.pdf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2026-06: transactions by managers (entrega de RSU a S. Nielsen y R. Schneider)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https://via.ritzau.dk/ir-files/13560112/14864943/17570/2026-06%20Managers%20and%20closely%20related%20parties%20transactions%20with%20Demant%20shares.pdf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2026-10: compra de 17.224 acciones por T. Hofman-Bang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https://via.ritzau.dk/ir-files/13560112/15090062/25556/2026-10%20Managers%20and%20closely%20associated%20parties%20transactions%20with%20Demant%20shares.pdf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2026-11: venta de 5.000 acciones por N. Wagner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https://via.ritzau.dk/ir-files/13560112/15100618/26051/2026-11%20Managers%20and%20closely%20associated%20parties%20transactions%20with%20Demant%20shares.pdf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news: Expansion of Demant’s Executive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https://via.ritzau.dk/ir-files/13560112/14915693/19258/Investor%20news%20-%20Expansion%20of%20Demant%E2%80%99s%20Executive%20Leadership%20Team.pdf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2026-04: Notice to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https://via.ritzau.dk/ir-files/13560112/14774071/17109/2026-04%20Notice%20to%20annual%20general%20meeting.pdf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DEMANT.CO, ^OMXC25 y EXV4.DE: históricos diarios (precio, rango,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https://finance.yahoo.com/quote/DEMANT.CO/history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finances (consenso 2026-2028: ventas, EBITDA, EBIT, BPA,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consensus (20 analistas, objetivo medio 334,45 DKK, máx. 429, mín. 220; cambios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R10XX): 3,48 %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(14-oct-2026: 7,4754 DKK/EUR; 1,1195 USD/EUR; 0,9330 CHF/EUR; 1,5971 AUD/EUR)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Cochlear (comparables de MarketScreener a 8-oct-2026: Sonova, Straumann)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informes/cochlear-2026-10-08/datos-v3.json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Straumann y de Coloplast (comparables de MarketScreener: Cochlear, Coloplast)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informes/coloplast-2026-10-12/datos-v2.json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to acquire KIND and significantly expand the Group’s hearing care footprint (700 M EUR libre de caja y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https://www.placera.se/pressmeddelanden/demant-demant-a-s-demant-to-acquire-kind-and-significantly-expand-the-groups-hearing-care-footprint-20250611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SOON.SW, COH.AX, STMN.SW, COLO-B.CO, AMP.MI, GN.CO: cierres diarios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2025-14: Financial calendar 2026 (IMS del 3T26 el 3-nov-2026)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https://via.ritzau.dk/ir-files/13560112/14703030/16764/2025-14%20Financial%20calendar%202026.pdf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(WILYY): news and analysis feed (transcripciones de las conferencias del 4T25 y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https://seekingalpha.com/api/sa/combined/WILYY.xml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HCA: «Red flag»: Demant opjusterer mere end analytikerne ventede (comentario con IA de HC Andersen Capital en Inderes)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 HC Andersen 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https://www.inderes.dk/analyst-comments/hca-red-flag-demant-opjusterer-mere-end-analytikerne-ventede-ai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HearingTracker: «Oticon New Product: Oticon Reveal» (más de 110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HearingTracker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https://forum.hearingtracker.com/t/-/135003/1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87,0 %</w:t>
      </w:r>
      <w:r>
        <w:t xml:space="preserve"> · Secciones con menos del 60 % de campos cubiertos: </w:t>
      </w:r>
      <w:r>
        <w:rPr>
          <w:b/>
          <w:bCs/>
        </w:rPr>
        <w:t xml:space="preserve">gobierno</w:t>
      </w:r>
      <w:r>
        <w:t xml:space="preserve"> · Generado el 14 oct 2026.</w:t>
      </w:r>
    </w:p>
    <w:p>
      <w:pPr>
        <w:pStyle w:val="Nota"/>
        <w:spacing w:after="100"/>
      </w:pPr>
      <w:r>
        <w:t xml:space="preserve">Cuentas del XBRL ESEF del regulador (filings.xbrl.org: informes de 2022, 2023, 2025 y 1S26) cotejadas con las cifras clave del informe anual 2025. El ESEF solo etiqueta como deuda financiera la deuda a largo (LongtermBorrowings): la deuda a corto (ShorttermBorrowings: 6.598 M en 2022, 1.597 M en 2023, 423 M en 2024, 1.194 M en 2025 y 6.337 M en jun-2026) se ha sumado a mano y cuadra con la nota 5.3 (17.504 + 100 = 17.604 M en 2025) [2, 4]. Cuenta de resultados de la actividad continuada: beneficio y BPA sin las actividades interrumpidas (implantes desde 2022 y EPOS desde 2024; −823 M en 2025); 2021-2022 incluyen EPOS (no reexpresados). Demant no paga dividendo (devuelve caja con recompras): DPA 0. Segmentos: un único segmento NIIF 8; se dan las ventas por área de negocio de 2024-2025. Comparables: Sonova y Straumann con los múltiplos de MarketScreener del 8-oct (informe de Cochlear del repositorio) y Cochlear y Coloplast del 12-oct (informe de Coloplast), llevados al cierre del 14-oct con la variación de precio [38, 40]; divisas al cambio del BCE del 14-oct [36]. Sentimiento: foros daneses y Reddit no accesibles.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Demant A/S (DEMANT)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354,80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(175,00 – 359,40)</c:v>
                </c:pt>
                <c:pt idx="1">
                  <c:v>Precio objetivo de los analistas (220,00 – 429,00)</c:v>
                </c:pt>
                <c:pt idx="2">
                  <c:v>Comparables: EV/EBITDA NTM (390,58 – 413,40)</c:v>
                </c:pt>
                <c:pt idx="3">
                  <c:v>Comparables: PER NTM (296,06 – 404,14)</c:v>
                </c:pt>
                <c:pt idx="4">
                  <c:v>DCF (WACC y g ± 0,5) (239,13 – 360,34)</c:v>
                </c:pt>
                <c:pt idx="5">
                  <c:v>Escenarios (bajista – alcista) (196,39 – 331,50)</c:v>
                </c:pt>
                <c:pt idx="6">
                  <c:v>DCF con la prima implícita del mercado (4,2 %)</c:v>
                </c:pt>
                <c:pt idx="7">
                  <c:v>Precio actual (354,80)</c:v>
                </c:pt>
              </c:strCache>
            </c:strRef>
          </c:cat>
          <c:val>
            <c:numRef>
              <c:f>Hoja1!$B$2:$B$9</c:f>
              <c:numCache>
                <c:formatCode>#,##0</c:formatCode>
                <c:ptCount val="8"/>
                <c:pt idx="0">
                  <c:v>175</c:v>
                </c:pt>
                <c:pt idx="1">
                  <c:v>220</c:v>
                </c:pt>
                <c:pt idx="2">
                  <c:v>390.58</c:v>
                </c:pt>
                <c:pt idx="3">
                  <c:v>296.06</c:v>
                </c:pt>
                <c:pt idx="4">
                  <c:v>239.13</c:v>
                </c:pt>
                <c:pt idx="5">
                  <c:v>196.39</c:v>
                </c:pt>
                <c:pt idx="6">
                  <c:v>329.01</c:v>
                </c:pt>
                <c:pt idx="7">
                  <c:v>353.03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(175,00 – 359,40)</c:v>
                </c:pt>
                <c:pt idx="1">
                  <c:v>Precio objetivo de los analistas (220,00 – 429,00)</c:v>
                </c:pt>
                <c:pt idx="2">
                  <c:v>Comparables: EV/EBITDA NTM (390,58 – 413,40)</c:v>
                </c:pt>
                <c:pt idx="3">
                  <c:v>Comparables: PER NTM (296,06 – 404,14)</c:v>
                </c:pt>
                <c:pt idx="4">
                  <c:v>DCF (WACC y g ± 0,5) (239,13 – 360,34)</c:v>
                </c:pt>
                <c:pt idx="5">
                  <c:v>Escenarios (bajista – alcista) (196,39 – 331,50)</c:v>
                </c:pt>
                <c:pt idx="6">
                  <c:v>DCF con la prima implícita del mercado (4,2 %)</c:v>
                </c:pt>
                <c:pt idx="7">
                  <c:v>Precio actual (354,80)</c:v>
                </c:pt>
              </c:strCache>
            </c:strRef>
          </c:cat>
          <c:val>
            <c:numRef>
              <c:f>Hoja1!$C$2:$C$9</c:f>
              <c:numCache>
                <c:formatCode>#,##0</c:formatCode>
                <c:ptCount val="8"/>
                <c:pt idx="0">
                  <c:v>184.39999999999998</c:v>
                </c:pt>
                <c:pt idx="1">
                  <c:v>209</c:v>
                </c:pt>
                <c:pt idx="2">
                  <c:v>22.819999999999993</c:v>
                </c:pt>
                <c:pt idx="3">
                  <c:v>108.07999999999998</c:v>
                </c:pt>
                <c:pt idx="4">
                  <c:v>121.20999999999998</c:v>
                </c:pt>
                <c:pt idx="5">
                  <c:v>135.11</c:v>
                </c:pt>
                <c:pt idx="6">
                  <c:v>101.36000000000001</c:v>
                </c:pt>
                <c:pt idx="7">
                  <c:v>3.5400000000000205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Hearing Aids (ventas externas)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10022</c:v>
                </c:pt>
                <c:pt idx="1">
                  <c:v>9841</c:v>
                </c:pt>
              </c:numCache>
            </c:numRef>
          </c:val>
        </c:ser>
        <c:ser>
          <c:idx val="1"/>
          <c:order val="1"/>
          <c:tx>
            <c:strRef>
              <c:f>Hoja1!$C$1</c:f>
              <c:strCache>
                <c:ptCount val="1"/>
                <c:pt idx="0">
                  <c:v>Hearing Care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9932</c:v>
                </c:pt>
                <c:pt idx="1">
                  <c:v>10724</c:v>
                </c:pt>
              </c:numCache>
            </c:numRef>
          </c:val>
        </c:ser>
        <c:ser>
          <c:idx val="2"/>
          <c:order val="2"/>
          <c:tx>
            <c:strRef>
              <c:f>Hoja1!$D$1</c:f>
              <c:strCache>
                <c:ptCount val="1"/>
                <c:pt idx="0">
                  <c:v>Diagnostics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2465</c:v>
                </c:pt>
                <c:pt idx="1">
                  <c:v>2406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Hearing Aids (ventas externas)</c:v>
                </c:pt>
                <c:pt idx="1">
                  <c:v>Hearing Care</c:v>
                </c:pt>
                <c:pt idx="2">
                  <c:v>Diagnostics</c:v>
                </c:pt>
              </c:strCache>
            </c:strRef>
          </c:cat>
          <c:val>
            <c:numRef>
              <c:f>Hoja1!$B$2:$B$4</c:f>
              <c:numCache>
                <c:formatCode>General</c:formatCode>
                <c:ptCount val="3"/>
                <c:pt idx="0">
                  <c:v>42.8</c:v>
                </c:pt>
                <c:pt idx="1">
                  <c:v>46.7</c:v>
                </c:pt>
                <c:pt idx="2">
                  <c:v>10.5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Europa</c:v>
                </c:pt>
                <c:pt idx="1">
                  <c:v>Norteamérica</c:v>
                </c:pt>
                <c:pt idx="2">
                  <c:v>Asia</c:v>
                </c:pt>
                <c:pt idx="3">
                  <c:v>Pacífico</c:v>
                </c:pt>
                <c:pt idx="4">
                  <c:v>Resto del mundo</c:v>
                </c:pt>
              </c:strCache>
            </c:strRef>
          </c:cat>
          <c:val>
            <c:numRef>
              <c:f>Hoja1!$B$2:$B$6</c:f>
              <c:numCache>
                <c:formatCode>0"%"</c:formatCode>
                <c:ptCount val="5"/>
                <c:pt idx="0">
                  <c:v>44.5</c:v>
                </c:pt>
                <c:pt idx="1">
                  <c:v>38.7</c:v>
                </c:pt>
                <c:pt idx="2">
                  <c:v>9.1</c:v>
                </c:pt>
                <c:pt idx="3">
                  <c:v>4.7</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DKK (valor minorista + diagnóstico))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138200</c:v>
                </c:pt>
                <c:pt idx="1">
                  <c:v>144400</c:v>
                </c:pt>
                <c:pt idx="2">
                  <c:v>151600</c:v>
                </c:pt>
                <c:pt idx="3">
                  <c:v>159200</c:v>
                </c:pt>
                <c:pt idx="4">
                  <c:v>167200</c:v>
                </c:pt>
                <c:pt idx="5">
                  <c:v>175500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Demant</c:v>
                </c:pt>
                <c:pt idx="1">
                  <c:v>Sonova</c:v>
                </c:pt>
                <c:pt idx="2">
                  <c:v>WS Audiology</c:v>
                </c:pt>
                <c:pt idx="3">
                  <c:v>GN Store Nord (GN Hearing)</c:v>
                </c:pt>
                <c:pt idx="4">
                  <c:v>Amplifon</c:v>
                </c:pt>
                <c:pt idx="5">
                  <c:v>Starkey</c:v>
                </c:pt>
                <c:pt idx="6">
                  <c:v>Cochlear</c:v>
                </c:pt>
              </c:strCache>
            </c:strRef>
          </c:cat>
          <c:val>
            <c:numRef>
              <c:f>Hoja1!$B$2:$B$8</c:f>
              <c:numCache>
                <c:formatCode>0.0"%"</c:formatCode>
                <c:ptCount val="7"/>
                <c:pt idx="0">
                  <c:v>17.1</c:v>
                </c:pt>
                <c:pt idx="4">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17905</c:v>
                </c:pt>
                <c:pt idx="1">
                  <c:v>19705</c:v>
                </c:pt>
                <c:pt idx="2">
                  <c:v>21601</c:v>
                </c:pt>
                <c:pt idx="3">
                  <c:v>22419</c:v>
                </c:pt>
                <c:pt idx="4">
                  <c:v>22971</c:v>
                </c:pt>
                <c:pt idx="5">
                  <c:v>26532</c:v>
                </c:pt>
                <c:pt idx="6">
                  <c:v>28389</c:v>
                </c:pt>
                <c:pt idx="7">
                  <c:v>30234</c:v>
                </c:pt>
                <c:pt idx="8">
                  <c:v>32048</c:v>
                </c:pt>
                <c:pt idx="9">
                  <c:v>33811</c:v>
                </c:pt>
                <c:pt idx="10">
                  <c:v>35501</c:v>
                </c:pt>
                <c:pt idx="11">
                  <c:v>37099</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4610</c:v>
                </c:pt>
                <c:pt idx="1">
                  <c:v>4261</c:v>
                </c:pt>
                <c:pt idx="2">
                  <c:v>5730</c:v>
                </c:pt>
                <c:pt idx="3">
                  <c:v>5740</c:v>
                </c:pt>
                <c:pt idx="4">
                  <c:v>5443</c:v>
                </c:pt>
                <c:pt idx="5">
                  <c:v>6261</c:v>
                </c:pt>
                <c:pt idx="6">
                  <c:v>7097</c:v>
                </c:pt>
                <c:pt idx="7">
                  <c:v>7740</c:v>
                </c:pt>
                <c:pt idx="8">
                  <c:v>8332</c:v>
                </c:pt>
                <c:pt idx="9">
                  <c:v>8858</c:v>
                </c:pt>
                <c:pt idx="10">
                  <c:v>9337</c:v>
                </c:pt>
                <c:pt idx="11">
                  <c:v>9757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75.2</c:v>
                </c:pt>
                <c:pt idx="1">
                  <c:v>74.4</c:v>
                </c:pt>
                <c:pt idx="2">
                  <c:v>75.6</c:v>
                </c:pt>
                <c:pt idx="3">
                  <c:v>76.2</c:v>
                </c:pt>
                <c:pt idx="4">
                  <c:v>75.6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25.7</c:v>
                </c:pt>
                <c:pt idx="1">
                  <c:v>21.6</c:v>
                </c:pt>
                <c:pt idx="2">
                  <c:v>26.5</c:v>
                </c:pt>
                <c:pt idx="3">
                  <c:v>25.6</c:v>
                </c:pt>
                <c:pt idx="4">
                  <c:v>23.7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19.8</c:v>
                </c:pt>
                <c:pt idx="1">
                  <c:v>15.7</c:v>
                </c:pt>
                <c:pt idx="2">
                  <c:v>20.5</c:v>
                </c:pt>
                <c:pt idx="3">
                  <c:v>19.2</c:v>
                </c:pt>
                <c:pt idx="4">
                  <c:v>17.1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15.1</c:v>
                </c:pt>
                <c:pt idx="1">
                  <c:v>11.5</c:v>
                </c:pt>
                <c:pt idx="2">
                  <c:v>13.1</c:v>
                </c:pt>
                <c:pt idx="3">
                  <c:v>12.9</c:v>
                </c:pt>
                <c:pt idx="4">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2">
                  <c:v>1</c:v>
                </c:pt>
                <c:pt idx="3">
                  <c:v>6</c:v>
                </c:pt>
                <c:pt idx="4">
                  <c:v>11</c:v>
                </c:pt>
                <c:pt idx="5">
                  <c:v>18</c:v>
                </c:pt>
                <c:pt idx="6">
                  <c:v>21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2">
                  <c:v>3</c:v>
                </c:pt>
                <c:pt idx="3">
                  <c:v>5</c:v>
                </c:pt>
                <c:pt idx="4">
                  <c:v>6</c:v>
                </c:pt>
                <c:pt idx="5">
                  <c:v>9</c:v>
                </c:pt>
                <c:pt idx="6">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65</c:v>
                </c:pt>
                <c:pt idx="1">
                  <c:v>67</c:v>
                </c:pt>
                <c:pt idx="2">
                  <c:v>62</c:v>
                </c:pt>
                <c:pt idx="3">
                  <c:v>58</c:v>
                </c:pt>
                <c:pt idx="4">
                  <c:v>60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194</c:v>
                </c:pt>
                <c:pt idx="1">
                  <c:v>210</c:v>
                </c:pt>
                <c:pt idx="2">
                  <c:v>197</c:v>
                </c:pt>
                <c:pt idx="3">
                  <c:v>171</c:v>
                </c:pt>
                <c:pt idx="4">
                  <c:v>171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66</c:v>
                </c:pt>
                <c:pt idx="1">
                  <c:v>63</c:v>
                </c:pt>
                <c:pt idx="2">
                  <c:v>55</c:v>
                </c:pt>
                <c:pt idx="3">
                  <c:v>45</c:v>
                </c:pt>
                <c:pt idx="4">
                  <c:v>60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2337</c:v>
                </c:pt>
                <c:pt idx="1">
                  <c:v>1084</c:v>
                </c:pt>
                <c:pt idx="2">
                  <c:v>2936</c:v>
                </c:pt>
                <c:pt idx="3">
                  <c:v>2551</c:v>
                </c:pt>
                <c:pt idx="4">
                  <c:v>2218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2696</c:v>
                </c:pt>
                <c:pt idx="1">
                  <c:v>2274</c:v>
                </c:pt>
                <c:pt idx="2">
                  <c:v>2820</c:v>
                </c:pt>
                <c:pt idx="3">
                  <c:v>2891</c:v>
                </c:pt>
                <c:pt idx="4">
                  <c:v>2368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15.3</c:v>
                </c:pt>
                <c:pt idx="1">
                  <c:v>11.8</c:v>
                </c:pt>
                <c:pt idx="2">
                  <c:v>14.8</c:v>
                </c:pt>
                <c:pt idx="3">
                  <c:v>14.3</c:v>
                </c:pt>
                <c:pt idx="4">
                  <c:v>11.1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7.7</c:v>
                </c:pt>
                <c:pt idx="1">
                  <c:v>7.7</c:v>
                </c:pt>
                <c:pt idx="2">
                  <c:v>7.7</c:v>
                </c:pt>
                <c:pt idx="3">
                  <c:v>7.7</c:v>
                </c:pt>
                <c:pt idx="4">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33.8</c:v>
                </c:pt>
                <c:pt idx="1">
                  <c:v>27.5</c:v>
                </c:pt>
                <c:pt idx="2">
                  <c:v>31.7</c:v>
                </c:pt>
                <c:pt idx="3">
                  <c:v>30.7</c:v>
                </c:pt>
                <c:pt idx="4">
                  <c:v>24.4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2.21</c:v>
                </c:pt>
                <c:pt idx="1">
                  <c:v>3.27</c:v>
                </c:pt>
                <c:pt idx="2">
                  <c:v>2.32</c:v>
                </c:pt>
                <c:pt idx="3">
                  <c:v>2.54</c:v>
                </c:pt>
                <c:pt idx="4">
                  <c:v>3.61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2027-2028</c:v>
                </c:pt>
                <c:pt idx="2">
                  <c:v>2029-2030</c:v>
                </c:pt>
                <c:pt idx="3">
                  <c:v>2031+</c:v>
                </c:pt>
              </c:strCache>
            </c:strRef>
          </c:cat>
          <c:val>
            <c:numRef>
              <c:f>Hoja1!$B$2:$B$5</c:f>
              <c:numCache>
                <c:formatCode>#,##0</c:formatCode>
                <c:ptCount val="4"/>
                <c:pt idx="0">
                  <c:v>1683</c:v>
                </c:pt>
                <c:pt idx="1">
                  <c:v>15275</c:v>
                </c:pt>
                <c:pt idx="2">
                  <c:v>702</c:v>
                </c:pt>
                <c:pt idx="3">
                  <c:v>1065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708</c:v>
                </c:pt>
                <c:pt idx="1">
                  <c:v>2323</c:v>
                </c:pt>
                <c:pt idx="2">
                  <c:v>935</c:v>
                </c:pt>
                <c:pt idx="3">
                  <c:v>1234</c:v>
                </c:pt>
                <c:pt idx="4">
                  <c:v>6285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3200</c:v>
                </c:pt>
                <c:pt idx="1">
                  <c:v>1840</c:v>
                </c:pt>
                <c:pt idx="2">
                  <c:v>846</c:v>
                </c:pt>
                <c:pt idx="3">
                  <c:v>2301</c:v>
                </c:pt>
                <c:pt idx="4">
                  <c:v>582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 externo</c:v>
                </c:pt>
              </c:strCache>
            </c:strRef>
          </c:cat>
          <c:val>
            <c:numRef>
              <c:f>Hoja1!$B$2:$B$4</c:f>
              <c:numCache>
                <c:formatCode>0</c:formatCode>
                <c:ptCount val="3"/>
                <c:pt idx="0">
                  <c:v>3</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Fundación William Demant (directamente y vía William Demant Invest)</c:v>
                </c:pt>
                <c:pt idx="1">
                  <c:v>Autocartera</c:v>
                </c:pt>
                <c:pt idx="2">
                  <c:v>Capital libre</c:v>
                </c:pt>
              </c:strCache>
            </c:strRef>
          </c:cat>
          <c:val>
            <c:numRef>
              <c:f>Hoja1!$B$2:$B$4</c:f>
              <c:numCache>
                <c:formatCode>0.0"%"</c:formatCode>
                <c:ptCount val="3"/>
                <c:pt idx="0">
                  <c:v>59</c:v>
                </c:pt>
                <c:pt idx="1">
                  <c:v>0.4</c:v>
                </c:pt>
                <c:pt idx="2">
                  <c:v>40.6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-6.5</c:v>
                </c:pt>
                <c:pt idx="1">
                  <c:v>41.3</c:v>
                </c:pt>
                <c:pt idx="2">
                  <c:v>6.6</c:v>
                </c:pt>
                <c:pt idx="3">
                  <c:v>13.5</c:v>
                </c:pt>
                <c:pt idx="4">
                  <c:v>14.7</c:v>
                </c:pt>
                <c:pt idx="5">
                  <c:v>39.3</c:v>
                </c:pt>
                <c:pt idx="6">
                  <c:v>-42.5</c:v>
                </c:pt>
                <c:pt idx="7">
                  <c:v>53.7</c:v>
                </c:pt>
                <c:pt idx="8">
                  <c:v>-10.7</c:v>
                </c:pt>
                <c:pt idx="9">
                  <c:v>-18.5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12.8</c:v>
                </c:pt>
                <c:pt idx="2">
                  <c:v>-13.2</c:v>
                </c:pt>
                <c:pt idx="3">
                  <c:v>26</c:v>
                </c:pt>
                <c:pt idx="4">
                  <c:v>33.7</c:v>
                </c:pt>
                <c:pt idx="5">
                  <c:v>17.2</c:v>
                </c:pt>
                <c:pt idx="6">
                  <c:v>-13.5</c:v>
                </c:pt>
                <c:pt idx="7">
                  <c:v>7.1</c:v>
                </c:pt>
                <c:pt idx="8">
                  <c:v>-2.4</c:v>
                </c:pt>
                <c:pt idx="9">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19.3</c:v>
                </c:pt>
                <c:pt idx="1">
                  <c:v>13.5</c:v>
                </c:pt>
                <c:pt idx="2">
                  <c:v>13.9</c:v>
                </c:pt>
                <c:pt idx="3">
                  <c:v>12.5</c:v>
                </c:pt>
                <c:pt idx="4">
                  <c:v>12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Demant</c:v>
                </c:pt>
                <c:pt idx="1">
                  <c:v>Sonova</c:v>
                </c:pt>
                <c:pt idx="2">
                  <c:v>Cochlear</c:v>
                </c:pt>
                <c:pt idx="3">
                  <c:v>Straumann</c:v>
                </c:pt>
                <c:pt idx="4">
                  <c:v>Coloplast</c:v>
                </c:pt>
                <c:pt idx="5">
                  <c:v>Amplifon</c:v>
                </c:pt>
              </c:strCache>
            </c:strRef>
          </c:cat>
          <c:val>
            <c:numRef>
              <c:f>Hoja1!$B$2:$B$7</c:f>
              <c:numCache>
                <c:formatCode>0.0"x"</c:formatCode>
                <c:ptCount val="6"/>
                <c:pt idx="0">
                  <c:v>13.5</c:v>
                </c:pt>
                <c:pt idx="1">
                  <c:v>15.1</c:v>
                </c:pt>
                <c:pt idx="2">
                  <c:v>14.6</c:v>
                </c:pt>
                <c:pt idx="3">
                  <c:v>15.7</c:v>
                </c:pt>
                <c:pt idx="4">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Demant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10.6</c:v>
                </c:pt>
              </c:numCache>
            </c:numRef>
          </c:xVal>
          <c:yVal>
            <c:numRef>
              <c:f>Hoja1!$C$2</c:f>
              <c:numCache>
                <c:formatCode>0.0"x"</c:formatCode>
                <c:ptCount val="1"/>
                <c:pt idx="0">
                  <c:v>13.5</c:v>
                </c:pt>
              </c:numCache>
            </c:numRef>
          </c:yVal>
          <c:smooth val="0"/>
        </c:ser>
        <c:ser>
          <c:idx val="1"/>
          <c:order val="1"/>
          <c:tx>
            <c:strRef>
              <c:f>Hoja1!$A$3</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c:v>
                </c:pt>
              </c:numCache>
            </c:numRef>
          </c:xVal>
          <c:yVal>
            <c:numRef>
              <c:f>Hoja1!$C$3</c:f>
              <c:numCache>
                <c:formatCode>0.0"x"</c:formatCode>
                <c:ptCount val="1"/>
                <c:pt idx="0">
                  <c:v>15.1</c:v>
                </c:pt>
              </c:numCache>
            </c:numRef>
          </c:yVal>
          <c:smooth val="0"/>
        </c:ser>
        <c:ser>
          <c:idx val="2"/>
          <c:order val="2"/>
          <c:tx>
            <c:strRef>
              <c:f>Hoja1!$A$4</c:f>
              <c:strCache>
                <c:ptCount val="1"/>
                <c:pt idx="0">
                  <c:v>Cochlear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c:v>
                </c:pt>
              </c:numCache>
            </c:numRef>
          </c:xVal>
          <c:yVal>
            <c:numRef>
              <c:f>Hoja1!$C$4</c:f>
              <c:numCache>
                <c:formatCode>0.0"x"</c:formatCode>
                <c:ptCount val="1"/>
                <c:pt idx="0">
                  <c:v>14.6</c:v>
                </c:pt>
              </c:numCache>
            </c:numRef>
          </c:yVal>
          <c:smooth val="0"/>
        </c:ser>
        <c:ser>
          <c:idx val="3"/>
          <c:order val="3"/>
          <c:tx>
            <c:strRef>
              <c:f>Hoja1!$A$5</c:f>
              <c:strCache>
                <c:ptCount val="1"/>
                <c:pt idx="0">
                  <c:v>Straumann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8.7</c:v>
                </c:pt>
              </c:numCache>
            </c:numRef>
          </c:xVal>
          <c:yVal>
            <c:numRef>
              <c:f>Hoja1!$C$5</c:f>
              <c:numCache>
                <c:formatCode>0.0"x"</c:formatCode>
                <c:ptCount val="1"/>
                <c:pt idx="0">
                  <c:v>15.7</c:v>
                </c:pt>
              </c:numCache>
            </c:numRef>
          </c:yVal>
          <c:smooth val="0"/>
        </c:ser>
        <c:ser>
          <c:idx val="4"/>
          <c:order val="4"/>
          <c:tx>
            <c:strRef>
              <c:f>Hoja1!$A$6</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7.6</c:v>
                </c:pt>
              </c:numCache>
            </c:numRef>
          </c:xVal>
          <c:yVal>
            <c:numRef>
              <c:f>Hoja1!$C$6</c:f>
              <c:numCache>
                <c:formatCode>0.0"x"</c:formatCode>
                <c:ptCount val="1"/>
                <c:pt idx="0">
                  <c:v>14.4</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GN Hearing (ReSound, Beltone)</c:v>
                </c:pt>
                <c:pt idx="1">
                  <c:v>KIND Group (≈ 650 clínicas en Alemania)</c:v>
                </c:pt>
              </c:strCache>
            </c:strRef>
          </c:cat>
          <c:val>
            <c:numRef>
              <c:f>Hoja1!$B$2:$B$3</c:f>
              <c:numCache>
                <c:formatCode>0.0"x"</c:formatCode>
                <c:ptCount val="2"/>
                <c:pt idx="0">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2633</c:v>
                </c:pt>
                <c:pt idx="1">
                  <c:v>3485</c:v>
                </c:pt>
                <c:pt idx="2">
                  <c:v>3876</c:v>
                </c:pt>
                <c:pt idx="3">
                  <c:v>4233</c:v>
                </c:pt>
                <c:pt idx="4">
                  <c:v>4553</c:v>
                </c:pt>
                <c:pt idx="5">
                  <c:v>4846</c:v>
                </c:pt>
                <c:pt idx="6">
                  <c:v>5104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20945</c:v>
                </c:pt>
                <c:pt idx="1">
                  <c:v>57701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354,80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196.39</c:v>
                </c:pt>
                <c:pt idx="1">
                  <c:v>289.16</c:v>
                </c:pt>
                <c:pt idx="2">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354,80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(175,00 – 359,40)</c:v>
                </c:pt>
                <c:pt idx="1">
                  <c:v>Precio objetivo de los analistas (220,00 – 429,00)</c:v>
                </c:pt>
                <c:pt idx="2">
                  <c:v>Comparables: EV/EBITDA NTM (390,58 – 413,40)</c:v>
                </c:pt>
                <c:pt idx="3">
                  <c:v>Comparables: PER NTM (296,06 – 404,14)</c:v>
                </c:pt>
                <c:pt idx="4">
                  <c:v>DCF (WACC y g ± 0,5) (239,13 – 360,34)</c:v>
                </c:pt>
                <c:pt idx="5">
                  <c:v>Escenarios (bajista – alcista) (196,39 – 331,50)</c:v>
                </c:pt>
                <c:pt idx="6">
                  <c:v>DCF con la prima implícita del mercado (4,2 %)</c:v>
                </c:pt>
                <c:pt idx="7">
                  <c:v>Precio actual (354,80)</c:v>
                </c:pt>
              </c:strCache>
            </c:strRef>
          </c:cat>
          <c:val>
            <c:numRef>
              <c:f>Hoja1!$B$2:$B$9</c:f>
              <c:numCache>
                <c:formatCode>#,##0</c:formatCode>
                <c:ptCount val="8"/>
                <c:pt idx="0">
                  <c:v>175</c:v>
                </c:pt>
                <c:pt idx="1">
                  <c:v>220</c:v>
                </c:pt>
                <c:pt idx="2">
                  <c:v>390.58</c:v>
                </c:pt>
                <c:pt idx="3">
                  <c:v>296.06</c:v>
                </c:pt>
                <c:pt idx="4">
                  <c:v>239.13</c:v>
                </c:pt>
                <c:pt idx="5">
                  <c:v>196.39</c:v>
                </c:pt>
                <c:pt idx="6">
                  <c:v>329.01</c:v>
                </c:pt>
                <c:pt idx="7">
                  <c:v>353.03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(175,00 – 359,40)</c:v>
                </c:pt>
                <c:pt idx="1">
                  <c:v>Precio objetivo de los analistas (220,00 – 429,00)</c:v>
                </c:pt>
                <c:pt idx="2">
                  <c:v>Comparables: EV/EBITDA NTM (390,58 – 413,40)</c:v>
                </c:pt>
                <c:pt idx="3">
                  <c:v>Comparables: PER NTM (296,06 – 404,14)</c:v>
                </c:pt>
                <c:pt idx="4">
                  <c:v>DCF (WACC y g ± 0,5) (239,13 – 360,34)</c:v>
                </c:pt>
                <c:pt idx="5">
                  <c:v>Escenarios (bajista – alcista) (196,39 – 331,50)</c:v>
                </c:pt>
                <c:pt idx="6">
                  <c:v>DCF con la prima implícita del mercado (4,2 %)</c:v>
                </c:pt>
                <c:pt idx="7">
                  <c:v>Precio actual (354,80)</c:v>
                </c:pt>
              </c:strCache>
            </c:strRef>
          </c:cat>
          <c:val>
            <c:numRef>
              <c:f>Hoja1!$C$2:$C$9</c:f>
              <c:numCache>
                <c:formatCode>#,##0</c:formatCode>
                <c:ptCount val="8"/>
                <c:pt idx="0">
                  <c:v>184.39999999999998</c:v>
                </c:pt>
                <c:pt idx="1">
                  <c:v>209</c:v>
                </c:pt>
                <c:pt idx="2">
                  <c:v>22.819999999999993</c:v>
                </c:pt>
                <c:pt idx="3">
                  <c:v>108.07999999999998</c:v>
                </c:pt>
                <c:pt idx="4">
                  <c:v>121.20999999999998</c:v>
                </c:pt>
                <c:pt idx="5">
                  <c:v>135.11</c:v>
                </c:pt>
                <c:pt idx="6">
                  <c:v>101.36000000000001</c:v>
                </c:pt>
                <c:pt idx="7">
                  <c:v>3.5400000000000205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