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Sika AG</w:t>
      </w:r>
    </w:p>
    <w:p>
      <w:pPr>
        <w:spacing w:after="60"/>
        <w:rPr>
          <w:color w:val="52514E"/>
          <w:sz w:val="22"/>
          <w:szCs w:val="22"/>
        </w:rPr>
      </w:pPr>
      <w:r>
        <w:rPr>
          <w:color w:val="52514E"/>
          <w:sz w:val="22"/>
          <w:szCs w:val="22"/>
        </w:rPr>
        <w:t xml:space="preserve">SIKA · SIX Swiss Exchange · ISIN CH0418792922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185,35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232,42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+27,4 % (base +29,0 %)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174,92 CHF · mercado 221,27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29.745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Sika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SIKA / CH0418792922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Química (especialidades para la construcción)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Baar (Zug) · 1910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www.sika.com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185,35 (29 sep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120,35 – 197,60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29.745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35.200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232,42 CHF</w:t>
      </w:r>
      <w:r>
        <w:t xml:space="preserve"> frente a 185,35 · Rentabilidad a 12 meses </w:t>
      </w:r>
      <w:r>
        <w:rPr>
          <w:b/>
          <w:bCs/>
        </w:rPr>
        <w:t xml:space="preserve">+27,4 % (base +29,0 %)</w:t>
      </w:r>
      <w:r>
        <w:t xml:space="preserve"> · Valor intrínseco 174,92 CHF · con la prima implícita del mercado: 221,27 (+19,4 %) · Alcista / bajista +14,2 % / -33,0 %</w:t>
      </w:r>
    </w:p>
    <w:p>
      <w:pPr>
        <w:spacing w:after="100"/>
      </w:pPr>
      <w:r>
        <w:rPr>
          <w:b/>
        </w:rPr>
        <w:t xml:space="preserve">La recomendación y por qué.</w:t>
      </w:r>
      <w:r>
        <w:t xml:space="preserve"> Mantener, con convicción baja. Con nuestro BPA y la regla de múltiplos v3, el objetivo a 12 meses es de 232,42 CHF frente a 185,35 CHF (último precio fechado, 29 de septiembre): +27,4 % con el dividendo, y +29,0 % en el caso base. Pero el valor intrínseco es de 174,92 CHF (−5,6 %), por debajo del precio, así que la regla no da Comprar; el objetivo medio de los analistas (197,36 CHF) queda entre los dos. Toda la subida a 12 meses viene del múltiplo: Sika cotiza a 23,6 veces nuestro BPA de 2027e frente a una mediana de 31 veces en cinco años. La convicción es baja porque las dos reglas del valor intrínseco discrepan (Mantener con nuestro WACC, Comprar con la prima del mercado) y porque el precio y el balance salen de agregadores; subiría si el 23 de octubre el crecimiento orgánico del tercer trimestre supera el 4 % y el precio baja de 175 CHF.</w:t>
      </w:r>
    </w:p>
    <w:p>
      <w:pPr>
        <w:spacing w:after="100"/>
      </w:pPr>
      <w:r>
        <w:rPr>
          <w:b/>
        </w:rPr>
        <w:t xml:space="preserve">El negocio.</w:t>
      </w:r>
      <w:r>
        <w:t xml:space="preserve"> Sika es el mayor grupo mundial de química de construcción (≈17 % de un mercado de ≈66.000 M CHF) [19], con poder de precio demostrado en 2022 y un margen EBITDA del 18-19 % [1, 10]. El ROIC del motor (10,3 %, con el fondo de comercio de MBCC dentro) supera al WACC (6,63 %) en 3,7 puntos, menos de lo que exigimos a un negocio de calidad. Sostenibilidad del crecimiento: </w:t>
      </w:r>
      <w:r>
        <w:rPr>
          <w:b/>
        </w:rPr>
        <w:t xml:space="preserve">en parte</w:t>
      </w:r>
      <w:r>
        <w:t xml:space="preserve">; el foso sostiene el crecimiento del mercado (≈4-5 %), pero el crecimiento orgánico de 2024-2025 fue casi nulo y rebajamos el base medio punto en 2027-2029.</w:t>
      </w:r>
    </w:p>
    <w:p>
      <w:pPr>
        <w:spacing w:after="100"/>
      </w:pPr>
      <w:r>
        <w:rPr>
          <w:b/>
        </w:rPr>
        <w:t xml:space="preserve">Finanzas.</w:t>
      </w:r>
      <w:r>
        <w:t xml:space="preserve"> Las ventas de 2025 cayeron un 4,8 % en francos (+0,6 % en moneda local) y el margen publicado bajó al 18,4 % por 86 M de costes de Fast Forward [1]. El 1S26 marca la vuelta del volumen (+5,7 % orgánico en el 2T), con la guía de ventas subida al 3-6 % y la de margen bajada al 19,0-19,5 % [3]. La caja libre operativa es de ≈1.350 M al año (12,1 % de las ventas) y la deuda neta ronda 2,3-2,6 veces el EBITDA [1, 7, 8].</w:t>
      </w:r>
    </w:p>
    <w:p>
      <w:pPr>
        <w:spacing w:after="100"/>
      </w:pPr>
      <w:r>
        <w:rPr>
          <w:b/>
        </w:rPr>
        <w:t xml:space="preserve">Equipo y gobierno.</w:t>
      </w:r>
      <w:r>
        <w:t xml:space="preserve"> Una sola clase de acciones, sin accionista de control, presidente y consejero delegado separados y un 96,89 % de apoyo al informe de remuneración [27, 31]. Resta la guía incumplida de 2025 [34].</w:t>
      </w:r>
    </w:p>
    <w:p>
      <w:pPr>
        <w:spacing w:after="100"/>
      </w:pPr>
      <w:r>
        <w:rPr>
          <w:b/>
        </w:rPr>
        <w:t xml:space="preserve">Valoración.</w:t>
      </w:r>
      <w:r>
        <w:t xml:space="preserve"> El DCF da 176,88 CHF (235,66 con la prima implícita del mercado). El DCF inverso pide un crecimiento del 4,3 % anual frente a nuestro 3,7 %, o un margen del 21,7 % frente a nuestro 21 %: el precio ya cuenta con la recuperación y con un margen por encima del máximo histórico (19,3 %). Los comparables cotizan a 21,7 veces el beneficio de los próximos 12 meses (Sika, 23,1). Nuestro BPA de 2028e (8,72 CHF) está un 3,5 % por debajo del consenso (9,04) [38]; la distancia con los analistas está en el múltiplo, no en el beneficio.</w:t>
      </w:r>
    </w:p>
    <w:p>
      <w:pPr>
        <w:spacing w:after="100"/>
      </w:pPr>
      <w:r>
        <w:rPr>
          <w:b/>
        </w:rPr>
        <w:t xml:space="preserve">Riesgos y catalizadores.</w:t>
      </w:r>
      <w:r>
        <w:t xml:space="preserve"> El mayor riesgo es el volumen: si China y Europa vuelven a frenarse, el bajista vale 124,12 CHF (−33,0 %) y a 12 meses 160,49 CHF (−11,4 %). Le siguen el margen y el franco. El catalizador inmediato son las ventas de nueve meses del 23 de octubre [40]; los analistas esperan un tercer trimestre más lento [42]. Los foros están divididos y mejorando, sin extremos.</w:t>
      </w:r>
    </w:p>
    <w:p>
      <w:pPr>
        <w:spacing w:after="100"/>
      </w:pPr>
      <w:r>
        <w:rPr>
          <w:b/>
        </w:rPr>
        <w:t xml:space="preserve">Qué cambiaría la decisión.</w:t>
      </w:r>
      <w:r>
        <w:t xml:space="preserve"> Compraríamos por debajo de 174,92 CHF (valor intrínseco), con la ponderada a 12 meses por encima del 15 %; venderíamos por encima de 262,35 CHF. Un orgánico del 3T26 por debajo del 3 % o un margen de 2026 bajo el 19 % rebajaría el base; un margen de 2027 por encima del 20 % subiría el valor intrínseco sobre el precio. Antes de cualquier compra hay que confirmar con fuente primaria el precio de cierre, el balance de junio y las pensiones.</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232,42 CHF</w:t>
      </w:r>
      <w:r>
        <w:t xml:space="preserve"> (rentabilidad +27,4 % (base +29,0 %)) · Valor intrínseco: 174,92 CHF (-5,6 % sobre 185,35) · con la prima implícita del mercado: 221,27 (+19,4 %)</w:t>
      </w:r>
    </w:p>
    <w:p>
      <w:pPr>
        <w:spacing w:after="100"/>
      </w:pPr>
      <w:r>
        <w:t xml:space="preserve">Sika es la referencia mundial en química de construcción: aditivos, impermeabilización y selladores que pesan poco en el coste de una obra y mucho en su riesgo, lo que le da poder de precio y un margen EBITDA del 18-19 % [1, 10]. Tras comprar MBCC en 2023, tiene ≈17 % de un mercado que crece un 4-5 % anual [15, 19].</w:t>
      </w:r>
    </w:p>
    <w:p>
      <w:pPr>
        <w:spacing w:after="100"/>
      </w:pPr>
      <w:r>
        <w:t xml:space="preserve">A 185,35 CHF, el DCF inverso descuenta un crecimiento del 4,3 % anual y un margen del 21,7 %, por encima del máximo histórico: el precio ya cuenta con la recuperación del volumen. Por múltiplo, en cambio, cotiza a 23,6 veces el beneficio de 2027e, frente a 31 veces de mediana adelantada en los cinco últimos años, tras caer un 21 % en 2024 y un 23,6 % en 2025 [33].</w:t>
      </w:r>
    </w:p>
    <w:p>
      <w:pPr>
        <w:spacing w:after="100"/>
      </w:pPr>
      <w:r>
        <w:t xml:space="preserve">Para invertir hay que creer que el +5,7 % orgánico del 2T26 no es un rebote [3] y que Fast Forward llevará el margen hacia el 20-21 %. Si eso pasa, el mercado volverá a pagarle parte de su prima y el beneficio crecerá ≈10 % al año. Si no, el ROIC del ≈10 % no justifica más de 22-24 veces.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 × 7,43 = 160,49 · 27,0x × 8,72 = 235,44 · 31,4x × 9,50 = 298,30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 29,0 %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197,36 (nuestro base +19,3 %)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174,92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 / -33,0 %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6,6 % y 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221,27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174,92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174,92 y 262,35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262,35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174,92 CHF con la ponderada a 12 meses ≥ 15 % y los datos confirmados con fuente primaria: Comprar.</w:t>
      </w:r>
    </w:p>
    <w:p>
      <w:pPr>
        <w:pStyle w:val="ListParagraph"/>
        <w:numPr>
          <w:ilvl w:val="0"/>
          <w:numId w:val="2"/>
        </w:numPr>
        <w:spacing w:after="60"/>
      </w:pPr>
      <w:r>
        <w:t xml:space="preserve">Precio por encima de 262,35 CHF: Vender o reducir.</w:t>
      </w:r>
    </w:p>
    <w:p>
      <w:pPr>
        <w:pStyle w:val="ListParagraph"/>
        <w:numPr>
          <w:ilvl w:val="0"/>
          <w:numId w:val="2"/>
        </w:numPr>
        <w:spacing w:after="60"/>
      </w:pPr>
      <w:r>
        <w:t xml:space="preserve">Crecimiento orgánico del 3T26 por debajo del 3 %: revisar el base a la baja (el objetivo bajaría ≈5-8 %).</w:t>
      </w:r>
    </w:p>
    <w:p>
      <w:pPr>
        <w:pStyle w:val="ListParagraph"/>
        <w:numPr>
          <w:ilvl w:val="0"/>
          <w:numId w:val="2"/>
        </w:numPr>
        <w:spacing w:after="60"/>
      </w:pPr>
      <w:r>
        <w:t xml:space="preserve">Margen EBITDA de 2026 por debajo del 19 % o guía de 2027 por debajo del 19,5 %: bajar el margen del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crecimiento orgánico de 2026 se mantiene en el 4-5 % y que el margen llega al ≈21-22 % a medio plazo: el DCF inverso pide un 4,3 % de crecimiento o un 21,7 % de margen. Los analistas, con objetivos de 197 CHF de media, aplican un PER de 22-25 veces al beneficio de 2027-2028.</w:t>
      </w:r>
    </w:p>
    <w:p>
      <w:pPr>
        <w:keepNext/>
        <w:spacing w:after="100"/>
      </w:pPr>
      <w:r>
        <w:rPr>
          <w:b/>
          <w:bCs/>
        </w:rPr>
        <w:t xml:space="preserve">Lo que creemos nosotros.</w:t>
      </w:r>
    </w:p>
    <w:p>
      <w:pPr>
        <w:spacing w:after="100"/>
      </w:pPr>
      <w:r>
        <w:t xml:space="preserve">Coincidimos con el beneficio (8,72 CHF en 2028e, un 3,5 % menos que el consenso) y somos algo más prudentes con el crecimiento. Discrepamos en el múltiplo: la regla común lleva el PER a medio camino de su historia (27 veces), lo que da 235 CHF en el base.</w:t>
      </w:r>
    </w:p>
    <w:p>
      <w:pPr>
        <w:keepNext/>
        <w:spacing w:after="100"/>
      </w:pPr>
      <w:r>
        <w:rPr>
          <w:b/>
          <w:bCs/>
        </w:rPr>
        <w:t xml:space="preserve">Por qué podemos tener razón.</w:t>
      </w:r>
    </w:p>
    <w:p>
      <w:pPr>
        <w:spacing w:after="100"/>
      </w:pPr>
      <w:r>
        <w:t xml:space="preserve">Las acciones de calidad que cotizan muy por debajo de su PER adelantado histórico recuperan de mediana parte del descuento en un año (backtest del método). Pero en Sika parte del descuento es estructural (ROIC más bajo tras MBCC, tipos suizos positivos), y por eso no basta para comprar sin que el valor intrínseco acompañe.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18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Vuelta del volumen</w:t>
      </w:r>
      <w:r>
        <w:t xml:space="preserve">: +5,7 % orgánico en el 2T26 y guía de ventas subida al 3-6 % en moneda local [3].</w:t>
      </w:r>
    </w:p>
    <w:p>
      <w:pPr>
        <w:pStyle w:val="ListParagraph"/>
        <w:numPr>
          <w:ilvl w:val="0"/>
          <w:numId w:val="2"/>
        </w:numPr>
        <w:spacing w:after="60"/>
      </w:pPr>
      <w:r>
        <w:rPr>
          <w:b/>
        </w:rPr>
        <w:t xml:space="preserve">Múltiplo bajo frente a su historia</w:t>
      </w:r>
      <w:r>
        <w:t xml:space="preserve">: 23,6 veces el BPA de 2027e frente a 31 de mediana adelantada en cinco años.</w:t>
      </w:r>
    </w:p>
    <w:p>
      <w:pPr>
        <w:pStyle w:val="ListParagraph"/>
        <w:numPr>
          <w:ilvl w:val="0"/>
          <w:numId w:val="2"/>
        </w:numPr>
        <w:spacing w:after="60"/>
      </w:pPr>
      <w:r>
        <w:rPr>
          <w:b/>
        </w:rPr>
        <w:t xml:space="preserve">Caja libre sólida</w:t>
      </w:r>
      <w:r>
        <w:t xml:space="preserve">: 1.356 M CHF en 2025, el 12,1 % de las ventas [1].</w:t>
      </w:r>
    </w:p>
    <w:p>
      <w:pPr>
        <w:pStyle w:val="ListParagraph"/>
        <w:numPr>
          <w:ilvl w:val="0"/>
          <w:numId w:val="2"/>
        </w:numPr>
        <w:spacing w:after="60"/>
      </w:pPr>
      <w:r>
        <w:rPr>
          <w:b/>
        </w:rPr>
        <w:t xml:space="preserve">Líder mundial con poder de precio</w:t>
      </w:r>
      <w:r>
        <w:t xml:space="preserve">: ≈17 % del mercado y margen estable con la inflación de 2022 [10, 19].</w:t>
      </w:r>
    </w:p>
    <w:p>
      <w:pPr>
        <w:pStyle w:val="ListParagraph"/>
        <w:numPr>
          <w:ilvl w:val="0"/>
          <w:numId w:val="2"/>
        </w:numPr>
        <w:spacing w:after="60"/>
      </w:pPr>
      <w:r>
        <w:rPr>
          <w:b/>
        </w:rPr>
        <w:t xml:space="preserve">Analistas al alza</w:t>
      </w:r>
      <w:r>
        <w:t xml:space="preserve">: objetivos subidos por JPMorgan (215), Berenberg (240) y Jefferies (215) [42, 53].</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174,92 CHF, −5,6 %.</w:t>
      </w:r>
    </w:p>
    <w:p>
      <w:pPr>
        <w:pStyle w:val="ListParagraph"/>
        <w:numPr>
          <w:ilvl w:val="0"/>
          <w:numId w:val="2"/>
        </w:numPr>
        <w:spacing w:after="60"/>
      </w:pPr>
      <w:r>
        <w:rPr>
          <w:b/>
        </w:rPr>
        <w:t xml:space="preserve">ROIC de solo 3,7 puntos sobre el WACC</w:t>
      </w:r>
      <w:r>
        <w:t xml:space="preserve"> (10,3 % frente a 6,63 %) tras MBCC.</w:t>
      </w:r>
    </w:p>
    <w:p>
      <w:pPr>
        <w:pStyle w:val="ListParagraph"/>
        <w:numPr>
          <w:ilvl w:val="0"/>
          <w:numId w:val="2"/>
        </w:numPr>
        <w:spacing w:after="60"/>
      </w:pPr>
      <w:r>
        <w:rPr>
          <w:b/>
        </w:rPr>
        <w:t xml:space="preserve">Guía de margen rebajada</w:t>
      </w:r>
      <w:r>
        <w:t xml:space="preserve"> al 19,0-19,5 % en julio pese a los 80 M de ahorro de Fast Forward [3].</w:t>
      </w:r>
    </w:p>
    <w:p>
      <w:pPr>
        <w:pStyle w:val="ListParagraph"/>
        <w:numPr>
          <w:ilvl w:val="0"/>
          <w:numId w:val="2"/>
        </w:numPr>
        <w:spacing w:after="60"/>
      </w:pPr>
      <w:r>
        <w:rPr>
          <w:b/>
        </w:rPr>
        <w:t xml:space="preserve">Franco y China</w:t>
      </w:r>
      <w:r>
        <w:t xml:space="preserve">: −5,5 puntos de divisa en el 1S26 y Asia/Pacífico −5,3 % en moneda local en 2025 [3, 18].</w:t>
      </w:r>
    </w:p>
    <w:p>
      <w:pPr>
        <w:pStyle w:val="ListParagraph"/>
        <w:numPr>
          <w:ilvl w:val="0"/>
          <w:numId w:val="2"/>
        </w:numPr>
        <w:spacing w:after="60"/>
      </w:pPr>
      <w:r>
        <w:rPr>
          <w:b/>
        </w:rPr>
        <w:t xml:space="preserve">Datos de baja confianza</w:t>
      </w:r>
      <w:r>
        <w:t xml:space="preserve">: precio del 29-sep y balance de agregadores.</w:t>
      </w:r>
    </w:p>
    <w:p>
      <w:pPr>
        <w:pStyle w:val="Heading2"/>
      </w:pPr>
      <w:r>
        <w:t xml:space="preserve">Qué tiene que pasar para que la tesis funcione</w:t>
      </w:r>
    </w:p>
    <w:p>
      <w:pPr>
        <w:spacing w:after="100"/>
      </w:pPr>
      <w:r>
        <w:t xml:space="preserve">La tesis depende de que el volumen siga creciendo al 2,5-3 % y el margen suba hacia el 20 % en 2027. La señal de que no se cumple sería un crecimiento orgánico del 3T26 (23-oct) por debajo del 3 % o una guía de margen para 2027 por debajo del 19,5 %. Si el precio baja de 175 CHF con la tesis intacta, pasaría a Comprar (con los datos confirmados).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necesita 2,5-3 % de volumen y 2 %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19,0 % 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Supuesto más exigente del DCF.</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divisa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 directamente al BPA en francos.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operativa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 y capacidad de bajar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partir de ahí la tesis de múltiplo se agota.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 / 15,2x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28,6x / 23,1x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Sika nació en 1910 en Zúrich con un aditivo impermeabilizante para mortero y hoy es el mayor grupo mundial de química de construcción: aditivos de hormigón, impermeabilización, selladores, adhesivos, cubiertas y morteros, con 11.201 M CHF de ventas en 2025 [1]. La familia Burkard la controló con acciones de voto múltiple hasta 2018, cuando terminó la disputa con Saint-Gobain, que había pactado comprar su participación; Sika pasó a una sola clase de acciones [24]. Desde entonces ha crecido por compras grandes: Parex en 2019 y MBCC (la antigua química de construcción de BASF) en 2023, por 5.500 M CHF de valor empresa [15]. En 2025, con ventas planas en moneda local y China en contracción, lanzó el programa de eficiencia Fast Forward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Kaspar Winkler funda la empresa en Zúrich con un impermeabilizante de mortero (Sika-1)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Disputa por el control con Saint-Gobain, que pactó comprar la participación de la familia Burkard; termina en 2018 con la recompra y el fin de las acciones de doble voto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1:60 y una sola clase de acciones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Parex (Francia, morteros), ≈2.500 M CHF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MBCC Group a Lone Star (VE de 5.500 M CHF; 11,5x el EBITDA 2022e)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eficiencia Fast Forward (108 M CHF de costes únicos) tras un año de ventas planas y China en caída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Akkim (Turquía), con cierre previsto en el 3T26; mejora de la guía de crecimiento [26].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Sika fabrica y vende productos químicos para construir y reparar edificios e infraestructuras: aditivos para hormigón y cemento, impermeabilización de sótanos, túneles y cubiertas, selladores y adhesivos de construcción, morteros técnicos y suelos, además de adhesivos para automoción e industria (Global Business). Vende a contratistas, fabricantes de hormigón, distribuidores de material de construcción y fabricantes industriales en más de cien países, con producción local en cada región porque el producto pesa y viaja mal. En 2025 EMEA supuso el 44,9 % de las ventas, Américas el 34,6 % y Asia/Pacífico el 20,5 % [13]. La reforma y renovación pesa en torno a la mitad de la demanda, lo que suaviza el ciclo de obra nueva.</w:t>
      </w:r>
    </w:p>
    <w:p>
      <w:pPr>
        <w:pStyle w:val="Heading2"/>
      </w:pPr>
      <w:r>
        <w:t xml:space="preserve">Cómo gana dinero</w:t>
      </w:r>
    </w:p>
    <w:p>
      <w:pPr>
        <w:spacing w:after="100"/>
      </w:pPr>
      <w:r>
        <w:t xml:space="preserve">Los productos de Sika suponen una parte pequeña del coste de una obra pero un riesgo alto si fallan (filtraciones, fisuras), así que el cliente paga por la especificación y la asistencia técnica más que por el precio. Eso da poder de precio: Sika repercutió la inflación de materias primas de 2021-2022 y mantuvo el margen EBITDA en torno al 18-19 % [1, 11]. El margen depende de las materias primas (derivados del petróleo, cemento), de la mezcla (impermeabilización y cubiertas, más rentables) y del volumen, con apalancamiento operativo moderado. La divisa resta: el franco fuerte quitó 5,4 puntos de crecimiento en 2025 y 5,5 en el 1S26 [1, 3]. El segundo y tercer trimestre son los más fuertes por la estacionalidad de la construcción.</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Asia/Pacífico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Asia/Pacífico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Cartera muy atomizada: decenas de miles de contratistas, distribuidores y fabricantes de hormigón; ningún cliente es relevante en las ventas según la empresa. Los contratos de suministro de aditivos a hormigoneras se renuevan cada año y los costes de cambio vienen de la especificación del proyecto y de la formulación ajustada a cada planta. Poder de precio demostrado: en 2022, con inflación de materias primas, las ventas crecieron un 15,8 % en moneda local y el EBIT un 13,5 % con margen estable en el 15,1 % [10]. En 2025-2026, con volúmenes flojos, el precio aporta poco (≈1-2 puntos) y el crecimiento depende del volumen.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11.201 (2025); 5.590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en CHF; +0,6 % en moneda local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de −5,4 % en 2025 y −5,5 % en el 1S26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 (2025, est.)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(1S26); +5,7 %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aceleración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2T26 fue el mejor trimestre orgánico desde 2024 [3,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 publicado / 19,2 % sin Fast Forward (2025); 19,0 %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pb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108 M CHF de costes únicos de Fast Forward en 2025 (86 M dentro del EBITDA)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operativa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12,1 % de las ventas (11,9 % en 2024); 139,6 M en el 1S26 frente a 181,9 M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Ahorros de Fast Forward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M CHF previstos en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plazo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eficiencia lanzado en 2025 que se paga en menos de dos años [1, 3].</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la química de construcción mundial: aditivos de hormigón y cemento, impermeabilización, selladores y adhesivos, morteros y revestimientos técnicos. Usamos la cifra de ResearchAndMarkets (82.548 M USD en 2025 y 101.889 M USD en 2030, +4,3 % anual) [19] porque Fortune Business Insights (91.850 M USD en 2025 y +6,9 % anual) [20] y Mordor (90.650 M USD en 2026 y +5,5 %) [21] incluyen más revestimientos generales. Convertida a 0,80 CHF/USD, unos 66.000 M CHF en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≈82.500 M USD en 2025 (≈66.000 M CHF), según ResearchAndMarkets [19]; Fortune Business Insights da 91.850 M USD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HF (a 0,80 CHF/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y rehabilitación energética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torno a la mitad de la demanda de Sika; menos cíclica que la obra nueva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Infraestructura en EE. UU. y Europa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BofA mejoró la recomendación en 2026 citando los centros de datos [25]; Américas creció un 2,2 % en moneda local en 2025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cayó un 5,3 % en moneda local en 2025 y China sigue en contracción de dos dígitos [18,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aditivos y química en mercados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crece un 4,3-6,9 % anual según la fuente, por encima de la construcción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y vivienda nueva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EMEA pasó de +7,3 % en 2024 a +2,2 % en 2025 en moneda local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grandes globales (Sika y Saint-Gobain, que compró Chryso, GCP y Fosroc) frente a muchos locales; competencia por especificación más que por precio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y producto de coste pequeño frente al de la obra; las grandes hormigoneras negocian precio cada año.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petroquímicas y cemento; Sika repercutió la inflación de 2022 con margen estable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red técnica, homologaciones y producción local en decenas de países; la consolidación ha ido en sentido contrario (MBCC, GCP, Fosroc) [15,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sustitutos funcionales; el riesgo es tecnológico (cementos con menos clínker que cambian la formulación), que Sika aprovecha con aditivos.</w:t>
            </w:r>
          </w:p>
        </w:tc>
      </w:tr>
    </w:tbl>
    <w:p>
      <w:pPr>
        <w:spacing w:after="160" w:before="0"/>
      </w:pPr>
    </w:p>
    <w:p>
      <w:pPr>
        <w:pStyle w:val="Heading2"/>
      </w:pPr>
      <w:r>
        <w:t xml:space="preserve">Ciclo</w:t>
      </w:r>
    </w:p>
    <w:p>
      <w:pPr>
        <w:spacing w:after="100"/>
      </w:pPr>
      <w:r>
        <w:t xml:space="preserve">El crecimiento orgánico pasó de casi cero en 2025 a +5,7 % en el 2T26 y la empresa subió su guía al 3-6 % en moneda local [3]. En 2009 las ventas de Sika cayeron alrededor de un 11 % y en 2020 un 3 % en francos, con recuperación al año siguiente; 2022-2023 fue de precios altos y 2024-2025 de volúmenes flojos en Europa y China. Los analistas esperan un tercer trimestre más lento por volumen [42].</w:t>
      </w:r>
    </w:p>
    <w:p>
      <w:pPr>
        <w:pStyle w:val="Heading2"/>
      </w:pPr>
      <w:r>
        <w:t xml:space="preserve">Regulación</w:t>
      </w:r>
    </w:p>
    <w:p>
      <w:pPr>
        <w:spacing w:after="100"/>
      </w:pPr>
      <w:r>
        <w:t xml:space="preserve">Las normas de eficiencia energética de los edificios (la Directiva europea de eficiencia energética de edificios refundida en 2024) y los objetivos de descarbonización del cemento empujan la demanda de impermeabilización, aislamiento de cubiertas y aditivos que reducen el clínker. La regulación química europea (REACH) y las restricciones a los isocianatos exigen reformular selladores y adhesivos, con coste pero también barrera de entrada. No hay cambios con fecha que muevan las cifras a 12 meses.</w:t>
      </w:r>
    </w:p>
    <w:p>
      <w:pPr>
        <w:pStyle w:val="Heading2"/>
      </w:pPr>
      <w:r>
        <w:t xml:space="preserve">Tendencias y disrupción</w:t>
      </w:r>
    </w:p>
    <w:p>
      <w:pPr>
        <w:spacing w:after="100"/>
      </w:pPr>
      <w:r>
        <w:t xml:space="preserve">Tres tendencias favorecen a Sika: la descarbonización del hormigón (más aditivos por metro cúbico para bajar el clínker), la rehabilitación energética y la automatización de la obra (sistemas listos para aplicar). En contra: el giro de la vivienda china y la consolidación de Saint-Gobain como segundo competidor global tras comprar Chryso, GCP y Fosroc [22]. Sika gana con las dos primeras porque tiene la mayor cartera de aditivos tras MBCC [15].</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química de construcción tras comprar MBCC (la antigua división de BASF) en 2023; Saint-Gobain es el n.º 2 tras sumar Chryso, GCP y Fosroc [15, 19,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Saint-Gobain (Construction Chemicals)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SGO</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Chryso (2021), GCP (2022) y Fosroc (2025, ≈1.025 M USD): el rival que más ha crecido por compras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Holcim (Solutions &amp; Products)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Cubiertas y aislamiento (Firestone Building Products, Elevate); compite en impermeabilización de cubiertas.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RPM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RPM</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Tremco y Euclid: selladores, impermeabilización y aditivos en Norteamérica.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Mapei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fuerte en adhesivos cerámicos y morteros;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Henkel (Adhesive Technologies, Ceresit)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adhesivos industriales y morteros de consumo.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especificadores y aplicadores formados por Sika;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Formulación ajustada a cada planta de hormigón y especificación en proyecto; cambiar exige nuevas pruebas y homologaciones.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referencia en impermeabilización y selladores; margen EBITDA del 18-19 % mantenido con la inflación de 2022 [A10,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escala de compras tras MBCC (sinergias de 160-180 M previstas) [A15].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más de cien países que un entrante no puede replicar a coste razonable.</w:t>
            </w:r>
          </w:p>
        </w:tc>
      </w:tr>
    </w:tbl>
    <w:p>
      <w:pPr>
        <w:spacing w:after="160" w:before="0"/>
      </w:pPr>
    </w:p>
    <w:p>
      <w:pPr>
        <w:pStyle w:val="Heading2"/>
      </w:pPr>
      <w:r>
        <w:t xml:space="preserve">Amenazas</w:t>
      </w:r>
    </w:p>
    <w:p>
      <w:pPr>
        <w:spacing w:after="100"/>
      </w:pPr>
      <w:r>
        <w:t xml:space="preserve">El foso se erosionaría si Saint-Gobain usa su escala tras Chryso, GCP y Fosroc para competir en precio en aditivos [22], o si una caída larga de la construcción china y europea obliga a competir por volumen. Probabilidad media: la rivalidad entre los dos grandes ha sido hasta ahora por compras, no por precio. Un riesgo más lento es que los cementeros integren la química (Holcim ya vende sistemas de cubiertas).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2"/>
        <w:gridCol w:w="973"/>
        <w:gridCol w:w="778"/>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r>
    </w:tbl>
    <w:p>
      <w:pPr>
        <w:spacing w:after="160" w:before="0"/>
      </w:pPr>
    </w:p>
    <w:p>
      <w:pPr>
        <w:spacing w:after="100"/>
      </w:pPr>
      <w:r>
        <w:t xml:space="preserve">Crecimiento anual compuesto 2021-2025: ingresos </w:t>
      </w:r>
      <w:r>
        <w:rPr>
          <w:b/>
          <w:bCs/>
        </w:rPr>
        <w:t xml:space="preserve">4,9 %</w:t>
      </w:r>
      <w:r>
        <w:t xml:space="preserve">, EBITDA </w:t>
      </w:r>
      <w:r>
        <w:rPr>
          <w:b/>
          <w:bCs/>
        </w:rPr>
        <w:t xml:space="preserve">5,2 %</w:t>
      </w:r>
      <w:r>
        <w:t xml:space="preserve">, BPA </w:t>
      </w:r>
      <w:r>
        <w:rPr>
          <w:b/>
          <w:bCs/>
        </w:rPr>
        <w:t xml:space="preserve">-0,4 %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de 9.252 M CHF en 2021 a 11.763 M en 2024 (MBCC aportó alrededor de 2.000 M desde mayo de 2023) y cayeron a 11.201 M en 2025 (−4,8 %) por la divisa: en moneda local crecieron un 0,6 % [1, 9, 11]. El margen EBITDA publicado bajó de 19,3 % en 2024 a 18,4 % en 2025 por 86 M de costes de Fast Forward; sin ellos fue del 19,2 % [1]. El 1S26 marca la vuelta del crecimiento (+4,0 % en moneda local, +2,9 % orgánico y +5,7 % orgánico en el 2T) con un margen del 19,0 %, pero el franco restó 5,5 puntos y el beneficio neto quedó plano (552,1 M) [3, 4]. 2022 y 2023 no son comparables: 2022 lleva una plusvalía de 166,5 M por la venta de los recubrimientos industriales europeos y 78,3 M de costes de MBCC; 2023, 131,5 M de costes de compra e integración [9, 10].</w:t>
      </w:r>
    </w:p>
    <w:p>
      <w:pPr>
        <w:pStyle w:val="Heading2"/>
      </w:pPr>
      <w:r>
        <w:t xml:space="preserve">Ajustes y partidas no recurrentes</w:t>
      </w:r>
    </w:p>
    <w:p>
      <w:pPr>
        <w:spacing w:after="100"/>
      </w:pPr>
      <w:r>
        <w:t xml:space="preserve">Usamos las cifras publicadas. Las partidas no recurrentes dentro del EBITDA están en no_recurrentes_en_ebitda: −88,2 M en 2022 (plusvalía de 166,5 M menos 78,3 M de costes de MBCC), 131,5 M en 2023 (MBCC) y 86 M en 2025 (Fast Forward; 108 M en total con 22 M de deterioros) [1, 9, 10]. El BPA ajustado que usamos para el PER histórico suma esas partidas netas de impuestos (al 20 %): 6,85 CHF en 2022, 7,31 en 2023 y 7,04 en 2025 (estimación propia). Los costes de compras se repiten en Sika (es un comprador frecuente), pero los de MBCC y Fast Forward son de tamaño excepcional.</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1S26 (28-jul-2026) la dirección cambió el tono frente a febrero: subió la guía de crecimiento en moneda local del 1-4 % al 3-6 % por la aceleración del 2T (+6,8 % en moneda local, +5,7 % orgánico) y, a la vez, bajó el margen EBITDA esperado del 19,5-20,0 % al 19,0-19,5 %, porque la divisa y la mezcla regional pesan más de lo previsto; dijo sentirse cómoda con el consenso de EBITDA en francos [3, 16]. Fast Forward va según el plan (80 M de ahorro en 2026) y la compra de Akkim en Turquía cerraría en el 3T [3]. Los analistas preguntaron sobre todo por China (otra caída de dos dígitos), la sostenibilidad del volumen en EE. UU. y la caja libre del semestre, que bajó a 139,6 M desde 181,9 M [3, 17]. La dirección no dio una cifra de margen para 2027 y remitió a los objetivos de Strategy 2028. En el 1T26 (14-abr) las ventas crecieron un 0,9 % en moneda local, por encima de un consenso de −0,7 % [55].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MBCC Group (antigua química de construcción de BASF), consolidada desde mayo de 2023: ≈3.236 M CHF pagados en caja [6, 15].). Los ratios de balance de ese año (días, circulante, deuda neta / EBITDA, ROIC) y los indicadores de calidad contable no son comparables con los anteriores.</w:t>
      </w:r>
    </w:p>
    <w:p>
      <w:pPr>
        <w:spacing w:after="100"/>
      </w:pPr>
      <w:r>
        <w:t xml:space="preserve">La deuda neta bajó de 5.190 M en 2023 (tras pagar MBCC) a 5.020 M en 2024 y 4.710 M en 2025, ≈2,3 veces el EBITDA [7]. En el 1S26 subió a ≈5.455 M (deuda bruta de 6.080 M y caja de 625 M) por el dividendo de ≈595 M de abril y la estacionalidad del circulante [8]. El patrimonio cayó de 7.030 M a 6.660 M en 2025 por la conversión de divisas. Con una caja libre de ≈1.350 M al año, Sika puede pagar el dividendo y bajar deuda unos 600-700 M anuales sin compras grandes.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5.998</w:t>
      </w:r>
      <w:r>
        <w:t xml:space="preserve">, conversión </w:t>
      </w:r>
      <w:r>
        <w:rPr>
          <w:b/>
          <w:bCs/>
        </w:rPr>
        <w:t xml:space="preserve">108 %</w:t>
      </w:r>
      <w:r>
        <w:t xml:space="preserve"> del beneficio neto; adquisiciones 4.140, dividendos 2.364, recompras 0.</w:t>
      </w:r>
    </w:p>
    <w:p>
      <w:pPr>
        <w:spacing w:after="100"/>
      </w:pPr>
      <w:r>
        <w:t xml:space="preserve">El flujo operativo pasó de ≈1.064-1.100 M en 2021-2022 a ≈1.700 M en 2023-2025 con MBCC, y la caja libre operativa de la empresa fue de 1.402,9 M en 2024 y 1.356,1 M en 2025 (12,1 % de las ventas) [1, 6]. El capex es bajo (157-348 M, 1,7-3,1 % de las ventas): Sika es un negocio de activos ligeros y casi todo su crecimiento inorgánico entra por compras (3.236 M en 2023 por MBCC y 200-300 M el resto de años) [6]. La amortización (≈4,9 % de las ventas en 2025) supera al capex porque incluye la de los intangibles comprados. El primer semestre es estacionalmente flojo (139,6 M de caja libre en el 1S26) [3]. Los dividendos pagados son estimación propia (DPA del año anterior × acciones).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No hemos podido leer el informe del auditor ni las notas, así que la lectura es limitada. Lo que sí se ve: cifras publicadas coherentes entre comunicados y agregadores; partidas no recurrentes grandes y explicadas en 2022, 2023 y 2025 (plusvalía de recubrimientos, MBCC y Fast Forward) [1, 9, 10]; un fondo de comercio e intangibles elevados por las compras (Parex y MBCC), cuyo deterioro sería la principal palanca contable. El Altman Z del motor (3,13) está en zona segura; el Piotroski F (5) es intermedio por la caída del beneficio de 2025; el Beneish M no se puede calcular sin clientes ni circulante. Conversión de beneficio en caja alta (flujo operativo de 1.708 M frente a 1.045 M de beneficio neto en 2025) [6].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«únicos» repetidos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compras en 2022-2023 y de reestructuración en 2025: en un comprador frecuente, parte es recurrente.</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y fondo de comercio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Parex y MBCC; un deterioro no afectaría a la caja pero sí al beneficio.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 incompleto en el análisis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circulante ni pensiones: limitación del entorno, no señal de la empresa.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6,6 %.</w:t>
      </w:r>
    </w:p>
    <w:p>
      <w:pPr>
        <w:spacing w:after="100"/>
      </w:pPr>
      <w:r>
        <w:t xml:space="preserve">El ROIC del motor es del 11,3 % en 2023, 11,2 % en 2024 y 10,3 % en 2025, con el balance de TipRanks (patrimonio más deuda neta, fondo de comercio incluido), frente a un WACC del 6,63 %: crea valor, con 3,7 puntos de margen, por debajo del umbral de calidad de 5 puntos. Antes de MBCC Sika rendía bastante más (el capital creció ≈3.200 M con la compra y el EBIT apenas ≈500 M). Lo que mueve el ROIC es el margen: cada punto de margen EBITDA son ≈115 M de EBIT y ≈0,8 puntos de ROIC. Si Fast Forward lleva el margen al 21 %, el ROIC volvería al ≈12-13 %. Geberit, comparable suiza de calidad, rinde un 27 % [49].</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807,6 M CHF a dic-25 y 625,3 M en el último trimestre publicado (jun-26), con deuda bruta de 6.080 M [7, 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Sin acceso a la nota de provisiones, pensiones y garantías del informe anual: no hemos podido leer el déficit de pensiones (Sika tiene planes suizos de prestación definida), los pagos aplazados de compras ni las opciones de minoritarios. Los minoritarios son pequeños (Sika consolida casi todo al 100 %). La deuda bruta de 5.518 M a dic-25 incluye, según el agregador, los arrendamientos [7]. No hay covenants conocidos: Sika financia con bonos en francos y euros de grado de inversión.</w:t>
      </w:r>
    </w:p>
    <w:p>
      <w:pPr>
        <w:pStyle w:val="Heading1"/>
      </w:pPr>
      <w:r>
        <w:t xml:space="preserve">12. Asignación de capital</w:t>
      </w:r>
    </w:p>
    <w:p>
      <w:pPr>
        <w:pStyle w:val="Confianza"/>
        <w:spacing w:after="100"/>
      </w:pPr>
      <w:r>
        <w:t xml:space="preserve">Confianza: Media</w:t>
      </w:r>
    </w:p>
    <w:p>
      <w:pPr>
        <w:spacing w:after="100"/>
      </w:pPr>
      <w:r>
        <w:t xml:space="preserve">Sika reparte en torno al 50 % del beneficio y ha subido el dividendo cada año: 2,90 CHF por 2021, 3,20 por 2022, 3,30 por 2023, 3,60 por 2024 y 3,70 por 2025 [1, 12]. No hace recompras. Las prioridades declaradas para la caja son invertir en crecimiento orgánico, compras complementarias, el dividendo y mantener un rating sólido; tras MBCC, bajar deuda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MBCC Group (química de construcción ex BASF)</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(bonos y préstamos) y caja; venta obligada de activos a reguladores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160-180 M previstas para 2025; el margen del grupo mejoró hasta 2024 (19,3 %) pero el ROIC bajó al ≈10-11 %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Parex (morteros,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morteros; sin deterioros conocidos.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Akkim (Turquía)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previsto en el 3T26 [3].</w:t>
            </w:r>
          </w:p>
        </w:tc>
      </w:tr>
    </w:tbl>
    <w:p>
      <w:pPr>
        <w:spacing w:after="160" w:before="0"/>
      </w:pPr>
    </w:p>
    <w:p>
      <w:pPr>
        <w:spacing w:after="100"/>
      </w:pPr>
      <w:r>
        <w:t xml:space="preserve">Sika ha comprado bien en tamaño y precio relativo (MBCC a 11,5 veces el EBITDA, 8,5 con sinergias, cuando el sector cotizaba más caro) [15], pero las compras han bajado el rendimiento del capital: el ROIC del motor es del 11,3 % en 2023, 11,2 % en 2024 y 10,3 % en 2025, con el fondo de comercio dentro. Entre 2021 y 2025 la empresa generó ≈7.300 M de flujo operativo, invirtió ≈1.330 M en capex y ≈4.140 M en compras y repartió ≈2.360 M de dividendos (estimación) [6]. No hay dilución relevante (≈159-161 M de acciones). La disciplina es buena; el reto es que las compras vuelvan a rendir por encima del 12-15 % histórico.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Hasler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Sika desde 1989; dirigió Sika Norteamérica y la división Global Business antes de suceder a Paul Schuler. Cerró la compra de MBCC y lanzó Fast Forward en 2025.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Adrian Widmer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2014; ha financiado las compras de Parex y MBCC manteniendo la calificación de grado de inversión.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Thierry Vanlancker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consejero delegado de AkzoNobel; reelegido en 2026 con el 92,06 % como consejero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moneda local del 3-6 % y margen EBITDA en ascenso (guía inicial)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+0,6 % en moneda local; margen 18,4 % (19,2 % sin costes únicos); guía rebajada en el año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+1-4 % en moneda local y margen EBITDA del 19,5-20,0 %; julio: +3-6 % y 19,0-19,5 %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+4,0 % en moneda local y 19,0 % de margen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el consejero delegado lleva en Sika desde 1989 y el director financiero desde 2014. La credibilidad sufrió en 2025, cuando la empresa no llegó a su guía de crecimiento y tuvo que rebajarla tras un cuarto trimestre flojo [34], y en julio de 2026 bajó la guía de margen mientras subía la de ventas [3]. A favor, el 1T y el 2T de 2026 batieron al consenso. No hay plan de sucesión público.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Thierry Vanlancker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Viktor Balli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93,6 %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Norges Bank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Según los agregadores, el consejero delegado cobró ≈4,3 M CHF en 2025 (≈5,4 M en 2024), con un tercio de fijo y el resto de variable en efectivo y acciones [30]. No hemos podido leer las métricas exactas del variable a largo plazo en el informe de remuneración [32]. La junta de 2026 aprobó el informe de remuneración de 2025 con el 96,89 % (3,11 % en contra) y la de 2025 el de 2024 con el 93,62 % [27, 29].</w:t>
      </w:r>
    </w:p>
    <w:p>
      <w:pPr>
        <w:pStyle w:val="Heading2"/>
      </w:pPr>
      <w:r>
        <w:t xml:space="preserve">Operaciones vinculadas, estructura de control y defensas</w:t>
      </w:r>
    </w:p>
    <w:p>
      <w:pPr>
        <w:spacing w:after="100"/>
      </w:pPr>
      <w:r>
        <w:t xml:space="preserve">Desde 2018 Sika tiene una sola clase de acciones y ningún accionista de control: los mayores son gestoras (BlackRock ≈7,7 %, UBS AM ≈5,6 %, Vanguard ≈4,4 %, Norges ≈3,0 %) [31]. Desapareció el límite de voto que protegía a la familia Burkard. Presidente (Thierry Vanlancker) y consejero delegado (Thomas Hasler) están separados. No hay operaciones vinculadas conocidas.</w:t>
      </w:r>
    </w:p>
    <w:p>
      <w:pPr>
        <w:pStyle w:val="Heading2"/>
      </w:pPr>
      <w:r>
        <w:t xml:space="preserve">Señales de alerta</w:t>
      </w:r>
    </w:p>
    <w:p>
      <w:pPr>
        <w:pStyle w:val="ListParagraph"/>
        <w:numPr>
          <w:ilvl w:val="0"/>
          <w:numId w:val="2"/>
        </w:numPr>
        <w:spacing w:after="60"/>
      </w:pPr>
      <w:r>
        <w:t xml:space="preserve">Ninguna relevante detectada en los resultados de las juntas de 2025 y 2026 y en la prensa de los últimos 12 meses; no se pudieron revisar las operaciones de directivos (SIX, anónimas).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(28-jul-2026): crecimiento de ventas del 3-6 % en moneda local (antes 1-4 %) y margen EBITDA del 19,0-19,5 % (antes 19,5-20,0 %), con 80 M de ahorro de Fast Forward [3]. A medio plazo, Strategy 2028: crecimiento del 6-9 % anual en moneda local, con objetivos reafirmados en julio [3]. Próximos resultados (ventas de nueve meses): 23-oct-2026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[38]; Yahoo (11-sep) da 11.410 M y 7,49 CHF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n.d.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 – 240,00</w:t>
            </w:r>
          </w:p>
        </w:tc>
      </w:tr>
    </w:tbl>
    <w:p>
      <w:pPr>
        <w:spacing w:after="160" w:before="0"/>
      </w:pPr>
    </w:p>
    <w:p>
      <w:pPr>
        <w:pStyle w:val="Heading2"/>
      </w:pPr>
      <w:r>
        <w:t xml:space="preserve">Revisiones de estimaciones</w:t>
      </w:r>
    </w:p>
    <w:p>
      <w:pPr>
        <w:spacing w:after="100"/>
      </w:pPr>
      <w:r>
        <w:t xml:space="preserve">Solo tenemos MarketScreener con estimaciones a tres años [38]; Yahoo (11-sep) da para 2026 ventas de 11.410 M y BPA de 7,49 CHF [39] y BofA 7,45 / 8,17 / 8,95 CHF para 2026-2028 [25]. Los objetivos han subido desde los resultados del semestre: JPMorgan de 165 a 215 CHF, Octavian de 220 a 230, Berenberg de 233 a 240 y Jefferies de 213 a 215 [42, 53]. El objetivo medio va de 187,32 CHF (19 analistas, AWP) a 197,36 CHF (22 analistas, Investing) [40, 41]. Tendencia de 3 meses: subidas.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60" w:before="0"/>
      </w:pPr>
    </w:p>
    <w:p>
      <w:pPr>
        <w:spacing w:after="100"/>
      </w:pPr>
      <w:r>
        <w:t xml:space="preserve">La acción perdió un 40 % en 2022 (subida de tipos sobre un PER adelantado de más de 50 veces), recuperó un 20 % en 2023, cayó un 21 % en 2024 y un 23,6 % en 2025, cuando el SMI ganó un 14,1 %, por China, el franco y un cuarto trimestre flojo [33]. En 2026 rebotó desde ≈147 CHF en abril tras un 1T mejor de lo esperado [55] y un 15 % en una semana tras el 1S26, hasta ≈195 CHF en agosto; desde entonces consolida en torno a 185 CHF [35, 42, 43]. Sin beta ni volatilidad propias por la falta de serie diaria.</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Con el BPA ajustado del año siguiente, Sika cotizó a 36,5 veces al cierre de 2020, 55,5 en 2021 (excluido: burbuja de tipos cero), 31,2 en 2022, 35,3 en 2023, 30,7 en 2024 y 23,5 en 2025 (sobre nuestro BPA de 2026e): la mediana de los cinco últimos años limpios es de 31 veces y hoy cotiza a 23,6 veces nuestro BPA de 2027e, un 24 % por debajo. Parte del descuento es estructural: el crecimiento orgánico de 2024-2025 fue casi nulo, el ROIC bajó al ≈10 % tras MBCC y los tipos suizos de largo plazo ya no son negativos. Los cierres de 2022 y 2025 son derivados de rentabilidades publicadas.</w:t>
      </w:r>
    </w:p>
    <w:p>
      <w:pPr>
        <w:pStyle w:val="Heading1"/>
      </w:pPr>
      <w:r>
        <w:t xml:space="preserve">18. Comparables cotizados</w:t>
      </w:r>
    </w:p>
    <w:p>
      <w:pPr>
        <w:pStyle w:val="Confianza"/>
        <w:spacing w:after="100"/>
      </w:pPr>
      <w:r>
        <w:t xml:space="preserve">Confianza: Baja</w:t>
      </w:r>
    </w:p>
    <w:p>
      <w:pPr>
        <w:spacing w:after="100"/>
      </w:pPr>
      <w:r>
        <w:t xml:space="preserve">No hay comparables puros cotizados de química de construcción con el tamaño de Sika (Mapei no cotiza y la química de Saint-Gobain va dentro del grupo). Usamos materiales de construcción europeos (Saint-Gobain, Holcim), químicas de construcción y pinturas estadounidenses (RPM, Sherwin-Williams) y dos suizas de construcción de calidad (Geberit, Schindler, de otros informes del repositorio llevados a hoy). Solo tenemos el PER adelantado de todas: los demás múltiplos faltan.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Sika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Saint-Gobain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Holcim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RPM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Geberit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Sherwin-Williams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 / 21,7x / 25,0x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mediana del PER adelantado de los seis comparables es de 21,7 veces, frente a 23,1 veces (PER de los próximos 12 meses) de Sika: prima pequeña. Las de calidad (Geberit 25,3x, Sherwin-Williams 27,0x, Schindler 24,0x) cotizan por encima de Sika, y las de materiales con más ciclo y menos margen (Saint-Gobain 10,9x, Holcim 14,8x) muy por debajo [45, 46, 47, 48, 49, 50]. Sika merece un múltiplo de calidad si vuelve a crecer al 5 % orgánico; hoy el mercado la paga a medio camino. Los comparables pesan un 20 % en la síntesis por lo incompleto de los datos.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MBCC Group (química de construcción ex BASF)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11,5x el EBITDA 2022e pro forma; 8,5x con sinergias de 160-180 M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Fosroc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≈1.025 M USD en caja (≈820 M CHF); múltiplo no publicado en la fuente [22].</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 referencia es MBCC: 5.500 M CHF, 11,5 veces el EBITDA 2022e (8,5 con sinergias) [15]. Saint-Gobain pagó ≈1.025 M USD por Fosroc sin múltiplo publicado [22]. Sika cotiza a 16,4 veces el EBITDA de los últimos 12 meses, por encima de lo que pagó por MBCC. Sin accionista de control, Sika es comprable en teoría, pero con ≈35.000 M de valor empresa solo Saint-Gobain o un químico grande podrían plantearlo, y no hay indicios. Peso cero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2026e casi cerradas: +1 % en francos (+4,5 % en moneda local, dentro de la guía del 3-6 %, menos 4,5 puntos de divisa y más ≈1 punto de Akkim) [3]. Desde 2027e, 4,5-5 % anual (volumen 2,5-3 % y precio 2 %), por debajo del 6-9 % de Strategy 2028 porque ese objetivo incluye compras y la empresa no lo ha cumplido en 2024-2025; convergencia al 2 % en 2035e. El consenso espera +5,2 % en 2027e y +4,5 % en 2028e [38].</w:t>
      </w:r>
    </w:p>
    <w:p>
      <w:pPr>
        <w:keepNext/>
        <w:spacing w:after="100"/>
      </w:pPr>
      <w:r>
        <w:rPr>
          <w:b/>
          <w:bCs/>
        </w:rPr>
        <w:t xml:space="preserve">Márgenes.</w:t>
      </w:r>
    </w:p>
    <w:p>
      <w:pPr>
        <w:spacing w:after="100"/>
      </w:pPr>
      <w:r>
        <w:t xml:space="preserve">Margen EBITDA del 19,2 % en 2026e (guía 19,0-19,5 %) que sube al 21 % en 2031e con los ahorros de Fast Forward y el apalancamiento del volumen. Es el extremo bajo del 20-23 % de Strategy 2028 y está por encima del máximo histórico (19,3 % en 2024) [1]: el supuesto más exigente del modelo. El consenso implica 19,6 % en 2026e, 20,0 % en 2027e y 20,8 % en 2028e [38].</w:t>
      </w:r>
    </w:p>
    <w:p>
      <w:pPr>
        <w:keepNext/>
        <w:spacing w:after="100"/>
      </w:pPr>
      <w:r>
        <w:rPr>
          <w:b/>
          <w:bCs/>
        </w:rPr>
        <w:t xml:space="preserve">Inversión y circulante.</w:t>
      </w:r>
    </w:p>
    <w:p>
      <w:pPr>
        <w:spacing w:after="100"/>
      </w:pPr>
      <w:r>
        <w:t xml:space="preserve">Capex del 4,0-4,2 % de las ventas en 2026-2029e frente al 3,1 % de 2025 [6], porque incluye ≈0,7 puntos de circulante (≈15 % de las ventas por el crecimiento; estimación propia, el balance que tenemos no trae el circulante), que baja al 3,6 % al final para igualar la amortización. La amortización baja del 4,8 % al 3,6 % al agotarse la de intangibles comprados. No se proyectan compras: el crecimiento por compras queda fuera del caso base.</w:t>
      </w:r>
    </w:p>
    <w:p>
      <w:pPr>
        <w:keepNext/>
        <w:spacing w:after="100"/>
      </w:pPr>
      <w:r>
        <w:rPr>
          <w:b/>
          <w:bCs/>
        </w:rPr>
        <w:t xml:space="preserve">Coste del capital.</w:t>
      </w:r>
    </w:p>
    <w:p>
      <w:pPr>
        <w:spacing w:after="100"/>
      </w:pPr>
      <w:r>
        <w:t xml:space="preserve">Todo en francos. Tasa libre del 0,54 % (bono de la Confederación a 10 años, 8-oct-2026) [51]; beta de 1,10 (estimación propia: química ligada a la construcción, sin serie de la acción), prima de mercado del 5,5 % y 1 punto adicional, como en los informes de Roche y Givaudan, porque los flujos están en divisas y el bono suizo es anormalmente bajo. Coste de la deuda del 2 % antes de impuestos y un 16 % de deuda. WACC del 6,63 %. Con la prima implícita del mercado (4,2 %) [52], el WACC baja al 5,4 %.</w:t>
      </w:r>
    </w:p>
    <w:p>
      <w:pPr>
        <w:keepNext/>
        <w:spacing w:after="100"/>
      </w:pPr>
      <w:r>
        <w:rPr>
          <w:b/>
          <w:bCs/>
        </w:rPr>
        <w:t xml:space="preserve">Valor terminal.</w:t>
      </w:r>
    </w:p>
    <w:p>
      <w:pPr>
        <w:spacing w:after="100"/>
      </w:pPr>
      <w:r>
        <w:t xml:space="preserve">Gordon con crecimiento del 1,0 % en francos, coherente con un bono al 0,54 % y una inflación suiza de ≈0,5-1 %, aunque los flujos vienen de países con más inflación (por eso la prima adicional en el WACC). El múltiplo de salida implícito se compara con los 14 veces EBITDA que pagan las transacciones y cotizan los comparables de calidad.</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163,95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237,41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 (hoy: 17,0 %)</w:t>
            </w:r>
          </w:p>
        </w:tc>
      </w:tr>
    </w:tbl>
    <w:p>
      <w:pPr>
        <w:spacing w:after="160" w:before="0"/>
      </w:pPr>
    </w:p>
    <w:p>
      <w:pPr>
        <w:spacing w:after="100"/>
      </w:pPr>
      <w:r>
        <w:t xml:space="preserve">La proyección apenas necesita inversión neta de la amortización (reinversión acumulada de -346 M, con un capex bruto medio del 4,0 % de las ventas). En un negocio de activos ligeros, el crecimiento medio del 3,5 % tiene que salir de subir precios y de ganar volumen sin capital nuevo, y la prueba es el poder de precios y la cuota (16,6 % del mercado en 2030e, frente al 17,0 %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(2T26 con +5,7 % orgánico), precio +1,5 %, y otros −3,5 % (divisa −4,5 % y Akkim +1 %)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(construcción de EE. UU. e infraestructura; China estable) y precio +2 %; sin divisa ni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con la recuperación de la vivienda europea por los tipos más bajos y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y precio +2 %, en línea con el mercado (+4,3 % anual)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y precio +2 %: cuota estable en ≈17 %.</w:t>
            </w:r>
          </w:p>
        </w:tc>
      </w:tr>
    </w:tbl>
    <w:p>
      <w:pPr>
        <w:spacing w:after="160" w:before="0"/>
      </w:pPr>
    </w:p>
    <w:p>
      <w:pPr>
        <w:spacing w:after="100"/>
      </w:pPr>
      <w:r>
        <w:t xml:space="preserve">El motor no hace la prueba de reinversión porque la amortización de intangibles comprados supera al capex (reinversión negativa). A mano: sin compras, el crecimiento tiene que venir de precio (2 %, sin capital) y de volumen (2,5-3 %), que necesita circulante (≈0,7 % de las ventas, incluido en el capex). Con un ROIC del 10,3 % con el fondo de comercio dentro y una reinversión neta pequeña, el crecimiento financiable sale de ≈3-3,5 % más el precio: el 5-5,5 % inicial quedaba algo alto, y el crecimiento orgánico de 2024-2025 fue casi nulo. Rebajamos el base medio punto en 2027-2029 (4,5 / 5,0 / 4,5 %). La cuota implícita en 2030e (≈17 %) es la de hoy. El foso y el poder de precio de 2022 sostienen el crecimiento del mercado; no garantizan más.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(WACC: 6,6 %)</w:t>
            </w:r>
          </w:p>
        </w:tc>
      </w:tr>
    </w:tbl>
    <w:p>
      <w:pPr>
        <w:spacing w:after="160" w:before="0"/>
      </w:pPr>
    </w:p>
    <w:p>
      <w:pPr>
        <w:spacing w:after="100"/>
      </w:pPr>
      <w:r>
        <w:t xml:space="preserve">El DCF da 176,88 CHF por acción, un 4,6 % por debajo del precio, con un 63 % del valor en el terminal. El DCF inverso dice que el precio de 185,35 CHF descuenta un crecimiento de las ventas del 4,3 % anual en 2027-2035e frente a nuestro 3,7 %, o un margen EBITDA del 21,7 % frente a nuestro 21 %: el mercado ya paga la recuperación del volumen y un margen por encima del máximo histórico (19,3 %). No es exigente si Sika cumple Strategy 2028 (20-23 % de margen), pero tampoco deja margen de seguridad. La valoración depende mucho de la tasa: con la prima implícita del mercado el DCF sube a 235,66 CHF. En resumen, a 185 CHF Sika cotiza cerca de su valor con nuestro WACC; la oportunidad está en el múltiplo (23,6 veces frente a una historia de 31), no en el flujo de caja.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sigue cayendo, Europa no se recupera y el franco se aprecia otro 3-4 %: crecimiento en francos de 2,5-3 % y margen estancado en ≈18,8 %, como en 2025 sin ahorros. Es lo que pasó en 2024-2025.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orgánico se estabiliza en 4,5-5 % con EE. UU., infraestructura y precio; Fast Forward lleva el margen al 20,3 % en 2028 y al 21 % después. Sin compras grandes.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 la vivienda europea y de los centros de datos en EE. UU.: crecimiento del 6-6,5 % y margen del 21 % en 2028, el extremo bajo de Strategy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HF) · precio actual 18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172,38 CHF (-7,0 %).</w:t>
      </w:r>
    </w:p>
    <w:p>
      <w:pPr>
        <w:spacing w:after="100"/>
      </w:pPr>
      <w:r>
        <w:t xml:space="preserve">Por valor intrínseco la asimetría es mala: el alcista vale 211,62 CHF (+14,2 %) y el bajista 124,12 CHF (−33,0 %). A 12 meses, con la regla de múltiplos v3, es buena: el bajista pierde un 11,4 % y el alcista gana un 62,9 %, porque el PER de hoy (23,6x) está muy por debajo de la mediana de cinco años (31x). La diferencia entre las dos lecturas es la tesis: el precio es razonable para el flujo de caja con nuestro WACC y barato frente a la propia historia del múltiplo.</w:t>
      </w:r>
    </w:p>
    <w:p>
      <w:pPr>
        <w:pStyle w:val="Heading1"/>
      </w:pPr>
      <w:r>
        <w:t xml:space="preserve">22. Suma de partes</w:t>
      </w:r>
    </w:p>
    <w:p>
      <w:pPr>
        <w:pStyle w:val="Confianza"/>
        <w:spacing w:after="100"/>
      </w:pPr>
      <w:r>
        <w:t xml:space="preserve">Confianza: Media</w:t>
      </w:r>
    </w:p>
    <w:p>
      <w:pPr>
        <w:spacing w:after="100"/>
      </w:pPr>
      <w:r>
        <w:t xml:space="preserve">No aplica: las tres regiones venden los mismos productos con márgenes parecidos; Global Business (automoción e industria) es pequeña y no se reporta aparte en las fuentes que tenemos.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HF) · precio actual 18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174,92 CHF (-5,6 % sobre 185,35).</w:t>
      </w:r>
    </w:p>
    <w:p>
      <w:pPr>
        <w:spacing w:after="100"/>
      </w:pPr>
      <w:r>
        <w:t xml:space="preserve">El DCF pesa un 50 % porque Sika tiene flujos estables y una caja libre previsible; los escenarios un 30 % y los comparables un 20 %, poco porque solo tenemos el PER adelantado. Las transacciones no pesan (no hay operación a la vista). La síntesis da 174,92 CHF (−5,6 %); con la prima implícita del mercado, 221,27 CHF. La dispersión entre métodos es alta (de ≈124 a ≈212 CHF entre escenarios), sobre todo por el margen y la tasa de descuento.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(23.6x) a mitad de camino hacia la mediana de 5 años (31x)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+62,9 %</w:t>
            </w:r>
          </w:p>
        </w:tc>
      </w:tr>
    </w:tbl>
    <w:p>
      <w:pPr>
        <w:spacing w:after="160" w:before="0"/>
      </w:pPr>
    </w:p>
    <w:p>
      <w:pPr>
        <w:spacing w:after="100"/>
      </w:pPr>
      <w:r>
        <w:rPr>
          <w:b/>
          <w:bCs/>
        </w:rPr>
        <w:t xml:space="preserve">Objetivo a 12 meses (ponderado):</w:t>
      </w:r>
      <w:r>
        <w:t xml:space="preserve"> 232,42 CHF · rentabilidad +27,4 % (base +29,0 %) · señal Mantener.</w:t>
      </w:r>
    </w:p>
    <w:p>
      <w:pPr>
        <w:keepNext/>
        <w:spacing w:after="100"/>
      </w:pPr>
      <w:r>
        <w:rPr>
          <w:b/>
          <w:bCs/>
        </w:rPr>
        <w:t xml:space="preserve">Frente al consenso (solo contraste).</w:t>
      </w:r>
    </w:p>
    <w:p>
      <w:pPr>
        <w:spacing w:after="100"/>
      </w:pPr>
      <w:r>
        <w:t xml:space="preserve">Nuestro BPA de 2028e (8,72 CHF) queda un 3,5 % por debajo del consenso (9,04) [38]: crecemos un poco menos (4,5-5 % frente a ≈5 %) y el margen es parecido. La diferencia está en el múltiplo: nuestro base (235,44 CHF) queda un 19,3 % por encima del objetivo medio (197,36), porque la regla v3 lleva el PER de 23,6 veces a medio camino de su mediana de 31; los analistas aplican múltiplos de ≈22-25 veces. No ajustamos la cifra: el múltiplo lo pone la regla común.</w:t>
      </w:r>
    </w:p>
    <w:p>
      <w:pPr>
        <w:keepNext/>
        <w:spacing w:after="100"/>
      </w:pPr>
      <w:r>
        <w:rPr>
          <w:b/>
          <w:bCs/>
        </w:rPr>
        <w:t xml:space="preserve">Del valor intrínseco al objetivo a 12 meses.</w:t>
      </w:r>
    </w:p>
    <w:p>
      <w:pPr>
        <w:spacing w:after="100"/>
      </w:pPr>
      <w:r>
        <w:t xml:space="preserve">El valor intrínseco (174,92 CHF) queda un 25 % por debajo del objetivo a 12 meses (232,42 CHF): el objetivo depende de que el mercado vuelva a pagar a Sika parte de su prima histórica, no del flujo de caja. Para cerrar la distancia haría falta que el volumen confirme en el 3T26 (23-oct) y en 2027 y que el margen suba hacia el 20 %; con eso, el DCF subiría y el múltiplo tendría base. La tesis de revalorización es a 12 meses, pero el valor real no la respalda a este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nueve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3T tras el +5,7 % orgánico del 2T; confirmación de la guía del 3-6 %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2026 frente al 19,0-19,5 % y objetivo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dividendo (≈3,80-3,90 CHF esperado)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≈2 %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de Fast Forward (80 M en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puntos de margen si se materializa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semestre comparable sin efecto divisa grande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volumen vuelve a frenarse (China, vivienda europea)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(bajista del DCF); −11 %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≈50 % de la demanda;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3T26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estancado en el 19 %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Fast Forward (80 M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2026 por debajo del 19,0 %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del BPA por cada 5 % de apreciación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(costes en la misma divisa)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EUR/CHF por debajo de 0,90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múltiplo no vuelve a su historia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el PER de hoy (23,6x) el base a 12 meses sería ≈205 CHF (+11 %) en vez de 235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≈10 %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22x tras buenos resultados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mal pagada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razonable (MBCC a 8,5x con sinergias)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más de 2.000 M a más de 13x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de Saint-Gobain en aditivos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Especificación y red técnica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precio en aditivos o pérdida de contratos de hormigoneras</w:t>
            </w:r>
          </w:p>
        </w:tc>
      </w:tr>
    </w:tbl>
    <w:p>
      <w:pPr>
        <w:spacing w:after="160" w:before="0"/>
      </w:pPr>
    </w:p>
    <w:p>
      <w:pPr>
        <w:pStyle w:val="Heading2"/>
      </w:pPr>
      <w:r>
        <w:t xml:space="preserve">Pre-mortem</w:t>
      </w:r>
    </w:p>
    <w:p>
      <w:pPr>
        <w:spacing w:after="100"/>
      </w:pPr>
      <w:r>
        <w:t xml:space="preserve">Es octubre de 2029 y la acción vale 110 CHF. La recuperación del 2T26 fue un rebote técnico: en el 3T26 el volumen se frenó, China cayó otra vez y la vivienda europea no arrancó pese a los tipos bajos. Sika creció un 2-3 % en moneda local en 2027 y 2028 y el franco restó otros 3 puntos al año. Fast Forward ahorró lo prometido, pero la inflación salarial y la presión de precio de Saint-Gobain en aditivos se lo comieron: el margen se quedó en el 19 %. La dirección compró para cumplir el 6-9 % de Strategy 2028 y pagó caro; el ROIC bajó al 9 %, por debajo del umbral que los inversores de calidad exigen, y el PER adelantado se instaló en 18-20 veces, como el de un químico cíclico. El indicador que lo habría anticipado: un crecimiento orgánico del 3T26 por debajo del 3 % y un margen de 2026 en el extremo bajo de la guía.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Sika es la descarbonización de la construcción: sus aditivos permiten bajar el clínker del cemento y las emisiones del hormigón, lo que convierte la regulación climática en un motor de demanda. En coste, la exposición está en las materias primas petroquímicas y en la energía de sus plantas, pequeña frente a la de un cementero. La junta de 2026 aprobó el informe de sostenibilidad con el 99,51 % [27].</w:t>
      </w:r>
    </w:p>
    <w:p>
      <w:pPr>
        <w:pStyle w:val="Heading2"/>
      </w:pPr>
      <w:r>
        <w:t xml:space="preserve">Controversias</w:t>
      </w:r>
    </w:p>
    <w:p>
      <w:pPr>
        <w:spacing w:after="100"/>
      </w:pPr>
      <w:r>
        <w:t xml:space="preserve">No hemos encontrado sanciones ni litigios relevantes en 2023-2026 en las búsquedas hechas; la compra de MBCC exigió vender activos a los reguladores de competencia (Reino Unido, EE. UU., Australia, Nueva Zelanda y Canadá).</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+5,7 % orgánico del 2T26 fue volumen y cuánto precio y efecto calendario, y qué esperan en el 3T?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necesita 2,5-3 % de volumen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baja la guía de margen 2026 si Fast Forward ahorra 80 M? ¿Cuánto es divisa, cuánto mezcla y cuánto inversión?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es el supuesto más exigente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Strategy 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6-9 % de crecimiento espera de compras y a qué múltiplo?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no incluye compras; el ROIC depende de su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 hoy China en las ventas y en el EBITDA, y cuándo esperan que deje de restar?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riesgo de volumen.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déficit de pensiones neto y los pagos aplazados de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los hemos podido incluir en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sensibilidad tiene el BPA a un 1 % de apreciación del franco frente al euro y al dólar?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restó 5,5 puntos de ventas en el 1S26.</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(foro de la acción)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que promedian a la baja tras la caída de 2025 frente a otros que no ven crecimiento en volumen y temen a China y al franco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Valores razonables de la comunidad entre 185 y 350 CHF; una narrativa bajista sostiene que la regulación y los costes erosionarán los márgenes de la química de construcción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 Simply Wall St (artículo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alcista se apoya en infraestructura en Europa y EE. UU.; el riesgo citado es que la construcción china siga débil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cash.ch (prensa con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«SMI-Sorgenkind» que da señales de vida: +10,6 % en una semana y +19,2 % en cuatro tras los resultados del semestre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crecimiento orgánico (5,7 % en el 2T26)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2T26 creció un 5,7 % orgánico y la guía subió al 3-6 % en moneda local; el 3T se espera más lento por volumen.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el franco fuerte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efecto divisa restó 5,5 puntos en el 1S26 y Asia/Pacífico cayó un 5,3 % en moneda local en 2025: el riesgo es real y está en el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de 2025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adelantado (≈23x) está ≈25 % por debajo de su mediana de cinco años (≈31x).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Márgenes y Fast Forward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de margen bajó de 19,5-20 % a 19-19,5 % en julio pese a los 80 M de ahorro: los foristas escépticos tienen parte de razón.</w:t>
            </w:r>
          </w:p>
        </w:tc>
      </w:tr>
    </w:tbl>
    <w:p>
      <w:pPr>
        <w:spacing w:after="160" w:before="0"/>
      </w:pPr>
    </w:p>
    <w:p>
      <w:pPr>
        <w:spacing w:after="100"/>
      </w:pPr>
      <w:r>
        <w:t xml:space="preserve">El sentimiento de los particulares está dividido y mejora: tras dos años de caídas, los que promedian a la baja ven una empresa de calidad barata frente a su historia, y los escépticos ven China, el franco y una guía de margen rebajada [53, 56, 57]. No es extremo (ni euforia ni capitulación) y coincide con los analistas, que suben objetivos. Aporta un matiz: la conversación se centra en el volumen del 3T (23-oct), que es también nuestro catalizador. Ninguna cifra del informe sale de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60 (18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16,6 % en 2030e frente al 17,0 %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19,3 %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14, 23, 28, 36, 37, 44, 54, 59, 60. Explicación: Varias fuentes de las notas se usaron para cifras de tablas (cuenta, flujos, comparables) que no llevan cita en el texto.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fondo de comercio, intangibles y reservas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Sika (PDF no accesible: solo WebSearch); 2) Stock Analysis, TipRanks y Twelve Data (el fondo de comercio de Twelve Data, 14.100 M, no cuadra con un activo de 15.360 M); 3) cálculo desde la cuenta (imposible sin balance)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2021-2022; 2) TipRanks (solo tres años); 3)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financiero, impuestos y minoritarios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resultados (extractos sin ese detalle); 2) Stock Analysis; 3) derivado: resultado financiero implícito de ≈−187 M en 2025 con un tipo del 21,5 %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en la cuenta; usado como estimación en el BPA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arrendamientos y dividendos pagados exactos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 Sika; 2) Stock Analysis (sin dividendos en el extracto); 3) dividendos = DPA del año anterior × acciones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los competidores en química de construcción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Saint-Gobain, Holcim y RPM (no accesibles); 2) búsqueda por segmento;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ResearchAndMarkets; 2) Fortune Business Insights; 3) Mordor Intelligence (cifras de base distintas)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completa del consejo y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gobierno 2025 (PDF no accesible); 2) web de Sika; 3) resultados de la junta (solo algunos nombres)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(consejo parcial)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(anónimas, no accesibles desde la nube); 2) MarketScreener insiders;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accionarial de la dirección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2) Simply Wall St; 3) MarketScreener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13/14-oct-2026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Yahoo/SIX (no accesibles; snapshots sin fecha); 2) cash.ch, Investing, Morningstar (último dato fechado: 185,60 el 28-sep); 3) MarketScreener (185,35 el 29-sep)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185,35 CHF del 29-sep (confianza baja)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caída máxima y rentabilidades del índice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key statistics; 3)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beta 1,10 estimada en el WACC</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EV/EBITDA y crecimiento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por empresa; 2) Yahoo key statistics; 3) informes del repositorio (solo Geberit y Schindler)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PER adelantado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Chryso, GCP y Fosroc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Saint-Gobain; 2) prensa sectorial; 3) búsqueda por operación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 de cash.ch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Seeking Alpha; 2) foros suizos (cash.ch, finanzen.net); 3) agregadores (getquin, Simply Wall St)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agregadores y prensa con comentarios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Stock Analysis (sin dato en los extractos); 3) beta sectorial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(1,10)</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release: business year 2025 (20-feb-2026)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https://www.sika.com/dms/getdocument.get/992fbd18-f3fb-4605-93be-b028fd3d9ff0/glo-en-media-release-business-year-2025-20022026.pdf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 reports full year 2025 results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 AG vía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https://www.globenewswire.com/news-release/2026/02/20/3241673/0/en/SIKA-REPORTS-FULL-YEAR-2025-RESULTS-EXECUTING-PLAN-TO-ACCELERATE-GROWTH.html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report 2026: 4,0 % de crecimiento en moneda local y mejora de la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https://www.sika.com/en/media/media-releases/2026/half-year-report-2026.html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FY26 H1 net profit slips 0.4% to CHF 552.1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(AWP/RTT)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https://www.vermoegenszentrum.ch/en/stock-exchange-and-markets/news/sika-fy26-h1-net-profit-slips-04-chf-5521-million-net-sales-fall-15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(SWX:SIKA)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https://stockanalysis.com/quote/swx/SIKA/financials/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(SWX:SIKA)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https://stockanalysis.com/quote/swx/SIKA/financials/cash-flow-statement/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(CH:SIKA) Financials (balance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https://www.tipranks.com/stocks/ch:sika/financials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(SWX:SIKA) Statistics &amp; valuation metrics (último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https://stockanalysis.com/quote/swx/SIKA/statistics/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business year 2023 (16-feb-2024)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https://www.sika.com/content/dam/dms/corporate/media/glo-en-media-release-business-year-2023-16022024.pdf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facts &amp; figures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https://reports.sika.com/en/annual-report-2022/financials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business year 2021 (18-feb-2022)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https://www.sika.com/content/dam/dms/corporate/media/glo-en-media-release-business-year-2021-18022022.pdf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shares: key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https://www.sika.com/en/investors/shares/key-data-on-sika-shares.html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presentation 24-mar-2026 (ventas por región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https://www.sika.com/dms/getdocument.get/c2be81cf-9630-46b7-abc0-da9a16b9b8b3/glo-agm-presentation-24032026.pdf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2026 (14-abr-2026)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https://www.sika.com/dms/getdocument.get/df266823-ccd9-4a5d-8270-d83a6077d4e6/glo-en-media-release-Q1-14042026.pdf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to acquire MBCC Group (11-nov-2021)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https://gbr.sika.com/en/media/news/2021/sika-to-acquire-mbcc-group.html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(SIKA) H1 2026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https://www.gurufocus.com/news/8983968/sika-ag-skfof-h1-2026-earnings-call-highlights-navigating-challenges-with-strategic-growth-and-efficiency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wächst wieder aus eigener Kraft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Moneycab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https://www.moneycab.com/?p=2067057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Quick Report (crecimiento por región)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https://reports.sika.com/en/annual-report-2025/quick-report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Construction Chemicals Market Forecast Report 2025 (ResearchAndMarkets)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https://www.globenewswire.com/news-release/2025/08/19/3135462/0/en/Construction-Chemicals-Market-Forecast-Report-2025-BASF-SE-and-Sika-AG-Lead-Innovation-in-Sustainable-Construction-Chemicals.html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Construction chemicals market size (2025: 91.850 M USD; 6,9 %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Business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https://www.fortunebusinessinsights.com/markt-f-r-bauchemikalien-102539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Construction chemicals market to reach USD 118,53 billion by 2031 (Mordor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https://www.barchart.com/story/news/260581/construction-chemicals-market-to-reach-11853-billion-by-2031-driven-by-infrastructure-growth-greenbuilding-codes-mordor-intelligence-reports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enters into definitive agreement to acquire Fosroc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Middle East Construction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https://meconstructionnews.com/59880/saint-gobain-enters-into-definitive-agreement-to-acquire-fosroc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JPMorgan upgrades Kingspan, stays selective on European building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https://au.investing.com/news/stock-market-news/jpmorgan-upgrades-kingspan-stays-selective-on-european-building-materials-4634058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(Wikipedia: historia y cronología)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https://en.wikipedia.org/wiki/Sika_AG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upgraded at BofA on FY26 oil, data center tailwinds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https://www.investing.com/news/stock-market-news/sika-upgraded-at-bofa-on-fy26-oil-data-center-tailwinds-pt-raised-4760485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Frankenstärke belastet Konzern (28-jul-2026)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Plattform 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https://www.plattformj.ch/artikel/245263/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voting results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https://www.sika.com/dms/getdocument.get/7c2d4c37-05ab-4a6e-a768-0578ac07c53b/glo-agm-voting-results-2026.pdf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the 2026 Annual General Meeting of Sika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https://www.sika.com/en/media/media-releases/2026/results-2026-annual-general-meeting-of-sika-ag.html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voting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https://sika.com/dam/dms/corporate/media/glo-agm-voting-results-2025.pdf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management: CEO compensation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https://simplywall.st/stocks/ch/materials/vtx-sika/sika-shares/management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ownership 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https://simplywall.st/stocks/ch/materials/vtx-sika/sika-shares/ownership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https://www.sika.com/dam/dms/corporate/media/glo-ar-25-compensation-report.pdf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Discurso del presidente en la junta general 2026 (Thierry Vanlancker)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https://www.sika.com/dms/getdocument.get/e6dbcbb1-fc45-4a21-b069-bb15bd4a54c9/glo-de-gv-rede-thierry-fj-vanlancker-24032026.pdf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verfehlt Erwartungen nach schwachem viertem Quartal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Moneycab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https://www.moneycab.com/?p=2036867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cotización y capitalización (185,35 CHF el 29-sep-2026)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https://uk.marketscreener.com/quote/stock/SIKA-AG-44486751/sector/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stock price quote (185,60 CHF, 28-sep-2026)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https://www.morningstar.com/stocks/xswx/sika/quote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(SIKA.SW) quote: rango de 52 semanas 120,35-197,60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https://sg.finance.yahoo.com/quote/SIKA.SW/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valuation ratios, analysts'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https://www.marketscreener.com/quote/stock/SIKA-AG-187802033/valuation/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stock holds steady as analysts see earnings growth (datos de Yahoo Finance del 11-sep-2026)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https://www.ad-hoc-news.de/boerse/news/corporate-news/sika-stock-holds-steady-as-analysts-see-earnings-growth/70093106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(SIKA): consenso, objetivo medio y calendario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https://de.investing.com/equities/sika-i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N: consenso AWP (19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https://www.cash.ch/aktien/sika-n-41879292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Nach der Kurskonsolidierung: Analysten erhöhen vor Quartalszahlen die Kursziele für Sika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https://www.cash.ch/news/top-news/nach-der-kurskonsolidierung-analysten-erhohen-vor-quartalszahlen-die-kursziele-fur-sika-974433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 der Woche: Ist die Trendumkehr bei diesem Baustoff-Titel geschafft?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https://www.cash.ch/news/top-news/aktie-der-woche-ist-die-trendumkehr-bei-diesem-baustoff-titel-geschafft-957694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Quick Report (cierre de 273,70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https://reports.sika.com/en/annual-report-2023/quick-report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Sherwin-Williams key statistics (PER adelantado)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https://finance.yahoo.com/quote/SHW/key-statistics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RPM International summary (PER adelantado)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https://www.gurufocus.com/stock/RPM/summary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Holcim (HCMLY) quote: PER adelantado 14,8x (23-sep-2026)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https://ca.finance.yahoo.com/quote/HCMLY/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valuation (PER 2026e 11,9x, 23-sep-2026)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https://www.marketscreener.com/quote/stock/SAINT-GOBAIN-4697/valuation/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Fluidra 08-oct-2026 de este repositorio (comparable Geberit)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informes/fluidra-2026-10-08/datos-v2.json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Kone 14-oct-2026 de este repositorio (comparable Schindler)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informes/kone-2026-10-14/datos.json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de la Confederación a 10 años (0,54 % el 8-oct-2026), tomado del informe de Roche del 14-oct-2026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(SNB)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informes/roche-2026-10-14/datos.json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Aktie: Kursziele nach den Halbjahreszahlen (JPMorgan 215, Octavian 230)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https://www.cash.ch/news/top-news/schweizer-aktie-der-woche-smi-sorgenkind-gibt-lebenszeichen-von-sich-928817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price history for Sika (SIKA.SW): rentabilidad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CompaniesMarketCap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https://companiesmarketcap.com/sika/stock-price-history/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Quartalszahlen besser als erwartet, Aktie legt über 7 Prozent zu (abr-2026)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https://www.cash.ch/news/top-news/sika-quartalszahlen-besser-als-erwartet-aktie-legt-uber-7-prozent-zu-927531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foro de la comunidad (getquin)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https://app.getquin.com/es/instrument/CH0418792922/sika/foro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narrativas de la comunidad y valor razonable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https://www.simplywall.st/stock/SWX/SIKA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lifts sales outlook as investors revisit whether the shares are fully 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https://www.webull.com/news/15315278333748224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GF Value (modestly undervalued)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https://www.gurufocus.com/term/FloatPercentageOfTSO/MEX:SIKA 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Kursziel: 28 analistas, 18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https://aktien.guide/kursziel/Sika-CH0418792922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82,5 %</w:t>
      </w:r>
      <w:r>
        <w:t xml:space="preserve"> · Secciones con menos del 60 % de campos cubiertos: </w:t>
      </w:r>
      <w:r>
        <w:rPr>
          <w:b/>
          <w:bCs/>
        </w:rPr>
        <w:t xml:space="preserve">gobierno, balance, bolsa</w:t>
      </w:r>
      <w:r>
        <w:t xml:space="preserve"> · Generado el 14 oct 2026.</w:t>
      </w:r>
    </w:p>
    <w:p>
      <w:pPr>
        <w:pStyle w:val="Nota"/>
        <w:spacing w:after="100"/>
      </w:pPr>
      <w:r>
        <w:t xml:space="preserve">Análisis hecho desde la nube con la red limitada a la búsqueda web: la web de inversores de Sika, el informe anual en PDF, Yahoo y los proveedores de datos no se pudieron abrir, y descargar.mjs y bolsa.mjs no funcionan. Las cifras salen de los extractos de búsqueda de los comunicados de Sika (resultados 2021, 2023, 2025, 1T26 y 1S26), de su página de datos de la acción y de agregadores (Stock Analysis, TipRanks, MarketScreener), con la URL como fuente. Confianza de los datos de núcleo: media en la cuenta de resultados y la caja libre (cifras de la empresa), baja en el balance (solo 2023-2025 y sin circulante, de TipRanks), en el precio (último dato fechado: 185,35 CHF el 29-sep-2026, MarketScreener; no se encontró el cierre del 13-oct), en los comparables (solo PER adelantado, de fechas de septiembre-octubre) y en la bolsa (sin beta: 1,10 estimada). Cotiza solo en la SIX, en CHF; cuentas NIIF, ejercicio natural. Acciones: 160,48 M (capitalización publicada ÷ precio; sin autocartera relevante). La deuda bruta del puente (6.080 M, jun-26) incluye los arrendamientos según el agregador. Minoritarios, pensiones y asociadas no disponibles (0). Precios de cierre: 2023 del informe anual, 2024 de la capitalización publicada, 2022 y 2025 derivados de la rentabilidad anual publicada, 2021 de la rentabilidad de 2022 (estimaciones).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Sika AG (SIKA)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185,35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(120,35 – 197,60)</c:v>
                </c:pt>
                <c:pt idx="1">
                  <c:v>Precio objetivo de los analistas (150,00 – 240,00)</c:v>
                </c:pt>
                <c:pt idx="2">
                  <c:v>Comparables: PER NTM (127,76 – 200,05)</c:v>
                </c:pt>
                <c:pt idx="3">
                  <c:v>DCF (WACC y g ± 0,5) (149,91 – 215,27)</c:v>
                </c:pt>
                <c:pt idx="4">
                  <c:v>Escenarios (bajista – alcista) (124,12 – 211,62)</c:v>
                </c:pt>
                <c:pt idx="5">
                  <c:v>DCF con la prima implícita del mercado (4,2 %)</c:v>
                </c:pt>
                <c:pt idx="6">
                  <c:v>Precio actual (185,35)</c:v>
                </c:pt>
              </c:strCache>
            </c:strRef>
          </c:cat>
          <c:val>
            <c:numRef>
              <c:f>Hoja1!$B$2:$B$8</c:f>
              <c:numCache>
                <c:formatCode>#,##0</c:formatCode>
                <c:ptCount val="7"/>
                <c:pt idx="0">
                  <c:v>120.35</c:v>
                </c:pt>
                <c:pt idx="1">
                  <c:v>150</c:v>
                </c:pt>
                <c:pt idx="2">
                  <c:v>127.76</c:v>
                </c:pt>
                <c:pt idx="3">
                  <c:v>149.91</c:v>
                </c:pt>
                <c:pt idx="4">
                  <c:v>124.12</c:v>
                </c:pt>
                <c:pt idx="5">
                  <c:v>207.68</c:v>
                </c:pt>
                <c:pt idx="6">
                  <c:v>184.42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(120,35 – 197,60)</c:v>
                </c:pt>
                <c:pt idx="1">
                  <c:v>Precio objetivo de los analistas (150,00 – 240,00)</c:v>
                </c:pt>
                <c:pt idx="2">
                  <c:v>Comparables: PER NTM (127,76 – 200,05)</c:v>
                </c:pt>
                <c:pt idx="3">
                  <c:v>DCF (WACC y g ± 0,5) (149,91 – 215,27)</c:v>
                </c:pt>
                <c:pt idx="4">
                  <c:v>Escenarios (bajista – alcista) (124,12 – 211,62)</c:v>
                </c:pt>
                <c:pt idx="5">
                  <c:v>DCF con la prima implícita del mercado (4,2 %)</c:v>
                </c:pt>
                <c:pt idx="6">
                  <c:v>Precio actual (185,35)</c:v>
                </c:pt>
              </c:strCache>
            </c:strRef>
          </c:cat>
          <c:val>
            <c:numRef>
              <c:f>Hoja1!$C$2:$C$8</c:f>
              <c:numCache>
                <c:formatCode>#,##0</c:formatCode>
                <c:ptCount val="7"/>
                <c:pt idx="0">
                  <c:v>77.25</c:v>
                </c:pt>
                <c:pt idx="1">
                  <c:v>90</c:v>
                </c:pt>
                <c:pt idx="2">
                  <c:v>72.29</c:v>
                </c:pt>
                <c:pt idx="3">
                  <c:v>65.36000000000001</c:v>
                </c:pt>
                <c:pt idx="4">
                  <c:v>87.5</c:v>
                </c:pt>
                <c:pt idx="5">
                  <c:v>63.14999999999998</c:v>
                </c:pt>
                <c:pt idx="6">
                  <c:v>1.8600000000000136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EMEA</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5030</c:v>
                </c:pt>
              </c:numCache>
            </c:numRef>
          </c:val>
        </c:ser>
        <c:ser>
          <c:idx val="1"/>
          <c:order val="1"/>
          <c:tx>
            <c:strRef>
              <c:f>Hoja1!$C$1</c:f>
              <c:strCache>
                <c:ptCount val="1"/>
                <c:pt idx="0">
                  <c:v>Américas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3880</c:v>
                </c:pt>
              </c:numCache>
            </c:numRef>
          </c:val>
        </c:ser>
        <c:ser>
          <c:idx val="2"/>
          <c:order val="2"/>
          <c:tx>
            <c:strRef>
              <c:f>Hoja1!$D$1</c:f>
              <c:strCache>
                <c:ptCount val="1"/>
                <c:pt idx="0">
                  <c:v>Asia/Pacífico</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2291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EMEA</c:v>
                </c:pt>
                <c:pt idx="1">
                  <c:v>Américas</c:v>
                </c:pt>
                <c:pt idx="2">
                  <c:v>Asia/Pacífico</c:v>
                </c:pt>
              </c:strCache>
            </c:strRef>
          </c:cat>
          <c:val>
            <c:numRef>
              <c:f>Hoja1!$B$2:$B$4</c:f>
              <c:numCache>
                <c:formatCode>General</c:formatCode>
                <c:ptCount val="3"/>
                <c:pt idx="0">
                  <c:v>44.9</c:v>
                </c:pt>
                <c:pt idx="1">
                  <c:v>34.6</c:v>
                </c:pt>
                <c:pt idx="2">
                  <c:v>20.5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EMEA</c:v>
                </c:pt>
                <c:pt idx="1">
                  <c:v>Américas</c:v>
                </c:pt>
                <c:pt idx="2">
                  <c:v>Asia/Pacífico</c:v>
                </c:pt>
              </c:strCache>
            </c:strRef>
          </c:cat>
          <c:val>
            <c:numRef>
              <c:f>Hoja1!$B$2:$B$4</c:f>
              <c:numCache>
                <c:formatCode>0"%"</c:formatCode>
                <c:ptCount val="3"/>
                <c:pt idx="0">
                  <c:v>44.9</c:v>
                </c:pt>
                <c:pt idx="1">
                  <c:v>34.6</c:v>
                </c:pt>
                <c:pt idx="2">
                  <c:v>20.5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CHF (a 0,80 CHF/USD))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66000</c:v>
                </c:pt>
                <c:pt idx="1">
                  <c:v>81500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Sika</c:v>
                </c:pt>
                <c:pt idx="1">
                  <c:v>Saint-Gobain (Construction Chemicals)</c:v>
                </c:pt>
                <c:pt idx="2">
                  <c:v>Holcim (Solutions &amp; Products)</c:v>
                </c:pt>
                <c:pt idx="3">
                  <c:v>RPM International</c:v>
                </c:pt>
                <c:pt idx="4">
                  <c:v>Mapei</c:v>
                </c:pt>
                <c:pt idx="5">
                  <c:v>Henkel (Adhesive Technologies, Ceresit)</c:v>
                </c:pt>
              </c:strCache>
            </c:strRef>
          </c:cat>
          <c:val>
            <c:numRef>
              <c:f>Hoja1!$B$2:$B$7</c:f>
              <c:numCache>
                <c:formatCode>0.0"%"</c:formatCode>
                <c:ptCount val="6"/>
                <c:pt idx="0">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9252.3</c:v>
                </c:pt>
                <c:pt idx="1">
                  <c:v>10491.8</c:v>
                </c:pt>
                <c:pt idx="2">
                  <c:v>11238.6</c:v>
                </c:pt>
                <c:pt idx="3">
                  <c:v>11763.1</c:v>
                </c:pt>
                <c:pt idx="4">
                  <c:v>11201.3</c:v>
                </c:pt>
                <c:pt idx="5">
                  <c:v>11313</c:v>
                </c:pt>
                <c:pt idx="6">
                  <c:v>11822</c:v>
                </c:pt>
                <c:pt idx="7">
                  <c:v>12414</c:v>
                </c:pt>
                <c:pt idx="8">
                  <c:v>12972</c:v>
                </c:pt>
                <c:pt idx="9">
                  <c:v>13556</c:v>
                </c:pt>
                <c:pt idx="10">
                  <c:v>14098</c:v>
                </c:pt>
                <c:pt idx="11">
                  <c:v>14592</c:v>
                </c:pt>
                <c:pt idx="12">
                  <c:v>15029</c:v>
                </c:pt>
                <c:pt idx="13">
                  <c:v>15405</c:v>
                </c:pt>
                <c:pt idx="14">
                  <c:v>15713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1758</c:v>
                </c:pt>
                <c:pt idx="1">
                  <c:v>1876</c:v>
                </c:pt>
                <c:pt idx="2">
                  <c:v>2165.9</c:v>
                </c:pt>
                <c:pt idx="3">
                  <c:v>2269.5</c:v>
                </c:pt>
                <c:pt idx="4">
                  <c:v>2150.7</c:v>
                </c:pt>
                <c:pt idx="5">
                  <c:v>2172</c:v>
                </c:pt>
                <c:pt idx="6">
                  <c:v>2341</c:v>
                </c:pt>
                <c:pt idx="7">
                  <c:v>2520</c:v>
                </c:pt>
                <c:pt idx="8">
                  <c:v>2672</c:v>
                </c:pt>
                <c:pt idx="9">
                  <c:v>2820</c:v>
                </c:pt>
                <c:pt idx="10">
                  <c:v>2961</c:v>
                </c:pt>
                <c:pt idx="11">
                  <c:v>3064</c:v>
                </c:pt>
                <c:pt idx="12">
                  <c:v>3156</c:v>
                </c:pt>
                <c:pt idx="13">
                  <c:v>3235</c:v>
                </c:pt>
                <c:pt idx="14">
                  <c:v>3300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51.8</c:v>
                </c:pt>
                <c:pt idx="1">
                  <c:v>49.4</c:v>
                </c:pt>
                <c:pt idx="2">
                  <c:v>53.6</c:v>
                </c:pt>
                <c:pt idx="3">
                  <c:v>54.5</c:v>
                </c:pt>
                <c:pt idx="4">
                  <c:v>54.9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c:v>
                </c:pt>
                <c:pt idx="1">
                  <c:v>17.9</c:v>
                </c:pt>
                <c:pt idx="2">
                  <c:v>19.3</c:v>
                </c:pt>
                <c:pt idx="3">
                  <c:v>19.3</c:v>
                </c:pt>
                <c:pt idx="4">
                  <c:v>19.2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c:v>
                </c:pt>
                <c:pt idx="1">
                  <c:v>14.2</c:v>
                </c:pt>
                <c:pt idx="2">
                  <c:v>15</c:v>
                </c:pt>
                <c:pt idx="3">
                  <c:v>14.6</c:v>
                </c:pt>
                <c:pt idx="4">
                  <c:v>14.3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11.3</c:v>
                </c:pt>
                <c:pt idx="1">
                  <c:v>11.1</c:v>
                </c:pt>
                <c:pt idx="2">
                  <c:v>9.5</c:v>
                </c:pt>
                <c:pt idx="3">
                  <c:v>10.6</c:v>
                </c:pt>
                <c:pt idx="4">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907</c:v>
                </c:pt>
                <c:pt idx="1">
                  <c:v>862</c:v>
                </c:pt>
                <c:pt idx="2">
                  <c:v>1457</c:v>
                </c:pt>
                <c:pt idx="3">
                  <c:v>1412</c:v>
                </c:pt>
                <c:pt idx="4">
                  <c:v>1360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1048</c:v>
                </c:pt>
                <c:pt idx="1">
                  <c:v>1162.5</c:v>
                </c:pt>
                <c:pt idx="2">
                  <c:v>1062.6</c:v>
                </c:pt>
                <c:pt idx="3">
                  <c:v>1247.6</c:v>
                </c:pt>
                <c:pt idx="4">
                  <c:v>1045.3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11.3</c:v>
                </c:pt>
                <c:pt idx="3">
                  <c:v>11.2</c:v>
                </c:pt>
                <c:pt idx="4">
                  <c:v>10.3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6.6</c:v>
                </c:pt>
                <c:pt idx="1">
                  <c:v>6.6</c:v>
                </c:pt>
                <c:pt idx="2">
                  <c:v>6.6</c:v>
                </c:pt>
                <c:pt idx="3">
                  <c:v>6.6</c:v>
                </c:pt>
                <c:pt idx="4">
                  <c:v>6.6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17.9</c:v>
                </c:pt>
                <c:pt idx="3">
                  <c:v>19.3</c:v>
                </c:pt>
                <c:pt idx="4">
                  <c:v>15.3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0.0"x"</c:formatCode>
                <c:ptCount val="3"/>
                <c:pt idx="0">
                  <c:v>2.4</c:v>
                </c:pt>
                <c:pt idx="1">
                  <c:v>2.21</c:v>
                </c:pt>
                <c:pt idx="2">
                  <c:v>2.19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304.4</c:v>
                </c:pt>
                <c:pt idx="1">
                  <c:v>142.7</c:v>
                </c:pt>
                <c:pt idx="2">
                  <c:v>3236</c:v>
                </c:pt>
                <c:pt idx="3">
                  <c:v>256.9</c:v>
                </c:pt>
                <c:pt idx="4">
                  <c:v>199.6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354</c:v>
                </c:pt>
                <c:pt idx="1">
                  <c:v>411</c:v>
                </c:pt>
                <c:pt idx="2">
                  <c:v>493</c:v>
                </c:pt>
                <c:pt idx="3">
                  <c:v>529</c:v>
                </c:pt>
                <c:pt idx="4">
                  <c:v>577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c:v>
                </c:pt>
                <c:pt idx="1">
                  <c:v>UBS Asset Management</c:v>
                </c:pt>
                <c:pt idx="2">
                  <c:v>The Vanguard Group</c:v>
                </c:pt>
                <c:pt idx="3">
                  <c:v>Norges Bank Investment Management</c:v>
                </c:pt>
              </c:strCache>
            </c:strRef>
          </c:cat>
          <c:val>
            <c:numRef>
              <c:f>Hoja1!$B$2:$B$5</c:f>
              <c:numCache>
                <c:formatCode>0.0"%"</c:formatCode>
                <c:ptCount val="4"/>
                <c:pt idx="0">
                  <c:v>7.7</c:v>
                </c:pt>
                <c:pt idx="1">
                  <c:v>5.6</c:v>
                </c:pt>
                <c:pt idx="2">
                  <c:v>4.4</c:v>
                </c:pt>
                <c:pt idx="3">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-40.2</c:v>
                </c:pt>
                <c:pt idx="1">
                  <c:v>20.3</c:v>
                </c:pt>
                <c:pt idx="2">
                  <c:v>-21.2</c:v>
                </c:pt>
                <c:pt idx="3">
                  <c:v>-23.6</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3">
                  <c:v>14.1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22.6</c:v>
                </c:pt>
                <c:pt idx="3">
                  <c:v>17.5</c:v>
                </c:pt>
                <c:pt idx="4">
                  <c:v>14.5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17.5</c:v>
                </c:pt>
                <c:pt idx="1">
                  <c:v>17.5</c:v>
                </c:pt>
                <c:pt idx="2">
                  <c:v>17.5</c:v>
                </c:pt>
                <c:pt idx="3">
                  <c:v>17.5</c:v>
                </c:pt>
                <c:pt idx="4">
                  <c:v>17.5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Sika</c:v>
                </c:pt>
                <c:pt idx="1">
                  <c:v>Saint-Gobain</c:v>
                </c:pt>
                <c:pt idx="2">
                  <c:v>Holcim</c:v>
                </c:pt>
                <c:pt idx="3">
                  <c:v>RPM International</c:v>
                </c:pt>
                <c:pt idx="4">
                  <c:v>Schindler</c:v>
                </c:pt>
                <c:pt idx="5">
                  <c:v>Geberit</c:v>
                </c:pt>
                <c:pt idx="6">
                  <c:v>Sherwin-Williams</c:v>
                </c:pt>
              </c:strCache>
            </c:strRef>
          </c:cat>
          <c:val>
            <c:numRef>
              <c:f>Hoja1!$B$2:$B$8</c:f>
              <c:numCache>
                <c:formatCode>0.0"x"</c:formatCode>
                <c:ptCount val="7"/>
                <c:pt idx="0">
                  <c:v>15.2</c:v>
                </c:pt>
                <c:pt idx="5">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Sika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c:v>
                </c:pt>
              </c:numCache>
            </c:numRef>
          </c:xVal>
          <c:yVal>
            <c:numRef>
              <c:f>Hoja1!$C$2</c:f>
              <c:numCache>
                <c:formatCode>0.0"x"</c:formatCode>
                <c:ptCount val="1"/>
                <c:pt idx="0">
                  <c:v>15.2</c:v>
                </c:pt>
              </c:numCache>
            </c:numRef>
          </c:yVal>
          <c:smooth val="0"/>
        </c:ser>
        <c:ser>
          <c:idx val="1"/>
          <c:order val="1"/>
          <c:tx>
            <c:strRef>
              <c:f>Hoja1!$A$3</c:f>
              <c:strCache>
                <c:ptCount val="1"/>
                <c:pt idx="0">
                  <c:v>Geberit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4.4</c:v>
                </c:pt>
              </c:numCache>
            </c:numRef>
          </c:xVal>
          <c:yVal>
            <c:numRef>
              <c:f>Hoja1!$C$3</c:f>
              <c:numCache>
                <c:formatCode>0.0"x"</c:formatCode>
                <c:ptCount val="1"/>
                <c:pt idx="0">
                  <c:v>17.4</c:v>
                </c:pt>
              </c:numCache>
            </c:numRef>
          </c:yVal>
          <c:smooth val="0"/>
        </c:ser>
        <c:axId val="10"/>
        <c:axId val="20"/>
      </c:scatterChart>
      <c:valAx>
        <c:axId val="10"/>
        <c:scaling>
          <c:orientation val="minMax"/>
          <c:max val="4.6000000000000005"/>
          <c:min val="3.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MBCC Group (química de construcción ex BASF)</c:v>
                </c:pt>
                <c:pt idx="1">
                  <c:v>Fosroc</c:v>
                </c:pt>
              </c:strCache>
            </c:strRef>
          </c:cat>
          <c:val>
            <c:numRef>
              <c:f>Hoja1!$B$2:$B$3</c:f>
              <c:numCache>
                <c:formatCode>0.0"x"</c:formatCode>
                <c:ptCount val="2"/>
                <c:pt idx="0">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1369</c:v>
                </c:pt>
                <c:pt idx="1">
                  <c:v>1472</c:v>
                </c:pt>
                <c:pt idx="2">
                  <c:v>1580</c:v>
                </c:pt>
                <c:pt idx="3">
                  <c:v>1691</c:v>
                </c:pt>
                <c:pt idx="4">
                  <c:v>1786</c:v>
                </c:pt>
                <c:pt idx="5">
                  <c:v>1887</c:v>
                </c:pt>
                <c:pt idx="6">
                  <c:v>1962</c:v>
                </c:pt>
                <c:pt idx="7">
                  <c:v>2029</c:v>
                </c:pt>
                <c:pt idx="8">
                  <c:v>2092</c:v>
                </c:pt>
                <c:pt idx="9">
                  <c:v>2146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12509</c:v>
                </c:pt>
                <c:pt idx="1">
                  <c:v>21331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185,35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124.12</c:v>
                </c:pt>
                <c:pt idx="1">
                  <c:v>176.88</c:v>
                </c:pt>
                <c:pt idx="2">
                  <c:v>211.62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185,35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(120,35 – 197,60)</c:v>
                </c:pt>
                <c:pt idx="1">
                  <c:v>Precio objetivo de los analistas (150,00 – 240,00)</c:v>
                </c:pt>
                <c:pt idx="2">
                  <c:v>Comparables: PER NTM (127,76 – 200,05)</c:v>
                </c:pt>
                <c:pt idx="3">
                  <c:v>DCF (WACC y g ± 0,5) (149,91 – 215,27)</c:v>
                </c:pt>
                <c:pt idx="4">
                  <c:v>Escenarios (bajista – alcista) (124,12 – 211,62)</c:v>
                </c:pt>
                <c:pt idx="5">
                  <c:v>DCF con la prima implícita del mercado (4,2 %)</c:v>
                </c:pt>
                <c:pt idx="6">
                  <c:v>Precio actual (185,35)</c:v>
                </c:pt>
              </c:strCache>
            </c:strRef>
          </c:cat>
          <c:val>
            <c:numRef>
              <c:f>Hoja1!$B$2:$B$8</c:f>
              <c:numCache>
                <c:formatCode>#,##0</c:formatCode>
                <c:ptCount val="7"/>
                <c:pt idx="0">
                  <c:v>120.35</c:v>
                </c:pt>
                <c:pt idx="1">
                  <c:v>150</c:v>
                </c:pt>
                <c:pt idx="2">
                  <c:v>127.76</c:v>
                </c:pt>
                <c:pt idx="3">
                  <c:v>149.91</c:v>
                </c:pt>
                <c:pt idx="4">
                  <c:v>124.12</c:v>
                </c:pt>
                <c:pt idx="5">
                  <c:v>207.68</c:v>
                </c:pt>
                <c:pt idx="6">
                  <c:v>184.42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(120,35 – 197,60)</c:v>
                </c:pt>
                <c:pt idx="1">
                  <c:v>Precio objetivo de los analistas (150,00 – 240,00)</c:v>
                </c:pt>
                <c:pt idx="2">
                  <c:v>Comparables: PER NTM (127,76 – 200,05)</c:v>
                </c:pt>
                <c:pt idx="3">
                  <c:v>DCF (WACC y g ± 0,5) (149,91 – 215,27)</c:v>
                </c:pt>
                <c:pt idx="4">
                  <c:v>Escenarios (bajista – alcista) (124,12 – 211,62)</c:v>
                </c:pt>
                <c:pt idx="5">
                  <c:v>DCF con la prima implícita del mercado (4,2 %)</c:v>
                </c:pt>
                <c:pt idx="6">
                  <c:v>Precio actual (185,35)</c:v>
                </c:pt>
              </c:strCache>
            </c:strRef>
          </c:cat>
          <c:val>
            <c:numRef>
              <c:f>Hoja1!$C$2:$C$8</c:f>
              <c:numCache>
                <c:formatCode>#,##0</c:formatCode>
                <c:ptCount val="7"/>
                <c:pt idx="0">
                  <c:v>77.25</c:v>
                </c:pt>
                <c:pt idx="1">
                  <c:v>90</c:v>
                </c:pt>
                <c:pt idx="2">
                  <c:v>72.29</c:v>
                </c:pt>
                <c:pt idx="3">
                  <c:v>65.36000000000001</c:v>
                </c:pt>
                <c:pt idx="4">
                  <c:v>87.5</c:v>
                </c:pt>
                <c:pt idx="5">
                  <c:v>63.14999999999998</c:v>
                </c:pt>
                <c:pt idx="6">
                  <c:v>1.8600000000000136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