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Alfa Laval AB (publ)</w:t>
      </w:r>
    </w:p>
    <w:p>
      <w:pPr>
        <w:spacing w:after="60"/>
        <w:rPr>
          <w:color w:val="52514E"/>
          <w:sz w:val="22"/>
          <w:szCs w:val="22"/>
        </w:rPr>
      </w:pPr>
      <w:r>
        <w:rPr>
          <w:color w:val="52514E"/>
          <w:sz w:val="22"/>
          <w:szCs w:val="22"/>
        </w:rPr>
        <w:t xml:space="preserve">ALFA · Nasdaq Stockholm (Large Cap) · ISIN SE0000695876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587,80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566,76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-2,0 % (base +5,6 %)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430,84 SEK · mercado 486,90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242.953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Alfa Laval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ALFA / SE0000695876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Lund (Suecia) · 1883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www.alfalaval.com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587,80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426,40 – 595,40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242.953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259.795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261 M SEK/día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566,76 SEK</w:t>
      </w:r>
      <w:r>
        <w:t xml:space="preserve"> frente a 587,80 · Rentabilidad a 12 meses </w:t>
      </w:r>
      <w:r>
        <w:rPr>
          <w:b/>
          <w:bCs/>
        </w:rPr>
        <w:t xml:space="preserve">-2,0 % (base +5,6 %)</w:t>
      </w:r>
      <w:r>
        <w:t xml:space="preserve"> · Valor intrínseco 430,84 SEK · con la prima implícita del mercado: 486,90 (-17,2 %) · Alcista / bajista -17,7 % / -49,7 %</w:t>
      </w:r>
    </w:p>
    <w:p>
      <w:pPr>
        <w:spacing w:after="100"/>
      </w:pPr>
      <w:r>
        <w:rPr>
          <w:b/>
        </w:rPr>
        <w:t xml:space="preserve">La recomendación y por qué.</w:t>
      </w:r>
      <w:r>
        <w:t xml:space="preserve"> Mantener con convicción media. El objetivo a 12 meses es 566,76 SEK (ponderado; 611,94 en el base) frente a un precio de 587,80 del 14-oct-26: rentabilidad ponderada del −2,0 % y del base del +5,6 % con dividendo, muy lejos del 15 % que pide un Comprar. El valor intrínseco, 430,84 SEK, queda un 26,7 % por debajo del precio, y el objetivo medio de los analistas (591) coincide casi con la cotización. A 12 meses el bajista pierde un 33,2 % y el alcista gana un 13,8 %: la asimetría es mala. La convicción es media porque las dos reglas (con nuestro WACC y con la prima del mercado) coinciden y la rentabilidad está lejos de los umbrales; subiría a alta si el 3T26 (27-oct) muestra un margen EBITA ajustado por debajo del 17 % con pedidos a la baja.</w:t>
      </w:r>
    </w:p>
    <w:p>
      <w:pPr>
        <w:spacing w:after="100"/>
      </w:pPr>
      <w:r>
        <w:rPr>
          <w:b/>
        </w:rPr>
        <w:t xml:space="preserve">El negocio.</w:t>
      </w:r>
      <w:r>
        <w:t xml:space="preserve"> Alfa Laval es una empresa de calidad: ROIC del 16,7 % frente a un WACC del 8,69 % (8,0 puntos; 60,8 % de ROCE sin el fondo de comercio de las compras [1]), un 30 % de las ventas en servicio y nichos casi monopolísticos como las bombas de carga Framo. Veredicto de calidad: en parte. La sostenibilidad del crecimiento es «En parte»: el volumen orgánico se financia solo, pero la parte comprada (Fives Cryogenics a ≈22 veces el EBITA) rinde poco los primeros años.</w:t>
      </w:r>
    </w:p>
    <w:p>
      <w:pPr>
        <w:spacing w:after="100"/>
      </w:pPr>
      <w:r>
        <w:rPr>
          <w:b/>
        </w:rPr>
        <w:t xml:space="preserve">Sector y ciclo.</w:t>
      </w:r>
      <w:r>
        <w:t xml:space="preserve"> Ocean (34 % de las ventas, 42 % del EBITA de las divisiones) vive el pico del ciclo naval: el libro de pedidos mundial está en máximos de 17 años [15] y los pedidos de la división subieron un 26 % orgánico en el 2T26 por petroleros [2]. Centros de datos, GNL y biocombustibles empujan Energy y Food &amp; Pharma, con récord de pedidos del grupo (22.235 M) y cartera de 53.546 M.</w:t>
      </w:r>
    </w:p>
    <w:p>
      <w:pPr>
        <w:spacing w:after="100"/>
      </w:pPr>
      <w:r>
        <w:rPr>
          <w:b/>
        </w:rPr>
        <w:t xml:space="preserve">Finanzas.</w:t>
      </w:r>
      <w:r>
        <w:t xml:space="preserve"> Ventas +10,9 % anual en 2020-2025 y BPA +18,8 %; margen EBITDA del 20,5 % en 2025. La deuda neta sube a 16.013 M (1,1 veces el EBITDA) por Fives y el circulante; la conversión en caja cayó al 68 % en 2025.</w:t>
      </w:r>
    </w:p>
    <w:p>
      <w:pPr>
        <w:spacing w:after="100"/>
      </w:pPr>
      <w:r>
        <w:rPr>
          <w:b/>
        </w:rPr>
        <w:t xml:space="preserve">Equipo y gobierno.</w:t>
      </w:r>
      <w:r>
        <w:t xml:space="preserve"> Equipo estable que cumplió sus objetivos; la familia Rausing tiene el 29,5 % y Tetra Pak es el primer cliente (7,5 % de las ventas). El incentivo a largo plazo premia margen y crecimiento, no el ROIC, y el consejero delegado tiene 66 años sin sucesor anunciado.</w:t>
      </w:r>
    </w:p>
    <w:p>
      <w:pPr>
        <w:spacing w:after="100"/>
      </w:pPr>
      <w:r>
        <w:rPr>
          <w:b/>
        </w:rPr>
        <w:t xml:space="preserve">Valoración.</w:t>
      </w:r>
      <w:r>
        <w:t xml:space="preserve"> El DCF da 423,65 SEK (−27,9 %); el DCF inverso pide un 11,5 % anual de crecimiento en 2027-2033 frente a nuestro 5,4 %, o un margen EBITDA del 27,3 % que nunca ha tenido. Los comparables dan 472,92-493,40 SEK. Con la prima del mercado el objetivo sube a 486,90 y sigue por debajo del precio. Nuestro BPA de 2028 (26,04) está un 5,8 % bajo el consenso por la corona y el margen de Energy. Una acción cuesta 52,68 EUR.</w:t>
      </w:r>
    </w:p>
    <w:p>
      <w:pPr>
        <w:spacing w:after="100"/>
      </w:pPr>
      <w:r>
        <w:rPr>
          <w:b/>
        </w:rPr>
        <w:t xml:space="preserve">Riesgos y catalizadores.</w:t>
      </w:r>
      <w:r>
        <w:t xml:space="preserve"> El mayor riesgo es el fin del ciclo naval (bajista a 12 meses: 383,52 SEK, −33 %) seguido de una compresión del múltiplo hacia 19,7 veces. Riesgo de que la IA se coma el negocio: bajo, porque vende equipo físico y la IA aumenta la demanda de refrigeración; el riesgo de IA está en un frenazo del capex de centros de datos y en el software marino. Catalizadores: 3T26 el 27-oct y día del inversor el 18-nov. En los foros, el tono es «buena pero cara», como nuestras cifras.</w:t>
      </w:r>
    </w:p>
    <w:p>
      <w:pPr>
        <w:spacing w:after="100"/>
      </w:pPr>
      <w:r>
        <w:rPr>
          <w:b/>
        </w:rPr>
        <w:t xml:space="preserve">Qué cambiaría la decisión.</w:t>
      </w:r>
      <w:r>
        <w:t xml:space="preserve"> Compraríamos por debajo de 430,84 SEK (valor intrínseco) y venderíamos por encima de 639,74. Un BPA de 2027 por encima de 26 SEK con margen EBITA del 18 % subiría el objetivo; pedidos orgánicos de Ocean negativos dos trimestres bajarían el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566,76 SEK</w:t>
      </w:r>
      <w:r>
        <w:t xml:space="preserve"> (rentabilidad -2,0 % (base +5,6 %)) · Valor intrínseco: 430,84 SEK (-26,7 % sobre 587,80) · con la prima implícita del mercado: 486,90 (-17,2 %)</w:t>
      </w:r>
    </w:p>
    <w:p>
      <w:pPr>
        <w:spacing w:after="100"/>
      </w:pPr>
      <w:r>
        <w:t xml:space="preserve">Alfa Laval es el líder mundial en intercambiadores de placas, separadores y bombas de carga para barcos, con un 30 % de las ventas en servicio, un ROIC del 16,7 % (60,8 % de ROCE sin el fondo de comercio de las compras) y un margen EBITDA del 20,5 % [1]. En 2026 vive un récord de pedidos (22.235 M en el 2T26) con tres motores a la vez: petroleros, centros de datos y biocombustibles [2].</w:t>
      </w:r>
    </w:p>
    <w:p>
      <w:pPr>
        <w:spacing w:after="100"/>
      </w:pPr>
      <w:r>
        <w:t xml:space="preserve">El precio, 587,80 SEK, descuenta un crecimiento del 11,5 % anual de 2027 a 2033 con nuestro margen, el doble que nuestro base (5,4 %), o un margen EBITDA del 27,3 %; paga 24,8 veces nuestro BPA de 2027 frente a una mediana histórica adelantada de 22,3x y a 24,2 veces el consenso de los próximos 12 meses frente a 20,3x de los comparables.</w:t>
      </w:r>
    </w:p>
    <w:p>
      <w:pPr>
        <w:spacing w:after="100"/>
      </w:pPr>
      <w:r>
        <w:t xml:space="preserve">El mercado acierta en la calidad y se adelanta en el ciclo: suma el pico naval y la promesa de los centros de datos como si fueran permanentes. Para invertir hoy habría que creer que Ocean no baja tras 2027 y que el margen sube por encima del 21 %. Preferimos esperar a un precio cercano al valor intrínseco (430,84 SEK) o a una corrección del ciclo naval.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566,76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 × 20,40 = 383,52 · 23,5x × 26,04 = 611,94 · 23,5x × 28,07 = 659,65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591,00 (nuestro base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430,84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 -49,7 %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8,7 %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486,90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frente a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(5,5 % anual proyectado; financiable al ROIC actual: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430,84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430,84 y 639,74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639,74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430,84 SEK (valor intrínseco): pasaríamos a revisar para Comprar.</w:t>
      </w:r>
    </w:p>
    <w:p>
      <w:pPr>
        <w:pStyle w:val="ListParagraph"/>
        <w:numPr>
          <w:ilvl w:val="0"/>
          <w:numId w:val="2"/>
        </w:numPr>
        <w:spacing w:after="60"/>
      </w:pPr>
      <w:r>
        <w:t xml:space="preserve">Precio por encima de 639,74 SEK: pasaríamos a Vender.</w:t>
      </w:r>
    </w:p>
    <w:p>
      <w:pPr>
        <w:pStyle w:val="ListParagraph"/>
        <w:numPr>
          <w:ilvl w:val="0"/>
          <w:numId w:val="2"/>
        </w:numPr>
        <w:spacing w:after="60"/>
      </w:pPr>
      <w:r>
        <w:t xml:space="preserve">Margen EBITA ajustado del 3T26 por debajo del 16,5 % con pedidos por debajo de 20.000 M: rebajaríamos el base.</w:t>
      </w:r>
    </w:p>
    <w:p>
      <w:pPr>
        <w:pStyle w:val="ListParagraph"/>
        <w:numPr>
          <w:ilvl w:val="0"/>
          <w:numId w:val="2"/>
        </w:numPr>
        <w:spacing w:after="60"/>
      </w:pPr>
      <w:r>
        <w:t xml:space="preserve">BPA de 2027 del consenso por encima de 27 SEK con margen EBITA del 18 % confirmado en el día del inversor: subiría el objetivo.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récord de pedidos de 2026 inicia una etapa de crecimiento de dos dígitos sostenido: centros de datos, GNL, biocombustibles y una ola naval larga por la descarbonización, con márgenes al alza hacia los de Atlas Copco. Por eso paga 24,8 veces nuestro BPA de 2027 y un objetivo medio de 591 SEK.</w:t>
      </w:r>
    </w:p>
    <w:p>
      <w:pPr>
        <w:keepNext/>
        <w:spacing w:after="100"/>
      </w:pPr>
      <w:r>
        <w:rPr>
          <w:b/>
          <w:bCs/>
        </w:rPr>
        <w:t xml:space="preserve">Lo que creemos nosotros.</w:t>
      </w:r>
    </w:p>
    <w:p>
      <w:pPr>
        <w:spacing w:after="100"/>
      </w:pPr>
      <w:r>
        <w:t xml:space="preserve">Crecimiento del 5-8 % con margen EBITDA del 21 %: la cartera récord se factura, pero el ciclo naval está en su pico y Energy y Food &amp; Pharma pierden margen por inversiones y mezcla. Nuestro BPA de 2028 (26,04) queda un 5,8 % bajo el consenso, y nuestro valor intrínseco, en 430,84 SEK.</w:t>
      </w:r>
    </w:p>
    <w:p>
      <w:pPr>
        <w:keepNext/>
        <w:spacing w:after="100"/>
      </w:pPr>
      <w:r>
        <w:rPr>
          <w:b/>
          <w:bCs/>
        </w:rPr>
        <w:t xml:space="preserve">Por qué podemos tener razón.</w:t>
      </w:r>
    </w:p>
    <w:p>
      <w:pPr>
        <w:spacing w:after="100"/>
      </w:pPr>
      <w:r>
        <w:t xml:space="preserve">Los ciclos navales duran 3-4 años y el libro de pedidos ya es el 17 % de la flota; el margen de Energy lleva siete trimestres bajando (del 20,9 % al 16,1 %) y la corona resta un 5 % a las ventas. La empresa misma pone su objetivo de margen en el 17 % de media en el ciclo, no por encima.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587,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 demostrada</w:t>
      </w:r>
      <w:r>
        <w:t xml:space="preserve">: ROIC del 16,7 % frente a un WACC del 8,69 % y ROCE sin fondo de comercio del 60,8 %.</w:t>
      </w:r>
    </w:p>
    <w:p>
      <w:pPr>
        <w:pStyle w:val="ListParagraph"/>
        <w:numPr>
          <w:ilvl w:val="0"/>
          <w:numId w:val="2"/>
        </w:numPr>
        <w:spacing w:after="60"/>
      </w:pPr>
      <w:r>
        <w:rPr>
          <w:b/>
        </w:rPr>
        <w:t xml:space="preserve">Cartera récord</w:t>
      </w:r>
      <w:r>
        <w:t xml:space="preserve">: 53.546 M a jun-26, de ellos 29.100 M para facturar en el 2S26.</w:t>
      </w:r>
    </w:p>
    <w:p>
      <w:pPr>
        <w:pStyle w:val="ListParagraph"/>
        <w:numPr>
          <w:ilvl w:val="0"/>
          <w:numId w:val="2"/>
        </w:numPr>
        <w:spacing w:after="60"/>
      </w:pPr>
      <w:r>
        <w:rPr>
          <w:b/>
        </w:rPr>
        <w:t xml:space="preserve">Servicio recurrente</w:t>
      </w:r>
      <w:r>
        <w:t xml:space="preserve">: 30,4 % de las ventas y 31,9 % de los pedidos en 2025.</w:t>
      </w:r>
    </w:p>
    <w:p>
      <w:pPr>
        <w:pStyle w:val="ListParagraph"/>
        <w:numPr>
          <w:ilvl w:val="0"/>
          <w:numId w:val="2"/>
        </w:numPr>
        <w:spacing w:after="60"/>
      </w:pPr>
      <w:r>
        <w:rPr>
          <w:b/>
        </w:rPr>
        <w:t xml:space="preserve">Tres motores a la vez</w:t>
      </w:r>
      <w:r>
        <w:t xml:space="preserve">: pedidos de Light Industry &amp; Tech +104 % y de biocombustibles +178 % en el 1S26.</w:t>
      </w:r>
    </w:p>
    <w:p>
      <w:pPr>
        <w:pStyle w:val="ListParagraph"/>
        <w:numPr>
          <w:ilvl w:val="0"/>
          <w:numId w:val="2"/>
        </w:numPr>
        <w:spacing w:after="60"/>
      </w:pPr>
      <w:r>
        <w:rPr>
          <w:b/>
        </w:rPr>
        <w:t xml:space="preserve">Balance holgado</w:t>
      </w:r>
      <w:r>
        <w:t xml:space="preserve">: deuda neta de 1,1 veces el EBITDA y cobertura de intereses de 25 veces.</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11,5 % de crecimiento anual frente a nuestro 5,4 %.</w:t>
      </w:r>
    </w:p>
    <w:p>
      <w:pPr>
        <w:pStyle w:val="ListParagraph"/>
        <w:numPr>
          <w:ilvl w:val="0"/>
          <w:numId w:val="2"/>
        </w:numPr>
        <w:spacing w:after="60"/>
      </w:pPr>
      <w:r>
        <w:rPr>
          <w:b/>
        </w:rPr>
        <w:t xml:space="preserve">Ciclo naval en el pico</w:t>
      </w:r>
      <w:r>
        <w:t xml:space="preserve">: libro de pedidos mundial en máximos de 17 años y Ocean con el 42 % del EBITA de las divisiones.</w:t>
      </w:r>
    </w:p>
    <w:p>
      <w:pPr>
        <w:pStyle w:val="ListParagraph"/>
        <w:numPr>
          <w:ilvl w:val="0"/>
          <w:numId w:val="2"/>
        </w:numPr>
        <w:spacing w:after="60"/>
      </w:pPr>
      <w:r>
        <w:rPr>
          <w:b/>
        </w:rPr>
        <w:t xml:space="preserve">Margen de Energy a la baja</w:t>
      </w:r>
      <w:r>
        <w:t xml:space="preserve">: del 20,9 % (3T24) al 16,1 % (2T26).</w:t>
      </w:r>
    </w:p>
    <w:p>
      <w:pPr>
        <w:pStyle w:val="ListParagraph"/>
        <w:numPr>
          <w:ilvl w:val="0"/>
          <w:numId w:val="2"/>
        </w:numPr>
        <w:spacing w:after="60"/>
      </w:pPr>
      <w:r>
        <w:rPr>
          <w:b/>
        </w:rPr>
        <w:t xml:space="preserve">Compras caras</w:t>
      </w:r>
      <w:r>
        <w:t xml:space="preserve">: Fives Cryogenics a ≈22 veces el EBITA, 9.210 M.</w:t>
      </w:r>
    </w:p>
    <w:p>
      <w:pPr>
        <w:pStyle w:val="ListParagraph"/>
        <w:numPr>
          <w:ilvl w:val="0"/>
          <w:numId w:val="2"/>
        </w:numPr>
        <w:spacing w:after="60"/>
      </w:pPr>
      <w:r>
        <w:rPr>
          <w:b/>
        </w:rPr>
        <w:t xml:space="preserve">Asimetría mala a 12 meses</w:t>
      </w:r>
      <w:r>
        <w:t xml:space="preserve">: bajista −33,2 % frente a alcista +13,8 %.</w:t>
      </w:r>
    </w:p>
    <w:p>
      <w:pPr>
        <w:pStyle w:val="Heading2"/>
      </w:pPr>
      <w:r>
        <w:t xml:space="preserve">Qué tiene que pasar para que la tesis funcione</w:t>
      </w:r>
    </w:p>
    <w:p>
      <w:pPr>
        <w:spacing w:after="100"/>
      </w:pPr>
      <w:r>
        <w:t xml:space="preserve">La tesis depende de que Ocean no caiga tras el pico de pedidos de petroleros y de que el margen de Energy vuelva por encima del 17 %. La señal de que no se cumple: pedidos orgánicos de Ocean negativos dos trimestres seguidos o un margen EBITA ajustado del grupo por debajo del 17 % en el 3T26 y el 4T26, con el día del inversor del 18-nov sin objetivos de margen por división.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de Ocean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Negativos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el fin del ciclo naval.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17,5-18 %.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Energy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Criogenia y centros de datos con menos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53.546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48.000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ventas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compras caras.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 / 15,6x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29,7x / 24,2x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Alfa Laval nació en 1883 sobre el separador centrífugo de Gustaf de Laval y hoy vende en más de 100 países con tres tecnologías: separación, transferencia de calor y manejo de fluidos [14]. El grupo Tetra Laval la compró en 1991; tras una etapa de capital privado volvió a cotizar en 2002 y la familia Rausing conserva un 29,5 % a través de Winder Holding [1]. Su forma actual la dan las compras: Framo (bombas de carga, 2014), StormGeo (2021), Desmet y Scanjet (2022) y Fives Cryogenics (2025, 9.210 M) [1]. Con Tom Erixon, desde 2016, las ventas se duplicaron (de 35.634 a 69.674 M) y el margen EBITA ajustado subió del 15,6 % al 17,7 %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sobre el separador centrífugo de Gustaf de Laval; más de 140 años después vende en más de 100 países [B1, B5].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Frank Mohn (Framo), las bombas de carga sumergidas que hoy son la unidad Pumping Systems de Ocean [B1].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Erixon (antes Ovako y Sandvik Coromant) toma el mando como consejero delegado el 1 de marzo [B1].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StormGeo (software y meteorología marítima); salida de caja por compras de 3.828 M [B1, A6].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Desmet (aceites, grasas y biocombustibles) y Scanjet; salida de Rusia con 767 M de partidas no recurrentes [B1].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Fives Cryogenics por 9.210 M (julio); objetivos nuevos de crecimiento del 7 % y margen del 17 % (octubre) [B1, A7].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Divisiones renombradas (Food &amp; Pharma y Ocean); récord de pedidos en el 2T26 (22.235 M); día del inversor el 18-nov-2026 [A2, D10].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Alfa Laval fabrica intercambiadores de calor de placas (con juntas, soldados por cobre o fusión, soldados, de aire y criogénicos), separadores centrífugos y decantadores, bombas y válvulas higiénicas, y sistemas marinos: bombas de carga Framo, calderas, depuradoras de gases y de agua de lastre y sistemas de combustible de GNL y metanol [1]. Se organiza en tres divisiones: Energy (20.250 M de ventas en 2025), Food &amp; Pharma (25.635 M) y Ocean (23.790 M) [1]. Los clientes son fabricantes de equipos de climatización y bombas de calor, centros de datos y semiconductores, refinerías, GNL y química, lácteos, aceites y biocombustibles, farmacia, astilleros y armadores. Vende en todo el mundo: la UE el 24 %, Norteamérica el 18,5 %, China el 19 % y el resto de Asia el 23 % [4]. Tiene 24.832 empleados [2].</w:t>
      </w:r>
    </w:p>
    <w:p>
      <w:pPr>
        <w:pStyle w:val="Heading2"/>
      </w:pPr>
      <w:r>
        <w:t xml:space="preserve">Cómo gana dinero</w:t>
      </w:r>
    </w:p>
    <w:p>
      <w:pPr>
        <w:spacing w:after="100"/>
      </w:pPr>
      <w:r>
        <w:t xml:space="preserve">Gana dinero con el equipo nuevo (70 % de las ventas) y con el servicio sobre la base instalada (30,4 % de las ventas en 2025 y 31,9 % de los pedidos [4]): repuestos, placas y juntas de recambio, revisiones de separadores y contratos de servicio, con márgenes muy superiores. La parte de proyectos (refinerías, GNL, biocombustibles, barcos) se cobra con anticipos: los pasivos de contratos (12.293 M) superan a los activos de contratos (5.052 M) [1]. El margen depende de la carga de las fábricas y de la mezcla (servicio y bombas de carga dan más; criogenia y proyectos, menos): Ocean llegó al 24,9 % de margen EBITA ajustado en el 2T26 y Energy bajó al 16,1 % [2]. Apalancamiento operativo moderado y algo de estacionalidad (el 4T factura más).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&amp; Pharma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Ocean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Other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LTM jun-26</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&amp; Pharma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Ocean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Other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muy diversificada salvo un cliente: Tetra Pak, del mismo grupo que el accionista de referencia, compró 5.198 M en 2025 (7,5 % de las ventas) bajo un acuerdo de distribución de 1999 que se puede romper con 12 meses de preaviso [1]. Los demás clientes son miles de fabricantes, astilleros e industrias de proceso; en el 2T26 los pedidos grandes (más de 5 M EUR) fueron 1.095 M solo en Energy [2]. Poder de precios demostrado: en 2022-2023 la inflación de costes se repercutió y el margen EBITDA pasó del 18,5 % (2023) al 20,5 % (2025) [1]; la empresa dice que la cartera está «en línea con los costes actuales»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74.592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66.742 (2025); 39.847 en el 1S26 (+16 %)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en 2025; +35 %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trimestral en el 2T26 (22.235 M, +29 % orgánico) por petroleros, centros de datos y un pedido de biodiésel y SAF en Brasil de más de 1.000 M [A1,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52.319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48.259 (dic-25); 53.546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29.100 M para facturar en el 2S26; Ocean 22.931 M (43 %)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en %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 (2025); 28,5 %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servicio cayó un 1 % en el 2T26 por la divisa (−4,7 %); orgánico +2,9 % [A2, A4].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 (2025); 17,0 %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nuevo: 17 % de media en el ciclo (antes 15 %) [A1, A7].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del capital empleado (ROCE)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(2025); 21,7 %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puntos en 12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fondo de comercio ni revalorizaciones de compras: 60,8 % en 2025 [A1, A2].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(equivalentes a jornada completa)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22.828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Fives Cryogenics (714 empleados) y una compra en China [A1, A2].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equipos de transferencia de calor, separación y manejo de fluidos para industria, energía, alimentación y barcos, sin un perímetro único publicado. Usamos dos medidas parciales: intercambiadores de placas y bastidor (MarketsandMarkets: 7.210 M USD en 2025, el que tomamos como serie) e intercambiadores de placas (Global Market Insights: 5.100 M USD) [11, 12]. Para Ocean, la referencia es la contratación naval mundial [13, 15]. Detalle en la ficha sectorial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Intercambiadores de placas y bastidor: 7.210 M USD en 2025 y 10.500 M USD en 2030 [B2]; intercambiadores de placas: 5.100 M USD en 2025 [B3]. ≈51.000-72.000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tercambiadores de placas y bastidor,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y semiconductores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Light Industry &amp; Tech de Energy +104 % en el 1S26, el 32 % de la división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naval (petroleros, portacontenedores, metaneros)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Libro de pedidos mundial de 191 M CGT, 17 % de la flota y máximo de 17 años [15]; 1.481 barcos encargados en el 1S26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GNL, hidrógeno, captura de carbono, bombas de calor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Clean Fuels, Power &amp; Chemicals +60 % en pedidos del 1S26; criogenia con «varios proyectos importantes»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Biocombustibles y SAF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biocombustibles +178 % en el 1S26 en Food &amp; Pharma; pedido de más de 1.000 M en Brasil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(corona fuerte)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de −5,4 % sobre las ventas del 1S26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en intercambiadores de placas suman el 45 % [12]; compiten Danfoss, Kelvion, Xylem, GEA y fabricantes chinos en el producto estándar.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salvo Tetra Pak (7,5 %) [1]; el equipo es una parte pequeña del coste de un barco o una planta.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Metales (acero inoxidable, titanio, cobre) repercutibles; margen bruto ajustado del 37,0 %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Especificación en proyectos y base instalada; las bombas de carga Framo son casi un estándar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intercambiador de placas sustituye al de carcasa y tubos (TS45 lanzado en 2026 [2]); en refrigeración de centros de datos compiten la inmersión y otros diseños.</w:t>
            </w:r>
          </w:p>
        </w:tc>
      </w:tr>
    </w:tbl>
    <w:p>
      <w:pPr>
        <w:spacing w:after="160" w:before="0"/>
      </w:pPr>
    </w:p>
    <w:p>
      <w:pPr>
        <w:pStyle w:val="Heading2"/>
      </w:pPr>
      <w:r>
        <w:t xml:space="preserve">Ciclo</w:t>
      </w:r>
    </w:p>
    <w:p>
      <w:pPr>
        <w:spacing w:after="100"/>
      </w:pPr>
      <w:r>
        <w:t xml:space="preserve">Los pedidos de Ocean y la contratación naval están en máximos de 17 años [15], y los pedidos del grupo marcaron récord en el 2T26 (22.235 M) [2]: es la parte alta del ciclo marino. En 2020 las ventas cayeron un 11 % (de 46.517 a 41.468 M) y el BPA un 35 % [1]; en 2022 crecieron un 27 % con compras e inflación, con 767 M de costes de salida de Rusia. La energía (GNL, centros de datos) va en otra fase, de expansión.</w:t>
      </w:r>
    </w:p>
    <w:p>
      <w:pPr>
        <w:pStyle w:val="Heading2"/>
      </w:pPr>
      <w:r>
        <w:t xml:space="preserve">Regulación</w:t>
      </w:r>
    </w:p>
    <w:p>
      <w:pPr>
        <w:spacing w:after="100"/>
      </w:pPr>
      <w:r>
        <w:t xml:space="preserve">La OMI exige reducir las emisiones del transporte marítimo hacia 2050 y la UE incluyó el transporte marítimo en su sistema de comercio de emisiones desde 2024: empuja combustibles de GNL y metanol, depuradoras y eficiencia, donde Ocean vende [17]. En Europa, el reglamento de gases fluorados favorece las bombas de calor con intercambiadores soldados. Los aranceles de EE. UU. de 2025 se repercuten en precio. No hay cambios en tramitación con fecha que muevan las cifras de 2027.</w:t>
      </w:r>
    </w:p>
    <w:p>
      <w:pPr>
        <w:pStyle w:val="Heading2"/>
      </w:pPr>
      <w:r>
        <w:t xml:space="preserve">Tendencias y disrupción</w:t>
      </w:r>
    </w:p>
    <w:p>
      <w:pPr>
        <w:spacing w:after="100"/>
      </w:pPr>
      <w:r>
        <w:t xml:space="preserve">Tres tendencias favorecen a Alfa Laval: la refrigeración líquida de centros de datos (lanzó FreeWaterLoop en 2026 y crece en Norteamérica [2]), la descarbonización naval (sistemas de GNL criogénico, metanol) y los biocombustibles y el SAF (Desmet). En contra: fabricantes chinos con intercambiadores estándar baratos y la digitalización del servicio naval, donde StormGeo compite con software nuevo apoyado en IA.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cinco primeros del mundo en intercambiadores de placas (los cinco suman el 45 % [12]), líder en bombas de carga para petroleros de productos y quimiqueros (Framo) y en separadores de alta velocidad; la empresa no publica cuotas.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Xylem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y bombas; compite en intercambiadores de placas por su marca (aprox.: EBIT 2025 sobre ventas de 12 meses)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Wärtsilä</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WRT1V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Motores y sistemas marinos y de GNL; rival de Ocean en sistemas de gas y servicio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G1A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Separadores, intercambiadores y procesos de alimentación y farmacia: el rival directo de Food &amp; Pharma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Sulzer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de proceso y separación química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SPX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SPXC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(torres de refrigeración) y detección; competidor en refrigeración industrial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Kelvion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Intercambiadores de placas y carcasa y tubos; de capital privado, sin cuentas publicadas leídas.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Danfoss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Intercambiadores soldados para climatización y bombas de calor (familiar, no cotiza).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el software marino (StormGeo, más de 12.000 barcos)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que exige repuestos y servicio propios: 30,4 % de las ventas en servicio [A4]; bombas Framo especificadas en el diseño del barco.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especificación y patentes de placas; I+D del 2,6 % de las ventas en el 2T26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20,5 % frente a una mediana de comparables del 21,6 %: no es la de menor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mundial de servicio y fábricas; en nichos como bombas de carga, mercado demasiado pequeño para dos líderes.</w:t>
            </w:r>
          </w:p>
        </w:tc>
      </w:tr>
    </w:tbl>
    <w:p>
      <w:pPr>
        <w:spacing w:after="160" w:before="0"/>
      </w:pPr>
    </w:p>
    <w:p>
      <w:pPr>
        <w:pStyle w:val="Heading2"/>
      </w:pPr>
      <w:r>
        <w:t xml:space="preserve">Amenazas</w:t>
      </w:r>
    </w:p>
    <w:p>
      <w:pPr>
        <w:spacing w:after="100"/>
      </w:pPr>
      <w:r>
        <w:t xml:space="preserve">La mayor amenaza es china: los astilleros chinos se llevaron el 72 % de los pedidos del 1S26 [13] y prefieren proveedores locales en el equipo estándar; Alfa Laval responde comprando un fabricante chino (515 M en el 1T26 [2]). En intercambiadores estándar para climatización, Danfoss y Kelvion compiten en precio. En refrigeración de centros de datos, un cambio de tecnología (inmersión) podría reducir el contenido de intercambiadores por megavatio. Probabilidad media en el horizonte de cinco años; el servicio y los nichos (Framo, separadores) protegen.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2020-2025: ingresos </w:t>
      </w:r>
      <w:r>
        <w:rPr>
          <w:b/>
          <w:bCs/>
        </w:rPr>
        <w:t xml:space="preserve">10,9 %</w:t>
      </w:r>
      <w:r>
        <w:t xml:space="preserve">, EBITDA </w:t>
      </w:r>
      <w:r>
        <w:rPr>
          <w:b/>
          <w:bCs/>
        </w:rPr>
        <w:t xml:space="preserve">11,2 %</w:t>
      </w:r>
      <w:r>
        <w:t xml:space="preserve">, BPA </w:t>
      </w:r>
      <w:r>
        <w:rPr>
          <w:b/>
          <w:bCs/>
        </w:rPr>
        <w:t xml:space="preserve">18,8 %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10,9 % anual de 2020 a 2025, con dos saltos (+27,4 % en 2022 y +22,0 % en 2023) que mezclan compras (StormGeo, Desmet), inflación repercutida y el auge naval; en 2024-2025 el crecimiento se moderó al 5,3 % y al 4,1 % en SEK (8 % orgánico en 2025 [4]). El margen EBITDA bajó del 20,3 % (2021) al 18,5 % (2023) por la inflación de costes y subió al 20,5 % en 2025 por la mezcla de Ocean (bombas y servicio) y la carga de fábrica. El BPA creció un 18,8 % anual. En el 1S26 las ventas suben un 2,3 % (orgánico +3,8 %, compras +3,8 %, divisa −5,4 %) y el margen EBITA ajustado baja al 17,5 % (17,8 %) [2]. Años no comparables: 2020 (covid) y 2022 (Rusia), y 2025 por Fives Cryogenics desde julio.</w:t>
      </w:r>
    </w:p>
    <w:p>
      <w:pPr>
        <w:pStyle w:val="Heading2"/>
      </w:pPr>
      <w:r>
        <w:t xml:space="preserve">Ajustes y partidas no recurrentes</w:t>
      </w:r>
    </w:p>
    <w:p>
      <w:pPr>
        <w:spacing w:after="100"/>
      </w:pPr>
      <w:r>
        <w:t xml:space="preserve">Usamos cifras publicadas. Las partidas no recurrentes dentro del EBITDA (2020: 796 M por reestructuración; 2021: 192 M; 2022: 767 M por la salida de Rusia) se separan en la tabla de partidas no recurrentes [1]. La empresa publica un BPA sin la amortización de las revalorizaciones de compras (10,15 SEK en el 1S26 frente a 9,50 publicado [2]); no lo usamos: nuestro BPA es el publicado, en la misma base que la historia del PER. De 2023 a 2025 no hubo partidas que afecten a la comparabilidad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(21-jul) la dirección destacó el récord de pedidos (22.235 M, +29 % orgánico) con tres motores: contratación de petroleros (Ocean +26 % orgánico, con éxito en petroleros LR para las bombas de carga), centros de datos (Energy +36 % orgánico, «sobre todo para entregar en 2027») y el mayor pedido de su historia, una biorrefinería de biodiésel y SAF en Brasil de más de 1.000 M [2]. Reconoció que el margen de Energy (16,1 %) quedó «algo por debajo de lo esperado» por inflación de costes, carga irregular de fábricas, partidas puntuales y mezcla, y que las inversiones en farmacia y flujo industrial «pesarán algo» en el margen de 2026 y 2027 [2]. La perspectiva pasó de «algo mayor» (abr-26) a «algo menor» que el trimestre anterior para el 3T, con pedidos por encima de 20.000 M y un capex de 2.500-3.000 M en el año [2, 18]. En el 1T26 el mensaje fue el contrario: pedidos planos en SEK (+6 % orgánico) y presión de la divisa [3]. No hemos podido leer las preguntas de los analistas (transcripción de pago).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Fives Cryogenics, consolidada desde el 7-jul-2025 (9.210 M SEK; unos 2.250 M de ventas anuales): solo medio año en la cuenta.; 2022: Desmet (ingeniería de aceites y biocombustibles) y Scanjet, compradas en 2022; 3.685 M de salida de caja por compras.).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pasó de 5.493 M (dic-24, 0,43 veces el EBITDA) a 13.179 M (dic-25) y 16.013 M (jun-26, 1,11 veces) por Fives Cryogenics (9.412 M de salida de caja por compras en 2025), el dividendo (3.720 M en abril) y el circulante [1, 2]. En el 1S26 las existencias subieron 1.600 M por la cartera récord. La deuda bruta (17.507 M) tiene 8.760 M a corto (pagarés de 3.331 M y bonos que vencen) [2]: hay que refinanciar, pero con 1,1 veces el EBITDA y cobertura de intereses de 25 veces [1] el riesgo es bajo.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31.576</w:t>
      </w:r>
      <w:r>
        <w:t xml:space="preserve">, conversión </w:t>
      </w:r>
      <w:r>
        <w:rPr>
          <w:b/>
          <w:bCs/>
        </w:rPr>
        <w:t xml:space="preserve">91 %</w:t>
      </w:r>
      <w:r>
        <w:t xml:space="preserve"> del beneficio neto; adquisiciones 17.382, dividendos 13.880, recompras 2.000.</w:t>
      </w:r>
    </w:p>
    <w:p>
      <w:pPr>
        <w:spacing w:after="100"/>
      </w:pPr>
      <w:r>
        <w:t xml:space="preserve">La conversión de beneficio en caja es buena en el ciclo (91 % de 2020 a 2025, con 31.576 M de FCF acumulado) pero irregular: 25 % en 2022 (existencias y cuentas de clientes con el auge de pedidos) y 115 % en 2024 (anticipos de proyectos) [1]. En 2025 bajó al 68 % (FCF de 5.646 M) por el circulante (−2.674 M). Del FCF acumulado salieron 17.382 M a compras, 13.880 M a dividendos y 2.000 M a recompras. El capex subió del 3,0 % de las ventas (2020-2021) al 5,0 % en 2024 por ampliaciones de capacidad (placas soldadas, Italia, Suecia) y el 3,8 % en 2025; para 2026 la guía es de 2.500-3.000 M [18]. Estimación propia: unos 2 puntos de las ventas son mantenimiento (cerca de la amortización sin las revalorizaciones de compras, 1.918 M en 2025) y el resto, crecimiento.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AB (socios firmantes Andreas Troberg y Hanna Fehland)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EY desde 2023 con opinión favorable [1]. Altman Z de 4,49 (zona segura), Piotroski F de 6 sobre 9 (falla en endeudamiento y liquidez por la compra de Fives) y Beneish M de −2,54, lejos de la zona de manipulación. Los gastos de I+D se llevan a resultados (no hay capitalización relevante leída). El beneficio publicado lleva la amortización de las revalorizaciones de compras (585 M en 2025, 699 M en los 12 meses a jun-26), que la empresa excluye en su EBITA ajustado: usamos el publicado, más conservador. Reconocimiento de ingresos por grado de avance en proyectos (activos de contratos de 5.052 M), un área de juicio que el auditor señala junto a la valoración de Fives Cryogenics [1]. La reexpresión de balance y flujos de 2025 (contratos y arrendamientos) rompe la comparabilidad de 2020-2023 con 2024-2025. Remuneración en acciones: no hay; el incentivo a largo plazo se paga en efectivo.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29.722 M (30 % del activo) tras Fives Cryogenics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grandes salvo MPS (pequeño); la prueba de deterioro de Fives es área clave del auditor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en caja del 68 %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circulante de proyectos y existencias para la cartera récord; ya pasó en 2022 y se revirtió en 2023-2024.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Parte vinculada: Tetra Pak, 7,5 %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1999 con precios no inferiores a los de terceros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21,1 % · </w:t>
      </w:r>
      <w:r>
        <w:rPr>
          <w:b/>
          <w:bCs/>
        </w:rPr>
        <w:t xml:space="preserve">WACC</w:t>
      </w:r>
      <w:r>
        <w:t xml:space="preserve">: 8,7 %.</w:t>
      </w:r>
    </w:p>
    <w:p>
      <w:pPr>
        <w:spacing w:after="100"/>
      </w:pPr>
      <w:r>
        <w:t xml:space="preserve">Alfa Laval crea valor: ROIC del 16,7 % en 2025 frente a un WACC del 8,69 %, unos 8,0 puntos de diferencia, y por encima del WACC todos los años desde 2020 (mínimo del 12,2 % en 2022). El ROIC incluye 29.722 M de fondo de comercio de compras: sin él y sin las revalorizaciones, la empresa calcula un ROCE antes de impuestos del 60,8 % en 2025 [1], que es la rentabilidad del negocio orgánico. El ROIC sube por margen (EBIT del 14,0 % en 2022 al 16,9 % en 2025) más que por rotación (0,72 a 0,75). El ROIC incremental histórico es del 21,1 %: el crecimiento de 2020-2025 creó valor pese a las compras. Frente a los comparables (mediana de ROIC del 13,3 %), Alfa Laval está en el cuartil alto, por debajo de Belimo, Wärtsilä y Atlas Copco [21].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depósitos a corto de 4.977 M SEK a 30-jun-26 [A2]; deuda bruta con entidades de crédito de 17.507 M: bonos 7.628 M, préstamos a plazo 4.172 M, pagarés 3.331 M, Swedish Export Credit 2.218 M y bancos 157 M [A2]. Líneas no dispuestas: n.d. en lo leído.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(no se ha localizado una calificación pública en el informe anual ni en los trimestrales)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1.032 M de pasivo a jun-26 frente a 180 M de activos de pensiones a dic-25; en el puente van 680 M netos de impuestos [1, 2]. Provisiones de 2.360 M (garantías y contratos) [2]. Pasivos de contratos de 12.293 M (anticipos de clientes por proyectos) a dic-25 [1]: es circulante, no deuda, porque se compensan con entregas. Fives Cryogenics se pagó entera en 2025 (sin pagos aplazados relevantes) [1]. No hemos encontrado covenants ni factoring en lo leído.</w:t>
      </w:r>
    </w:p>
    <w:p>
      <w:pPr>
        <w:pStyle w:val="Heading1"/>
      </w:pPr>
      <w:r>
        <w:t xml:space="preserve">12. Asignación de capital</w:t>
      </w:r>
    </w:p>
    <w:p>
      <w:pPr>
        <w:pStyle w:val="Confianza"/>
        <w:spacing w:after="100"/>
      </w:pPr>
      <w:r>
        <w:t xml:space="preserve">Confianza: Media</w:t>
      </w:r>
    </w:p>
    <w:p>
      <w:pPr>
        <w:spacing w:after="100"/>
      </w:pPr>
      <w:r>
        <w:t xml:space="preserve">Dividendo de entre el 40 % y el 50 % del beneficio ajustado a lo largo del ciclo según la empresa [1]; 9,00 SEK por acción con cargo a 2025 (8,50 en 2024), pagado en abril de 2026 [19]. No hay recompras vigentes (la última, en 2021-2022). Prioridades: inversión orgánica en capacidad e innovación, compras complementarias y dividendo creciente; deuda neta objetivo sin publicar, en torno a 1 vez el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Fives Cryogenics (intercambiadores criogénicos y de aluminio para GNL, hidrógeno y gases industriales)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(préstamos a plazo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1.135 M de ventas y 191 M de EBITA ajustado en el 2S25 (año completo pro forma: 2.250 y 421 M): EV/EBITA ≈21,9x. Pedidos fuertes en el 2T26; presiona el margen de Energy (16,1 % en el 2T26) [A1, A2].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de intercambiadores de calor en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para juzgarla [A2].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Desmet (ingeniería de procesos de aceites, grasas, proteínas y biocombustibles) y Scanjet (limpieza de tanques, 314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Desmet trae el mayor pedido de la historia del grupo (biodiésel y SAF en Brasil, &gt;1.000 M, 2T26) y pasa a integración completa en oct-26; sin deterioros publicados [A1, A2].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StormGeo (software y meteorología para barcos)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Ocean como solución digital (más de 12.000 barcos); sin deterioros publicados [A2].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Marine Performance Systems (resto del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pago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pago aplazado (117 M) se dio por perdido en 2024 y se rebajaron patentes y fondo de comercio: compra fallida, pequeña [A1].</w:t>
            </w:r>
          </w:p>
        </w:tc>
      </w:tr>
    </w:tbl>
    <w:p>
      <w:pPr>
        <w:spacing w:after="160" w:before="0"/>
      </w:pPr>
    </w:p>
    <w:p>
      <w:pPr>
        <w:spacing w:after="100"/>
      </w:pPr>
      <w:r>
        <w:t xml:space="preserve">Buena asignadora en lo orgánico (ROCE sin fondo de comercio del 60,8 % [1]) y más discutible en compras recientes: Fives Cryogenics costó 9.210 M por 421 M de EBITA anual (≈22x), lo que rinde ≈3,4 % después de impuestos el primer año; la tesis es crecer en GNL e hidrógeno. MPS fue un fracaso pequeño (pago aplazado perdido) [1]. De 2020 a 2025 dedicó 17.382 M a compras, 13.880 M a dividendos y 2.000 M a recompras, con un ROIC incremental del 21,1 % y sin dilución (413,3 M de acciones desde 2022).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 Erixon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Ovako y presidente de Sandvik Coromant. Con él las ventas pasaron de 35.634 M (2016) a 69.674 M (2025) y el margen EBITA ajustado del 15,6 % al 17,7 %; 129.200 acciones. Nacido en 1960 [C1].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Fredrik Ekström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1998; antes presidente de la unidad de intercambiadores de placas soldadas por cobre y fusión. 5.000 acciones [C1].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Jönsson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consejero delegado de Tetra Pak; el consejo lo considera independiente de la empresa y de los grandes accionistas. 210.000 acciones [C1].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Møller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división Energy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2002; la división pasó de 19.330 M a 22.014 M de ventas en los 12 meses a jun-26 con Fives Cryogenics [C1, A2].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Martijn Bergink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división Ocean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Pumping Systems y Framo desde 2019; Ocean dio un margen EBITA ajustado del 24,9 % en el 2T26 [C1, A2].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Sammy Hulpiau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división Food &amp; Pharma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grupo desde 1988; margen de la división estable en el 14,7 % con inversiones en farmacia y flujo industrial [C1, A2].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medio plazo (hasta oct-25): crecimiento del 5 % y margen EBITA ajustado del 15 % de media en el ciclo; ROCE ≥ 20 %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2016-2025 ≈7 % anual; margen del 17,7 % y ROCE del 23,9 % en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del 2T algo mayor que en el 1T (abr-26)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22.235 M frente a 17.612 M en el 1T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2.500-3.000 M en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1.541 M en el 1S26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director financiero y los presidentes de división llevan 20-35 años en el grupo [1]. Tom Erixon cumplió el objetivo anterior (margen del 15 %) con holgura y la junta subió los objetivos en oct-25 [7]. La credibilidad de las guías trimestrales es alta (perspectiva cualitativa que se cumple). El punto débil es la sucesión: el consejero delegado tiene 66 años, lleva diez en el cargo y no hay plan público. Los directivos tienen pocas acciones salvo Erixon (129.200, ≈76 M SEK).</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Jönsson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Finn Rausing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Jörn Rausing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Ulf Wiinberg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Henrik Lange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 Mauritsson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Lilian Fossum Biner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Nadine Crauwels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Müller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Annica Bresky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Winder Holding AG (familia Rausing, grupo Tetra Laval)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(custodio)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BNY Mellon (custodio)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Northern Trust (custodio)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AMF Tjänstepension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Alecta Tjänstepension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propias (413.326.315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7,06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42,8 M SEK en 2025 con pensión (base de 17,6 M, variable anual de 8,6 M, incentivo a largo plazo en efectivo de 7,1 M y pensión de 8,6 M) [1]. El variable anual llega al 60 % del sueldo y el de largo plazo al 50 %, medido a tres años con el margen EBITA ajustado y el crecimiento de ventas (50/50) [1]: premia crecer con margen, no la rentabilidad del capital (ni ROIC ni TSR), lo que en una empresa que compra a 22 veces el EBITA es un hueco. Hay cláusula de indemnización (hasta dos sueldos anuales para los demás directivos); sin datos del voto en la junta.</w:t>
      </w:r>
    </w:p>
    <w:p>
      <w:pPr>
        <w:pStyle w:val="Heading2"/>
      </w:pPr>
      <w:r>
        <w:t xml:space="preserve">Operaciones vinculadas, estructura de control y defensas</w:t>
      </w:r>
    </w:p>
    <w:p>
      <w:pPr>
        <w:spacing w:after="100"/>
      </w:pPr>
      <w:r>
        <w:t xml:space="preserve">Winder Holding (familia Rausing, grupo Tetra Laval) tiene el 29,53 % y dos consejeros (Finn y Jörn Rausing) [1]; propone el consejo a través de la comisión de nombramientos. Lo tratamos como accionista de control de hecho aunque no tenga mayoría. El presidente, Dennis Jönsson, fue consejero delegado de Tetra Pak, pero el consejo lo considera independiente de los grandes accionistas. Una acción, un voto; sin blindajes. La operación vinculada relevante es el acuerdo con Tetra Pak (5.198 M de ventas en 2025) [1]. Con un 29,5 % en manos estables, una opa hostil es improbable.</w:t>
      </w:r>
    </w:p>
    <w:p>
      <w:pPr>
        <w:pStyle w:val="Heading2"/>
      </w:pPr>
      <w:r>
        <w:t xml:space="preserve">Señales de alerta</w:t>
      </w:r>
    </w:p>
    <w:p>
      <w:pPr>
        <w:pStyle w:val="ListParagraph"/>
        <w:numPr>
          <w:ilvl w:val="0"/>
          <w:numId w:val="2"/>
        </w:numPr>
        <w:spacing w:after="60"/>
      </w:pPr>
      <w:r>
        <w:t xml:space="preserve">Tetra Pak (grupo Tetra Laval, del accionista de referencia) es el primer cliente: 5.198 M de ventas en 2025 (7,5 %), con un acuerdo de distribución de 1999; los precios no son menores que a terceros según la empresa [C1].</w:t>
      </w:r>
    </w:p>
    <w:p>
      <w:pPr>
        <w:pStyle w:val="ListParagraph"/>
        <w:numPr>
          <w:ilvl w:val="0"/>
          <w:numId w:val="2"/>
        </w:numPr>
        <w:spacing w:after="60"/>
      </w:pPr>
      <w:r>
        <w:t xml:space="preserve">Consejero delegado de 66 años, en el cargo desde 2016: sin plan de sucesión público.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cifras anuales: da una perspectiva cualitativa de la demanda del trimestre siguiente («algo menor» en el 3T26 que en el 2T [2]) y objetivos de ciclo: crecimiento medio del 7 %, margen EBITA ajustado del 17 % y ROCE de al menos el 20 % (actualizados el 27-oct-2025 [7]), más la aspiración de 100.000 M de ventas en 2030 [2]. Capex de 2.500-3.000 M en 2026 [18]. El día del inversor del 18-nov-2026 [28] debería detallar el camino a 2030.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[D3]; Yahoo da 21,86 de BPA (8 analistas) [D2]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[D3]; Yahoo 25,31 (7 analistas) [D2]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18.509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435,00 – 675,00</w:t>
            </w:r>
          </w:p>
        </w:tc>
      </w:tr>
    </w:tbl>
    <w:p>
      <w:pPr>
        <w:spacing w:after="160" w:before="0"/>
      </w:pPr>
    </w:p>
    <w:p>
      <w:pPr>
        <w:pStyle w:val="Heading2"/>
      </w:pPr>
      <w:r>
        <w:t xml:space="preserve">Revisiones de estimaciones</w:t>
      </w:r>
    </w:p>
    <w:p>
      <w:pPr>
        <w:spacing w:after="100"/>
      </w:pPr>
      <w:r>
        <w:t xml:space="preserve">Solo tenemos una foto del consenso (MarketScreener, 14-oct-26 [22]); Yahoo da cifras parecidas (BPA 2026 de 21,86 y 2027 de 25,31 [21]). El objetivo medio de 591 SEK sube frente a los de jul-2025 (420-530 SEK de RBC, Morgan Stanley, Barclays o Pareto según la prensa de entonces): tendencia de subidas, al ritmo del precio. Sin datos de revisiones de BPA a 3 y 12 meses con fuente: hueco.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Alfa Laval sube un 26,2 % en el año y un 30,5 % en 12 meses, frente al 13,6 % y el 20,4 % del OMX y el 7,7 % y el 7,5 % de los industriales europeos [20]: cotiza en máximos de 52 semanas (595,40) desde el mínimo de 426,40 de nov-25. La subida llega tras los pedidos récord del 2T26 y la lectura de que centros de datos, GNL y petroleros sostienen el crecimiento. En 2025 se quedó plana (+0,7 % frente al +16,1 % del índice) por el miedo al fin del ciclo naval. A 10 años rinde un 15,8 % anual frente al 8,5 % del índice (sin dividendos). Beta de 0,99, volatilidad del 22,1 % y caída máxima en 5 años del −38,3 %.</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Cotiza a 18,0 veces el EBITDA de los últimos 12 meses y 29,7 veces el beneficio, en el percentil 100 de sus cierres de 2022-2025 (EV/EBITDA de 14,2-15,3x, PER de 23,3-27,6x). En la base adelantada que usa la regla (precio ÷ BPA del año siguiente) paga 24,8 veces nuestro BPA de 2027 frente a una mediana de 22,3x y un mínimo de 19,7x. La prima se explica por la reaceleración de pedidos de 2026 y la exposición a centros de datos, pero el BPA esperado crece al 10 % anual, como en 2023-2025, cuando cotizaba a 22-23 veces.</w:t>
      </w:r>
    </w:p>
    <w:p>
      <w:pPr>
        <w:pStyle w:val="Heading1"/>
      </w:pPr>
      <w:r>
        <w:t xml:space="preserve">18. Comparables cotizados</w:t>
      </w:r>
    </w:p>
    <w:p>
      <w:pPr>
        <w:pStyle w:val="Confianza"/>
        <w:spacing w:after="100"/>
      </w:pPr>
      <w:r>
        <w:t xml:space="preserve">Confianza: Media</w:t>
      </w:r>
    </w:p>
    <w:p>
      <w:pPr>
        <w:spacing w:after="100"/>
      </w:pPr>
      <w:r>
        <w:t xml:space="preserve">Fabricantes europeos y estadounidenses de equipos de proceso, flujo y transferencia de calor con servicio sobre base instalada: GEA (rival de Food &amp; Pharma), Wärtsilä (Ocean), SPX Technologies y Xylem (calor y agua), Sulzer (bombas de proceso), Spirax (vapor y fluidos), Atlas Copco e Ingersoll Rand (compresores, modelo de servicio parecido) y Belimo (componentes de climatización con exposición a centros de datos). Fuera Kelvion y Danfoss (no cotizan) y KION (otro negocio). Datos de Yahoo del 14-oct-26 pasados a SEK [21,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SPX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Wärtsilä</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1.019.144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Spirax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Belimo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Sulzer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Xylem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Ingersoll 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14,7x / 17,2x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20,3x / 23,3x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3,5x / 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Alfa Laval cotiza a 24,2 veces el beneficio de los próximos 12 meses del consenso, frente a una mediana de 20,3x (percentil 75: 23,3x), y a 18,0 veces el EBITDA de 12 meses frente a 14,7x. Su margen EBITDA (20,7 %) está en la mediana (21,6 %) y su ROIC (16,7 %) algo por encima (13,3 %); su crecimiento esperado está en la parte alta. La prima del 19 % en PER solo se justifica por el crecimiento de 2026-2027; Atlas Copco y Belimo, con más margen o más ROIC, cotizan más caros. Los comparables dan 493,40 SEK por PER y 472,92 por EV/EBITDA: un 16-20 % por debajo del precio.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Fives Cryogenics (Francia; intercambiadores criogénicos)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Alfa Laval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9.210 M SEK sobre ventas pro forma de 2.250 M y EBITA ajustado de 421 M (≈21,9x EBITA) [A1].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 Industries (EE. UU.; equipos criogénicos y de transferencia de calor)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135.551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13.600 M USD (≈135.551 M SEK al cambio del 14-oct-26) sobre ventas 2024 de 4.200 M USD y EBITDA ajustado de 1.000 M USD; ≈9x con sinergias según el comprador [D8].</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dos operaciones con múltiplo son de criogenia: Alfa Laval pagó por Fives Cryogenics ≈4,1 veces las ventas y ≈22 veces el EBITA [1]; Baker Hughes, 3,2 veces las ventas y 13,6 veces el EBITDA de Chart [27]. Aplicados a Alfa Laval no justifican el precio con prima de control incluida. Con un 29,5 % de la familia Rausing, Alfa Laval no es objetivo; es compradora.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+6 % (73.854 M): el 1S26 creció un 2,3 % en SEK con −5,4 % de divisa, y la cartera para facturar en el 2S26 es de 29.100 M [2], frente a 26.000 M facturados en el 2S25. 2027e +8 % por la cartera récord (53.546 M, con Energy en 15.531 M) y la compra en China; luego 7 % → 3,5 % en 2033e. El consenso espera +12 % en 2027 [22]; nuestra media de 2027-2033 es del 5,4 %, por debajo del objetivo de la empresa (7 % de media en el ciclo [7]) y de la TCAC 2020-2025 (10,9 %, con compras e inflación).</w:t>
      </w:r>
    </w:p>
    <w:p>
      <w:pPr>
        <w:keepNext/>
        <w:spacing w:after="100"/>
      </w:pPr>
      <w:r>
        <w:rPr>
          <w:b/>
          <w:bCs/>
        </w:rPr>
        <w:t xml:space="preserve">Márgenes.</w:t>
      </w:r>
    </w:p>
    <w:p>
      <w:pPr>
        <w:spacing w:after="100"/>
      </w:pPr>
      <w:r>
        <w:t xml:space="preserve">Margen EBITDA del 20,6 % en 2026e (20,6 % en el 1S26 [2]) hacia el 21,3 % en 2029e: el objetivo nuevo es un margen EBITA ajustado del 17 % de media en el ciclo [7] y 2025 cerró en el 17,7 % (EBITDA del 20,5 %). Food &amp; Pharma pesa en 2026-2027 por las inversiones en farmacia y flujo industrial, y Energy por la mezcla de criogenia [2]; Ocean en máximos (24,9 % en el 2T26) no lo extrapolamos.</w:t>
      </w:r>
    </w:p>
    <w:p>
      <w:pPr>
        <w:keepNext/>
        <w:spacing w:after="100"/>
      </w:pPr>
      <w:r>
        <w:rPr>
          <w:b/>
          <w:bCs/>
        </w:rPr>
        <w:t xml:space="preserve">Inversión y circulante.</w:t>
      </w:r>
    </w:p>
    <w:p>
      <w:pPr>
        <w:spacing w:after="100"/>
      </w:pPr>
      <w:r>
        <w:t xml:space="preserve">Capex del 4,6 % de las ventas en 2026e (guía de 2.500-3.000 M [18] más altas de derechos de uso) y del 5,0-6,5 % de 2027e a 2033e porque incluye ≈1,5 puntos de compras complementarias: el plan de 100.000 M de ventas en 2030 [2] no se alcanza solo con crecimiento orgánico y en 2021-2025 la empresa gastó 17.382 M en compras. Amortización del 3,7-3,9 % (con la de los intangibles de las compras). Circulante del 18,5 % de las ventas, como en 2025 (18,4 %), neto de los 12.293 M de pasivos de contratos.</w:t>
      </w:r>
    </w:p>
    <w:p>
      <w:pPr>
        <w:keepNext/>
        <w:spacing w:after="100"/>
      </w:pPr>
      <w:r>
        <w:rPr>
          <w:b/>
          <w:bCs/>
        </w:rPr>
        <w:t xml:space="preserve">Coste del capital.</w:t>
      </w:r>
    </w:p>
    <w:p>
      <w:pPr>
        <w:spacing w:after="100"/>
      </w:pPr>
      <w:r>
        <w:t xml:space="preserve">Tasa libre del 3,17 % (bono sueco a 10 años del 13-oct-26, Riksbank [23]); beta de 1,05 (mensual de 5 años frente al OMX 0,99; semanal de 5 años 1,07 [20]); prima de mercado del 5,5 % y 0,25 puntos adicionales por China (19 % de las ventas) y Corea (6,7 %); coste de la deuda del 3,8 % (intereses de 571 M sobre ≈15.000 M de deuda media con arrendamientos [1]) y un 8 % de deuda a valor de mercado. WACC del 8,69 %; con la prima implícita del mercado (4,2 % [25]) baja al 7,43 %.</w:t>
      </w:r>
    </w:p>
    <w:p>
      <w:pPr>
        <w:keepNext/>
        <w:spacing w:after="100"/>
      </w:pPr>
      <w:r>
        <w:rPr>
          <w:b/>
          <w:bCs/>
        </w:rPr>
        <w:t xml:space="preserve">Valor terminal.</w:t>
      </w:r>
    </w:p>
    <w:p>
      <w:pPr>
        <w:spacing w:after="100"/>
      </w:pPr>
      <w:r>
        <w:t xml:space="preserve">Método «media»: Gordon con un 2,5 % (inflación sueca del 2 % más medio punto real, por debajo de la tasa libre menos medio punto) y 14x EBITDA de salida, la mediana de los comparables (14,7x de los últimos 12 meses), por debajo de los 18,0x a los que cotiza hoy Alfa Laval. Gordon solo implica 8,8x EBITDA, muy por debajo de cualquier precio pagado en el sector (Chart 13,6x [27]); la media modera ese sesgo.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534,09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21.410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(ROIC 16,7 %)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 (histórico: 21,1 %)</w:t>
            </w:r>
          </w:p>
        </w:tc>
      </w:tr>
    </w:tbl>
    <w:p>
      <w:pPr>
        <w:spacing w:after="160" w:before="0"/>
      </w:pPr>
    </w:p>
    <w:p>
      <w:pPr>
        <w:spacing w:after="100"/>
      </w:pPr>
      <w:r>
        <w:t xml:space="preserve">La proyección reinvierte el 22 % del NOPAT. Con el ROIC del último ejercicio (16,7 %), eso financia un crecimiento del 3,7 % anual, frente al 5,5 % de ingresos proyectado. Supone que el capital nuevo rinde un 25,1 %, frente a un ROIC incremental histórico del 21,1 %.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(cartera para el 2S26 de 29.100 M [2]), precio +2 % y compras +3,8 puntos (Fives Cryogenics medio año más) contra la divisa (−5,4 % en el 1S26): «otros»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(entregas de centros de datos y del pedido de biocombustibles de Brasil), precio +2 %, compras +1 punto (China y complementarias).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con Ocean más plano, precio +2 %, compras +1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precio +2 %, compras +1 punto.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precio +2 %, compras +1 punto; total del 5 %, cerca del 7 % de objetivo en el ciclo [7] pero sin él.</w:t>
            </w:r>
          </w:p>
        </w:tc>
      </w:tr>
    </w:tbl>
    <w:p>
      <w:pPr>
        <w:spacing w:after="160" w:before="0"/>
      </w:pPr>
    </w:p>
    <w:p>
      <w:pPr>
        <w:spacing w:after="100"/>
      </w:pPr>
      <w:r>
        <w:t xml:space="preserve">La proyección reinvierte el 22 % del NOPAT y supone que el capital nuevo rinde un 25,1 %, dentro de 1,25 veces el ROIC incremental histórico (21,1 %): pasa la prueba de rendimiento después de subir el capex para incluir compras. El crecimiento financiable al ROIC actual es del 3,7 % frente al 5,5 % proyectado, pero 2 puntos de ese 5,5 % son precio, que no pide capital (subidas del 2-3 % repercutidas en 2022-2025 sin perder margen), así que el volumen (3,5 %) sí cabe. Queda «En parte» porque la parte comprada rinde poco al principio: Fives Cryogenics costó 9.210 M por 421 M de EBITA (≈3,4 % después de impuestos) [1]. No hay prueba de cuota: no existe un mercado publicado con el perímetro del grupo.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27,3 % (base: 21,3 %)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(WACC: 8,7 %)</w:t>
            </w:r>
          </w:p>
        </w:tc>
      </w:tr>
    </w:tbl>
    <w:p>
      <w:pPr>
        <w:spacing w:after="160" w:before="0"/>
      </w:pPr>
    </w:p>
    <w:p>
      <w:pPr>
        <w:spacing w:after="100"/>
      </w:pPr>
      <w:r>
        <w:t xml:space="preserve">El DCF da 423,65 SEK por acción, un 27,9 % por debajo del precio, con el 74 % del valor en el terminal. El DCF inverso dice que, para justificar 587,80 SEK con nuestro margen y nuestro WACC, las ventas tendrían que crecer un 11,5 % anual de 2027 a 2033 (base 5,4 %), o el margen EBITDA llegar al 27,3 % (base 21,3 %). Ninguna de las dos tiene precedente: la empresa creció un 10,9 % anual en 2020-2025 con compras y la inflación de 2022-2023, y nunca ha pasado del 20,5 % de margen EBITDA. Dicho de otra forma, el precio implica una rentabilidad anual del 6,3 %, por debajo del WACC (8,69 %) y del coste que pide hoy el mercado (7,43 %). Con la prima implícita del mercado el DCF sube a 495,57, todavía un 16 % por debajo. El mercado paga por adelantado la tesis de centros de datos, GNL y petroleros que nosotros ponemos en el base.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lo de 2020 (ventas −11 %) en versión naval: la contratación de petroleros cae tras el pico de 2026, los proyectos de GNL se retrasan y la corona sigue fuerte; ventas planas en 2027 y margen 2 puntos menor, con recuperación lenta.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factura la cartera récord, los centros de datos y la criogenia compensan un Ocean que se aplana, y el margen sube despacio hacia el 21,3 % con la carga de fábrica.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Centros de datos, GNL y biocombustibles aceleran a la vez y la nueva capacidad se llena: crecimiento 1,5 puntos mayor y margen 0,8 puntos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SEK) · precio actual 587,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406,76 SEK (-30,8 %).</w:t>
      </w:r>
    </w:p>
    <w:p>
      <w:pPr>
        <w:spacing w:after="100"/>
      </w:pPr>
      <w:r>
        <w:t xml:space="preserve">Los tres escenarios quedan por debajo del precio: bajista 295,95 (−49,7 %), base 423,65 (−27,9 %) y alcista 483,80 (−17,7 %); ponderado 406,76. La asimetría es negativa (−0,36x con el objetivo de síntesis): no hay escenario razonable del DCF que pague el precio. A 12 meses, con la regla de múltiplos, el bajista da 383,52 SEK (−33,2 %) y el alcista 659,65 (+13,8 %): pierde más de lo que gana.</w:t>
      </w:r>
    </w:p>
    <w:p>
      <w:pPr>
        <w:pStyle w:val="Heading1"/>
      </w:pPr>
      <w:r>
        <w:t xml:space="preserve">22. Suma de partes</w:t>
      </w:r>
    </w:p>
    <w:p>
      <w:pPr>
        <w:pStyle w:val="Confianza"/>
        <w:spacing w:after="100"/>
      </w:pPr>
      <w:r>
        <w:t xml:space="preserve">Confianza: Media</w:t>
      </w:r>
    </w:p>
    <w:p>
      <w:pPr>
        <w:spacing w:after="100"/>
      </w:pPr>
      <w:r>
        <w:t xml:space="preserve">No aplica: las tres divisiones comparten fábricas, tecnología de placas y red de servicio, y no hay comparables puros para cada una; la división más rentable (Ocean, margen EBITA ajustado del 22,8 % en 2025) es también la más cíclica, y valorarla aparte exigiría un múltiplo naval que el mercado no publica.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SEK) · precio actual 587,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430,84 SEK (-26,7 % sobre 587,80).</w:t>
      </w:r>
    </w:p>
    <w:p>
      <w:pPr>
        <w:spacing w:after="100"/>
      </w:pPr>
      <w:r>
        <w:t xml:space="preserve">Pesamos el DCF (40 %) y los escenarios (40 %) porque el negocio tiene historia larga y estable; los comparables (20 %) dan una referencia de mercado. Las transacciones quedan fuera (0 %): solo dos con múltiplo y con prima de control; Alfa Laval no es objetivo de compra con un 29,5 % en manos de la familia Rausing. El DCF da 423,65 SEK (−27,9 %), los comparables por PER de los próximos 12 meses 493,40 (mediana de 20,3x) y por EV/EBITDA 472,92 (14,7x); todos los métodos quedan por debajo del precio y solo el rango alto de los analistas (675) y el alcista a 12 meses (659,65) lo superan. El valor intrínseco ponderado es 430,84 SEK. Con la prima implícita del mercado (4,2 %) el DCF sube a 495,57 y el objetivo a 486,90, todavía un 17 % por debajo del precio: no es un problema de tasa de descuento.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(24.8x) a mitad de camino hacia abajo, hacia la mediana de 5 años (22.3x)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bl>
    <w:p>
      <w:pPr>
        <w:spacing w:after="160" w:before="0"/>
      </w:pPr>
    </w:p>
    <w:p>
      <w:pPr>
        <w:spacing w:after="100"/>
      </w:pPr>
      <w:r>
        <w:rPr>
          <w:b/>
          <w:bCs/>
        </w:rPr>
        <w:t xml:space="preserve">Objetivo a 12 meses (ponderado):</w:t>
      </w:r>
      <w:r>
        <w:t xml:space="preserve"> 566,76 SEK · rentabilidad -2,0 % (base +5,6 %) · señal Mantener.</w:t>
      </w:r>
    </w:p>
    <w:p>
      <w:pPr>
        <w:spacing w:after="100"/>
      </w:pPr>
      <w:r>
        <w:t xml:space="preserve">Para comparar, con la regla v2 (historia al cierre, mismo precio): 23,3x / 24,8x / 24,8x, 6,3 %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(23,73) queda un 5,5 % por debajo del consenso (25,10) y el de 2028 (26,04) un 5,8 % (27,65). La diferencia es de ventas: el consenso espera +12 % en 2027 (82.739 M) y nosotros +8 % (79.763 M), porque la corona fuerte resta 5-6 puntos a las ventas en SEK (−5,4 % en el 1S26) y la mitad de los pedidos de centros de datos se entregan en 2027 con márgenes de Energy que bajan (16,1 % en el 2T26). Nuestro precio base (611,94) queda un 3,5 % por encima del objetivo medio de los analistas (591), dentro de su rango (435-675).</w:t>
      </w:r>
    </w:p>
    <w:p>
      <w:pPr>
        <w:keepNext/>
        <w:spacing w:after="100"/>
      </w:pPr>
      <w:r>
        <w:rPr>
          <w:b/>
          <w:bCs/>
        </w:rPr>
        <w:t xml:space="preserve">Del valor intrínseco al objetivo a 12 meses.</w:t>
      </w:r>
    </w:p>
    <w:p>
      <w:pPr>
        <w:spacing w:after="100"/>
      </w:pPr>
      <w:r>
        <w:t xml:space="preserve">El objetivo a 12 meses (566,76 SEK ponderado; 611,94 en el base) queda un 32 % por encima del valor intrínseco (430,84): el precio ya paga un PER de 24,8 veces nuestro BPA de 2027, por encima de su mediana adelantada (22,3x), y la regla lo lleva a 23,5x. Para que el precio converja al valor intrínseco haría falta que el mercado dejase de pagar la prima por centros de datos y GNL, algo que no tiene fecha; para que suba hacia el alcista, que el 3T26 (27-oct) y el día del inversor (18-nov) confirmen márgenes del 17-18 % con los pedidos récord. Tesis a más de un año en el valor intrínseco.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pedidos algo menores que en el 2T (por encima de 20.000 M según la conferencia [18]); el margen de Energy (16,1 % en el 2T) es la cifra que mira el mercado.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Detalle del plan de 100.000 M en 2030 (orgánico frente a compras) y de los márgenes por división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Fives Cryogenics; dividendo (consenso 9,69 SEK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los pedidos de centros de datos del 1S26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Convertir los pedidos (+104 % en Light Industry &amp; Tech [2]) en ventas con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Contratación naval (Clarksons, BIMCO)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caída de los pedidos de petroleros adelantaría el bajista de Ocean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superciclo naval: Ocean (34 % de las ventas y 42 % del EBITA de las divisiones en 2025) depende de la contratación de barcos, que está en máximos de 17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(bajista a 12 meses: 383,52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Ocean de 22.931 M (casi un año de ventas) y servicio del 36 % de los pedidos de la división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orgánicos de Ocean negativos dos trimestres seguidos; libro de pedidos mundial por debajo del 15 % de la flota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cotiza a 24,8 veces nuestro BPA de 2027 frente a una mediana adelantada de 22,3x y un mínimo de 19,7x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(PER de 19,7x sobre nuestro BPA de 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BPA del 10 % anual en el base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 la baja del BPA 2027 del consenso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 Energy y Food &amp; Pharma: inversiones de capacidad y criogenia con menor margen (Energy 16,1 % en el 2T26 frente al 20,9 % del 3T24)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repercutido y carga de fábrica al facturar la cartera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del grupo por debajo del 17 %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sueca fuerte: el 98 % de las ventas se factura fuera de Suecia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ventas en SEK en el 1S26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flujo y 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EUR/SEK por debajo de 10,8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Fives Cryogenics a ≈22 veces el EBITA y fondo de comercio de 29.722 M (30 % del activo)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(deterioro de la mitad del fondo de comercio de Fives, sin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sin deterioros grandes salvo MPS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Cryogenic Technologies o deterioros en el informe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Tetra Pak (7,5 % de las ventas) y del accionista de control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no inferiores a los de terceros según la empresa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del acuerdo de 1999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que la IA se coma el negocio es poco probable (venden equipo físico de proceso, y la IA multiplica la demanda de refrigeración de centros de datos); el riesgo está en el software marino (StormGeo), donde la IA abarata a la competencia, y en un frenazo del capex de IA que vacíe los pedidos de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los pedidos de centros de datos caen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son una parte de Light Industry &amp; Tech (32 % de los pedidos de Energy)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los hiperescaladores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china en intercambiadores estándar y en equipos marinos (China se llevó el 72 % de los pedidos navales del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un fabricante en China (515 M, 1T26) y servicio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ajustado por debajo del 36 %</w:t>
            </w:r>
          </w:p>
        </w:tc>
      </w:tr>
    </w:tbl>
    <w:p>
      <w:pPr>
        <w:spacing w:after="160" w:before="0"/>
      </w:pPr>
    </w:p>
    <w:p>
      <w:pPr>
        <w:pStyle w:val="Heading2"/>
      </w:pPr>
      <w:r>
        <w:t xml:space="preserve">Pre-mortem</w:t>
      </w:r>
    </w:p>
    <w:p>
      <w:pPr>
        <w:spacing w:after="100"/>
      </w:pPr>
      <w:r>
        <w:t xml:space="preserve">Octubre de 2029: la acción ha perdido un 40 %. Lo más probable: el pico de pedidos de petroleros de 2026 fue el final del ciclo naval. La contratación cayó en 2027-2028, Ocean pasó de crecer a caer un 15 % y su margen del 24 % al 18 %, mientras los pedidos de centros de datos se entregaron en 2027 con márgenes bajos y no se repitieron al frenarse el capex de IA. El BPA se quedó en 20-21 SEK, como en 2025, y el mercado dejó de pagar 25 veces: con 19,7x (el mínimo de la historia adelantada) el precio cae a ≈400 SEK. La corona fuerte restó otro 5 %. La señal que lo habría anticipado: pedidos orgánicos de Ocean negativos dos trimestres y el libro de pedidos mundial de barcos bajando del 17 % de la flota, junto con un margen EBITA del grupo por debajo del 17 %.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(1) la descarbonización naval y energética es ingreso, no coste: sistemas de GNL y metanol, depuradoras, captura de carbono (proyecto con Saipem en 2026), bombas de calor y biocombustibles; (2) la seguridad en fábricas (paradas de seguridad obligatorias desde 2026 [2]); (3) emisiones propias: objetivo de cero neto en operaciones propias en 2027 y 100 % de electricidad renovable en 2030, con su primer PPA solar en Italia (≈22.000 MWh al año) [2].</w:t>
      </w:r>
    </w:p>
    <w:p>
      <w:pPr>
        <w:pStyle w:val="Heading2"/>
      </w:pPr>
      <w:r>
        <w:t xml:space="preserve">Controversias</w:t>
      </w:r>
    </w:p>
    <w:p>
      <w:pPr>
        <w:spacing w:after="100"/>
      </w:pPr>
      <w:r>
        <w:t xml:space="preserve">No hemos encontrado sanciones, litigios ni incidentes relevantes en 2023-2026 en los informes leídos. La salida de Rusia en 2022 costó 767 M de partidas no recurrentes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100.000 M de ventas en 2030 sale de compras y a qué múltiplos máximos?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la prueba de sostenibilidad: las compras al ritmo de Fives (≈22x EBITA) rinden por debajo del WACC al principio.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Ocean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del 2T26 son petroleros LR y qué plazo de entrega tienen?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facturan en 2027-2028, el bajista naval llega después de nuestro horizonte de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el margen de Energy por encima del 17 % y qué margen tiene Cryogenic Technologies?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Energy bajó del 20,9 % (3T24) al 16,1 %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pedidos de centros de datos hay en cartera y qué cuota tiene Alfa Laval en intercambiadores para refrigeración líquida?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la tesis que el mercado paga por adelantado.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Tetra Pak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renueva el acuerdo de 1999 en las mismas condiciones?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7,5 % de las ventas y es parte vinculada.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del consejero delegado (66 años, en el cargo desde 2016)?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relevo cambia la asignación de capital.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transcripciones, ADR ALFVY)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el titular que circula es la «perspectiva floja» del 3T, no el récord de pedidos; sin debate de lectores accesible [E1].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 Affärsvärlden (análisis con debate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 calidad, pero cara»: escenario principal con ≈20 % de subida y bajista con ≈15 % de caída; Ocean y la corona, los riesgos [E2].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(ALFVY)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mensajes: el ADR no tiene seguimiento de particulares en EE. UU. [E3].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frente a precio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dos: ROIC muy por encima del WACC y precio en máximos de 52 semanas a ≈24,8 veces nuestro BPA de 2027 [E2].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Ocean y el ciclo naval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Ocean subieron un 26 % orgánico en el 2T26 por petroleros y la cartera de la división es de 22.931 M; el riesgo es de 2028 en adelante, no de 2026 [A2, E2].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de Light Industry &amp; Tech +104 % en el 1S26 dentro de Energy; entregas sobre todo en 2027 [A2].</w:t>
            </w:r>
          </w:p>
        </w:tc>
      </w:tr>
    </w:tbl>
    <w:p>
      <w:pPr>
        <w:spacing w:after="160" w:before="0"/>
      </w:pPr>
    </w:p>
    <w:p>
      <w:pPr>
        <w:spacing w:after="100"/>
      </w:pPr>
      <w:r>
        <w:t xml:space="preserve">Aporta poco: Alfa Laval casi no tiene debate de particulares accesible (Stocktwits vacío, foros suecos tras muro de pago) y lo que circula es prensa con lectores. El tono dominante es «gran empresa, pero cara», que coincide con nuestras cifras (24,8 veces nuestro BPA de 2027). Tras el 2T26 se habló más de la perspectiva floja del 3T que del récord de pedidos, señal de que el mercado ya descontaba los pedidos. No hay euforia ni capitulación, y el sentimiento va en línea con los analistas (objetivo medio de 591, casi el precio).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31 (16 primarias); citas distintas en el texto: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25,1 % frente a un ROIC de 16,7 % y un incremental histórico de 21,1 %: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18,5 % frente a 18,4 % real: genera una variación de circulante de 851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6, 8, 9, 10, 16, 26, 29, 30, 31. Explicación: Las fuentes de contexto (XBRL de años intermedios, calendario) se citan en las tablas que alimentan; el resto se cita en el texto.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30 del informe anual 2025 (grep de vencimientos sin tabla legible en el texto extraído); 2) nota 8 del 2T26 (solo composición, sin calendario); 3) prensa de bonos (sin calendario completo)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2024 y 2025 reexpresados); 2) XBRL 2021-2024 (segmentos con nombres antiguos sin reexpresar); 3) trimestrales (8 trimestres, desde el 3T24)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(sin calificaciones de terceros en lo leído); 2) búsqueda MSCI/Sustainalytics (sin acceso gratuito); 3) prensa (sin dato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publica cuota); 2) Global Market Insights (solo el 45 % conjunto de los cinco primeros); 3) MarketsandMarkets (lista de jugadores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sobre remuneraciones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Boletín de la junta de 2026 (no da porcentajes); 2) informe de gobierno 2025 (sin recuento); 3) acta de la junta (no localizada)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insiders de Finansinspektionen (no consultable desde aquí); 2) informe anual (tenencias iguales a dic-24 y dic-25 en casi todos); 3) prensa (sin noticias)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operación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Xylem-Evoqua (2023: solo EBITDA combinado de las dos empresas, sin múltiplo propio); 2) Kelvion (privada, sin precio publicado); 3) SPX Flow-Lone Star (2022: no localizado el comunicado con el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Finansinspektionen (registro de cortos no consultado: sin acceso por API); 2) agregadores (sin dato fechado);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(búsqueda JSON bloqueada); 2) Stocktwits ALFVY (sin mensajes) y foro de Placera/Avanza (no abre sin sesión); 3) Affärsvärlden (muro de pago) y Seeking Alpha (titulares sin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and Sustainability Report 2025 (cuentas consolidadas, notas, gobierno corporativo y resumen de diez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Alfa Laval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https://mb.cision.com/Main/905/4326341/4004513.pdf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 for Q2 2026 (informe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Alfa Laval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https://mb.cision.com/Main/905/4376242/4199107.pdf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for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https://mb.cision.com/Main/905/4338489/4051867.pdf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for Q4 and full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https://mb.cision.com/Main/905/4301540/3912618.pdf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for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https://mb.cision.com/Main/905/4257427/3747406.pdf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en formato ESEF (XBRL), repositorio filings.xbrl.org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https://filings.xbrl.org/549300UCKT2UK88AG251/2021-12-31/ESEF/SE/1/549300UCKT2UK88AG251-2021-12-31-en.json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updates financial targets (crecimiento del 7 % y margen EBITA ajustado del 17 % a lo largo del ciclo)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https://mb.cision.com/Public/905/4257395/8fca64ef83ad3000.pdf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en formato ESEF (XBRL), repositorio filings.xbrl.org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https://filings.xbrl.org/549300UCKT2UK88AG251/2022-12-31/ESEF/SE/0/549300UCKT2UK88AG251-2022-12-31-sv.json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2023 en formato ESEF (XBRL), repositorio filings.xbrl.org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https://filings.xbrl.org/549300UCKT2UK88AG251/2023-12-31/ESEF/SE/0/549300UCKT2UK88AG251-2023-12-31-sv.json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2024 en formato ESEF (XBRL), repositorio filings.xbrl.org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https://filings.xbrl.org/549300UCKT2UK88AG251/2024-12-31/ESEF/SE/0/549300UCKT2UK88AG251-2024-12-31-0-sv.json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Plate &amp; Frame Heat Exchanger Market worth $10.50 billion in 2030, at a CAGR of 7.8% (7.210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https://www.globenewswire.com/news-release/2025/07/10/3113014/0/en/Plate-Frame-Heat-Exchanger-Market-worth-10-50-billion-in-2030-at-a-CAGR-of-7-8-says-MarketsandMarkets.html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Plate Heat Exchanger Market Size (5.100 M USD en 2025; 8,4 % anual 2026-2035; cinco primeros con el 45 %)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https://www.gminsights.com/industry-analysis/plate-heat-exchanger-market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Chinese shipyards double their new order volume in first half of 2026 (1.481 barcos encargados; China 1.131, 31 M CGT)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Maritime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https://maritime-executive.com/article/chinese-shipyards-double-their-new-order-volume-in-first-half-of-2026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Capital Markets Day 2025 - strengthening growth and profitability ambitions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https://www.mfn.se/cis/a/alfa-laval/alfa-laval-capital-markets-day-2025-strengthening-growth-and-profitability-ambitions-2376d950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Shipbuilding orderbook hits 17-year high driven by tankers, reports BIMCO (191 M CGT, 17 % de la flota; contratación del 1T26 +40 %)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Maritime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https://maritime-executive.com/article/shipbuilding-orderbook-hits-17-year-high-driven-by-tankers-reports-bimco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initiates full integration of Desmet to strengthen oils, fats and biofuel segments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https://www.mfn.se/cis/a/alfa-laval/alfa-laval-initiates-full-integration-of-desmet-to-strengthen-oils-fats-and-biofuel-segments-6b0c08e6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«Transferencia de calor y separación de fluidos» (sectores/transferencia-calor-2026-10-14.md)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https://github.com/HotisS/analisis-inversion/blob/main/sectores/transferencia-calor-2026-10-14.md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(ALFA) Q2 2026 earnings summary (guía de capex 2.500-3.000 M; pedidos del 3T por encima de 20.000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https://quartr.com/events/alfa-laval-alfa-q2-2026_3sZzZdBj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Bulletin from the Annual General Meeting of Alfa Laval AB (publ), 22-abr-2026 (dividendo 9,00 SEK, consejo, auditores)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https://www.mfn.se/cis/a/alfa-laval/bulletin-from-the-annual-general-meeting-of-alfa-laval-ab-publ-5979b5d8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ALFA.ST, ^OMX y EXH4.DE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https://finance.yahoo.com/quote/ALFA.ST/history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y datos de cotización de Alfa Laval y de los comparables (quoteSummary, earningsTrend y series fundamentales)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https://finance.yahoo.com/quote/ALFA.ST/analysis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finances (estimaciones 2026-2028 de ventas, EBITDA, EBITA, beneficio, BPA y dividendo; 17 analistas, objetivo medio 591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sueco a 10 años (SEGVB10YC), 13-oct-2026: 3,174 %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https://api.riksbank.se/swea/v1/Observations/SEGVB10YC/2026-10-08/2026-10-14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 (11,158 SEK; 1,1195 USD; 0,933 CHF; 0,84385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https://data-api.ecb.europa.eu/service/data/EXR/D.SEK.EUR.SP00.A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financiero de Alfa Laval en MFN (informe del 3T26 el 27-oct-2026; anual el 3-feb-2027)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Modular Finance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https://www.mfn.se/all/a/alfa-laval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 (13.600 M USD de valor empresa; ventas 2024 de 4.200 M y EBITDA ajustado de 1.000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Hydrocarbon Engineering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https://www.hydrocarbonengineering.com/gas-processing/29072025/baker-hughes-to-acquire-chart-industries/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Save the date for the Alfa Laval Capital Markets Day on 18 November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https://www.mfn.se/cis/a/alfa-laval/save-the-date-for-the-alfa-laval-capital-markets-day-on-18-november-2026-5321f29c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(publ): noticias y transcripciones (canal RSS; titular del 21-jul-26: «give Q3 soft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https://seekingalpha.com/api/sa/combined/ALFVF.xml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Högkvalitativt – men dyrt (análisis y debate tras 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https://placera.se/analys/alfa-laval-hogkvalitativt--men-dyrt-2026-04-24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del símbolo ALFVY (sin mensajes en los últimos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https://api.stocktwits.com/api/2/streams/symbol/ALFVY.json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86,3 %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acción única ALFA en Nasdaq Estocolmo (SEK); el ADR ALFVY no se usa. Cuentas 2020-2024 del XBRL ESEF del regulador comprobadas con el resumen de diez años del informe anual 2025; 2025 y el LTM a junio de 2026 del informe anual y del informe del 2T26. Corregido sobre el XBRL: impuestos de 2020-2022 (el XBRL daba el impuesto corriente), clientes (solo cuentas comerciales, no «otros deudores») y flujo operativo (reexpresado por la empresa en 2025: los pagos de arrendamientos pasan a financiación; los de 2020-2023 se derivan como diferencia entre la serie reexpresada y la original). Desde 2024 el balance separa activos y pasivos de contratos (5.052 y 12.293 M en 2025); de 2020 a 2023 solo hay anticipos de clientes, así que el circulante de esos años no es del todo comparable. Gastos financieros de 2020-2023 derivados de la cobertura de intereses publicada (estimación). Segmentos solo 2024-2025 reexpresados más los 12 meses a junio de 2026. Consenso de MarketScreener (EBITA en lugar de EBIT: por eso el EBIT del consenso va en blanco) con contraste de Yahoo. Comparables con datos de Yahoo del 14-oct-26 pasados a SEK con el BCE del mismo día (11,158 SEK/EUR, 9,967 SEK/USD, 11,959 SEK/CHF, 13,223 SEK/GBP); sin EV/EBITDA de los próximos 12 meses homogéneo. Una acción cuesta 587,80 SEK, unos 52,68 EUR: un 0,2 % de una cartera de 30.000 EUR (muy por debajo del 7 %).</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Alfa Laval AB (publ) (ALFA)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587,80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(426,40 – 595,40)</c:v>
                </c:pt>
                <c:pt idx="1">
                  <c:v>Precio objetivo de los analistas (435,00 – 675,00)</c:v>
                </c:pt>
                <c:pt idx="2">
                  <c:v>Comparables: PER NTM (432,64 – 566,32)</c:v>
                </c:pt>
                <c:pt idx="3">
                  <c:v>DCF (WACC y g ± 0,5) (392,13 – 464,49)</c:v>
                </c:pt>
                <c:pt idx="4">
                  <c:v>Escenarios (bajista – alcista) (295,95 – 483,80)</c:v>
                </c:pt>
                <c:pt idx="5">
                  <c:v>DCF con la prima implícita del mercado (4,2 %)</c:v>
                </c:pt>
                <c:pt idx="6">
                  <c:v>Precio actual (587,80)</c:v>
                </c:pt>
              </c:strCache>
            </c:strRef>
          </c:cat>
          <c:val>
            <c:numRef>
              <c:f>Hoja1!$B$2:$B$8</c:f>
              <c:numCache>
                <c:formatCode>#,##0</c:formatCode>
                <c:ptCount val="7"/>
                <c:pt idx="0">
                  <c:v>426.4</c:v>
                </c:pt>
                <c:pt idx="1">
                  <c:v>435</c:v>
                </c:pt>
                <c:pt idx="2">
                  <c:v>432.64</c:v>
                </c:pt>
                <c:pt idx="3">
                  <c:v>392.13</c:v>
                </c:pt>
                <c:pt idx="4">
                  <c:v>295.95</c:v>
                </c:pt>
                <c:pt idx="5">
                  <c:v>463.86</c:v>
                </c:pt>
                <c:pt idx="6">
                  <c:v>584.86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(426,40 – 595,40)</c:v>
                </c:pt>
                <c:pt idx="1">
                  <c:v>Precio objetivo de los analistas (435,00 – 675,00)</c:v>
                </c:pt>
                <c:pt idx="2">
                  <c:v>Comparables: PER NTM (432,64 – 566,32)</c:v>
                </c:pt>
                <c:pt idx="3">
                  <c:v>DCF (WACC y g ± 0,5) (392,13 – 464,49)</c:v>
                </c:pt>
                <c:pt idx="4">
                  <c:v>Escenarios (bajista – alcista) (295,95 – 483,80)</c:v>
                </c:pt>
                <c:pt idx="5">
                  <c:v>DCF con la prima implícita del mercado (4,2 %)</c:v>
                </c:pt>
                <c:pt idx="6">
                  <c:v>Precio actual (587,80)</c:v>
                </c:pt>
              </c:strCache>
            </c:strRef>
          </c:cat>
          <c:val>
            <c:numRef>
              <c:f>Hoja1!$C$2:$C$8</c:f>
              <c:numCache>
                <c:formatCode>#,##0</c:formatCode>
                <c:ptCount val="7"/>
                <c:pt idx="0">
                  <c:v>169</c:v>
                </c:pt>
                <c:pt idx="1">
                  <c:v>240</c:v>
                </c:pt>
                <c:pt idx="2">
                  <c:v>133.68000000000006</c:v>
                </c:pt>
                <c:pt idx="3">
                  <c:v>72.36000000000001</c:v>
                </c:pt>
                <c:pt idx="4">
                  <c:v>187.85000000000002</c:v>
                </c:pt>
                <c:pt idx="5">
                  <c:v>69.00999999999999</c:v>
                </c:pt>
                <c:pt idx="6">
                  <c:v>5.8799999999999955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Energy</c:v>
                </c:pt>
              </c:strCache>
            </c:strRef>
          </c:tx>
          <c:spPr>
            <a:solidFill>
              <a:srgbClr val="2A78D6"/>
            </a:solidFill>
            <a:ln w="12700">
              <a:solidFill>
                <a:srgbClr val="FFFFFF"/>
              </a:solidFill>
            </a:ln>
          </c:spPr>
          <c:invertIfNegative val="0"/>
          <c:cat>
            <c:strRef>
              <c:f>Hoja1!$A$2:$A$4</c:f>
              <c:strCache>
                <c:ptCount val="3"/>
                <c:pt idx="0">
                  <c:v>LTM jun-26</c:v>
                </c:pt>
                <c:pt idx="1">
                  <c:v>2024</c:v>
                </c:pt>
                <c:pt idx="2">
                  <c:v>2025</c:v>
                </c:pt>
              </c:strCache>
            </c:strRef>
          </c:cat>
          <c:val>
            <c:numRef>
              <c:f>Hoja1!$B$2:$B$4</c:f>
              <c:numCache>
                <c:formatCode>#,##0</c:formatCode>
                <c:ptCount val="3"/>
                <c:pt idx="0">
                  <c:v>22014</c:v>
                </c:pt>
                <c:pt idx="1">
                  <c:v>19330</c:v>
                </c:pt>
                <c:pt idx="2">
                  <c:v>20250</c:v>
                </c:pt>
              </c:numCache>
            </c:numRef>
          </c:val>
        </c:ser>
        <c:ser>
          <c:idx val="1"/>
          <c:order val="1"/>
          <c:tx>
            <c:strRef>
              <c:f>Hoja1!$C$1</c:f>
              <c:strCache>
                <c:ptCount val="1"/>
                <c:pt idx="0">
                  <c:v>Food &amp; Pharma</c:v>
                </c:pt>
              </c:strCache>
            </c:strRef>
          </c:tx>
          <c:spPr>
            <a:solidFill>
              <a:srgbClr val="EB6834"/>
            </a:solidFill>
            <a:ln w="12700">
              <a:solidFill>
                <a:srgbClr val="FFFFFF"/>
              </a:solidFill>
            </a:ln>
          </c:spPr>
          <c:invertIfNegative val="0"/>
          <c:cat>
            <c:strRef>
              <c:f>Hoja1!$A$2:$A$4</c:f>
              <c:strCache>
                <c:ptCount val="3"/>
                <c:pt idx="0">
                  <c:v>LTM jun-26</c:v>
                </c:pt>
                <c:pt idx="1">
                  <c:v>2024</c:v>
                </c:pt>
                <c:pt idx="2">
                  <c:v>2025</c:v>
                </c:pt>
              </c:strCache>
            </c:strRef>
          </c:cat>
          <c:val>
            <c:numRef>
              <c:f>Hoja1!$C$2:$C$4</c:f>
              <c:numCache>
                <c:formatCode>#,##0</c:formatCode>
                <c:ptCount val="3"/>
                <c:pt idx="0">
                  <c:v>24807</c:v>
                </c:pt>
                <c:pt idx="1">
                  <c:v>25742</c:v>
                </c:pt>
                <c:pt idx="2">
                  <c:v>25635</c:v>
                </c:pt>
              </c:numCache>
            </c:numRef>
          </c:val>
        </c:ser>
        <c:ser>
          <c:idx val="2"/>
          <c:order val="2"/>
          <c:tx>
            <c:strRef>
              <c:f>Hoja1!$D$1</c:f>
              <c:strCache>
                <c:ptCount val="1"/>
                <c:pt idx="0">
                  <c:v>Ocean</c:v>
                </c:pt>
              </c:strCache>
            </c:strRef>
          </c:tx>
          <c:spPr>
            <a:solidFill>
              <a:srgbClr val="1BAF7A"/>
            </a:solidFill>
            <a:ln w="12700">
              <a:solidFill>
                <a:srgbClr val="FFFFFF"/>
              </a:solidFill>
            </a:ln>
          </c:spPr>
          <c:invertIfNegative val="0"/>
          <c:cat>
            <c:strRef>
              <c:f>Hoja1!$A$2:$A$4</c:f>
              <c:strCache>
                <c:ptCount val="3"/>
                <c:pt idx="0">
                  <c:v>LTM jun-26</c:v>
                </c:pt>
                <c:pt idx="1">
                  <c:v>2024</c:v>
                </c:pt>
                <c:pt idx="2">
                  <c:v>2025</c:v>
                </c:pt>
              </c:strCache>
            </c:strRef>
          </c:cat>
          <c:val>
            <c:numRef>
              <c:f>Hoja1!$D$2:$D$4</c:f>
              <c:numCache>
                <c:formatCode>#,##0</c:formatCode>
                <c:ptCount val="3"/>
                <c:pt idx="0">
                  <c:v>23302</c:v>
                </c:pt>
                <c:pt idx="1">
                  <c:v>21881</c:v>
                </c:pt>
                <c:pt idx="2">
                  <c:v>23790</c:v>
                </c:pt>
              </c:numCache>
            </c:numRef>
          </c:val>
        </c:ser>
        <c:ser>
          <c:idx val="3"/>
          <c:order val="3"/>
          <c:tx>
            <c:strRef>
              <c:f>Hoja1!$E$1</c:f>
              <c:strCache>
                <c:ptCount val="1"/>
                <c:pt idx="0">
                  <c:v>Other</c:v>
                </c:pt>
              </c:strCache>
            </c:strRef>
          </c:tx>
          <c:spPr>
            <a:solidFill>
              <a:srgbClr val="EDA100"/>
            </a:solidFill>
            <a:ln w="12700">
              <a:solidFill>
                <a:srgbClr val="FFFFFF"/>
              </a:solidFill>
            </a:ln>
          </c:spPr>
          <c:invertIfNegative val="0"/>
          <c:cat>
            <c:strRef>
              <c:f>Hoja1!$A$2:$A$4</c:f>
              <c:strCache>
                <c:ptCount val="3"/>
                <c:pt idx="0">
                  <c:v>LTM jun-26</c:v>
                </c:pt>
                <c:pt idx="1">
                  <c:v>2024</c:v>
                </c:pt>
                <c:pt idx="2">
                  <c:v>2025</c:v>
                </c:pt>
              </c:strCache>
            </c:strRef>
          </c:cat>
          <c:val>
            <c:numRef>
              <c:f>Hoja1!$E$2:$E$4</c:f>
              <c:numCache>
                <c:formatCode>#,##0</c:formatCode>
                <c:ptCount val="3"/>
                <c:pt idx="0">
                  <c:v>303</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Energy</c:v>
                </c:pt>
                <c:pt idx="1">
                  <c:v>Food &amp; Pharma</c:v>
                </c:pt>
                <c:pt idx="2">
                  <c:v>Ocean</c:v>
                </c:pt>
                <c:pt idx="3">
                  <c:v>Other</c:v>
                </c:pt>
              </c:strCache>
            </c:strRef>
          </c:cat>
          <c:val>
            <c:numRef>
              <c:f>Hoja1!$B$2:$B$5</c:f>
              <c:numCache>
                <c:formatCode>General</c:formatCode>
                <c:ptCount val="4"/>
                <c:pt idx="0">
                  <c:v>29.1</c:v>
                </c:pt>
                <c:pt idx="1">
                  <c:v>36.8</c:v>
                </c:pt>
                <c:pt idx="2">
                  <c:v>34.1</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Unión Europea (con Suecia)</c:v>
                </c:pt>
                <c:pt idx="1">
                  <c:v>Resto de Europa</c:v>
                </c:pt>
                <c:pt idx="2">
                  <c:v>EE. UU. y resto de Norteamérica</c:v>
                </c:pt>
                <c:pt idx="3">
                  <c:v>Latinoamérica</c:v>
                </c:pt>
                <c:pt idx="4">
                  <c:v>China</c:v>
                </c:pt>
                <c:pt idx="5">
                  <c:v>Corea del Sur</c:v>
                </c:pt>
                <c:pt idx="6">
                  <c:v>Resto de Asia</c:v>
                </c:pt>
                <c:pt idx="7">
                  <c:v>África y Oceanía</c:v>
                </c:pt>
              </c:strCache>
            </c:strRef>
          </c:cat>
          <c:val>
            <c:numRef>
              <c:f>Hoja1!$B$2:$B$9</c:f>
              <c:numCache>
                <c:formatCode>0"%"</c:formatCode>
                <c:ptCount val="8"/>
                <c:pt idx="0">
                  <c:v>24.2</c:v>
                </c:pt>
                <c:pt idx="1">
                  <c:v>6.9</c:v>
                </c:pt>
                <c:pt idx="2">
                  <c:v>18.5</c:v>
                </c:pt>
                <c:pt idx="3">
                  <c:v>5.7</c:v>
                </c:pt>
                <c:pt idx="4">
                  <c:v>19</c:v>
                </c:pt>
                <c:pt idx="5">
                  <c:v>6.7</c:v>
                </c:pt>
                <c:pt idx="6">
                  <c:v>16.1</c:v>
                </c:pt>
                <c:pt idx="7">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(intercambiadores de placas y bastidor,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7210</c:v>
                </c:pt>
                <c:pt idx="1">
                  <c:v>10500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Alfa Laval</c:v>
                </c:pt>
                <c:pt idx="1">
                  <c:v>Xylem</c:v>
                </c:pt>
                <c:pt idx="2">
                  <c:v>Wärtsilä</c:v>
                </c:pt>
                <c:pt idx="3">
                  <c:v>GEA Group</c:v>
                </c:pt>
                <c:pt idx="4">
                  <c:v>Sulzer</c:v>
                </c:pt>
                <c:pt idx="5">
                  <c:v>SPX Technologies</c:v>
                </c:pt>
                <c:pt idx="6">
                  <c:v>Kelvion</c:v>
                </c:pt>
                <c:pt idx="7">
                  <c:v>Danfoss</c:v>
                </c:pt>
              </c:strCache>
            </c:strRef>
          </c:cat>
          <c:val>
            <c:numRef>
              <c:f>Hoja1!$B$2:$B$9</c:f>
              <c:numCache>
                <c:formatCode>0.0"%"</c:formatCode>
                <c:ptCount val="8"/>
                <c:pt idx="0">
                  <c:v>16.9</c:v>
                </c:pt>
                <c:pt idx="1">
                  <c:v>13.3</c:v>
                </c:pt>
                <c:pt idx="2">
                  <c:v>12.9</c:v>
                </c:pt>
                <c:pt idx="3">
                  <c:v>11.4</c:v>
                </c:pt>
                <c:pt idx="4">
                  <c:v>12</c:v>
                </c:pt>
                <c:pt idx="5">
                  <c:v>14.6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41468</c:v>
                </c:pt>
                <c:pt idx="1">
                  <c:v>40911</c:v>
                </c:pt>
                <c:pt idx="2">
                  <c:v>52135</c:v>
                </c:pt>
                <c:pt idx="3">
                  <c:v>63598</c:v>
                </c:pt>
                <c:pt idx="4">
                  <c:v>66954</c:v>
                </c:pt>
                <c:pt idx="5">
                  <c:v>69674</c:v>
                </c:pt>
                <c:pt idx="6">
                  <c:v>73854</c:v>
                </c:pt>
                <c:pt idx="7">
                  <c:v>79763</c:v>
                </c:pt>
                <c:pt idx="8">
                  <c:v>85346</c:v>
                </c:pt>
                <c:pt idx="9">
                  <c:v>90467</c:v>
                </c:pt>
                <c:pt idx="10">
                  <c:v>94990</c:v>
                </c:pt>
                <c:pt idx="11">
                  <c:v>99265</c:v>
                </c:pt>
                <c:pt idx="12">
                  <c:v>103235</c:v>
                </c:pt>
                <c:pt idx="13">
                  <c:v>106849</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8365</c:v>
                </c:pt>
                <c:pt idx="1">
                  <c:v>8305</c:v>
                </c:pt>
                <c:pt idx="2">
                  <c:v>9678</c:v>
                </c:pt>
                <c:pt idx="3">
                  <c:v>11780</c:v>
                </c:pt>
                <c:pt idx="4">
                  <c:v>12853</c:v>
                </c:pt>
                <c:pt idx="5">
                  <c:v>14252</c:v>
                </c:pt>
                <c:pt idx="6">
                  <c:v>15214</c:v>
                </c:pt>
                <c:pt idx="7">
                  <c:v>16750</c:v>
                </c:pt>
                <c:pt idx="8">
                  <c:v>18093</c:v>
                </c:pt>
                <c:pt idx="9">
                  <c:v>19269</c:v>
                </c:pt>
                <c:pt idx="10">
                  <c:v>20233</c:v>
                </c:pt>
                <c:pt idx="11">
                  <c:v>21143</c:v>
                </c:pt>
                <c:pt idx="12">
                  <c:v>21989</c:v>
                </c:pt>
                <c:pt idx="13">
                  <c:v>22759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34.4</c:v>
                </c:pt>
                <c:pt idx="1">
                  <c:v>35.5</c:v>
                </c:pt>
                <c:pt idx="2">
                  <c:v>33.8</c:v>
                </c:pt>
                <c:pt idx="3">
                  <c:v>32.8</c:v>
                </c:pt>
                <c:pt idx="4">
                  <c:v>34.7</c:v>
                </c:pt>
                <c:pt idx="5">
                  <c:v>36.2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20.2</c:v>
                </c:pt>
                <c:pt idx="1">
                  <c:v>20.3</c:v>
                </c:pt>
                <c:pt idx="2">
                  <c:v>18.6</c:v>
                </c:pt>
                <c:pt idx="3">
                  <c:v>18.5</c:v>
                </c:pt>
                <c:pt idx="4">
                  <c:v>19.2</c:v>
                </c:pt>
                <c:pt idx="5">
                  <c:v>20.5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15.4</c:v>
                </c:pt>
                <c:pt idx="1">
                  <c:v>15.4</c:v>
                </c:pt>
                <c:pt idx="2">
                  <c:v>14</c:v>
                </c:pt>
                <c:pt idx="3">
                  <c:v>14.6</c:v>
                </c:pt>
                <c:pt idx="4">
                  <c:v>15.6</c:v>
                </c:pt>
                <c:pt idx="5">
                  <c:v>16.9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8.6</c:v>
                </c:pt>
                <c:pt idx="1">
                  <c:v>11.6</c:v>
                </c:pt>
                <c:pt idx="2">
                  <c:v>8.6</c:v>
                </c:pt>
                <c:pt idx="3">
                  <c:v>10</c:v>
                </c:pt>
                <c:pt idx="4">
                  <c:v>11</c:v>
                </c:pt>
                <c:pt idx="5">
                  <c:v>11.9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6.4</c:v>
                </c:pt>
                <c:pt idx="5">
                  <c:v>4.6</c:v>
                </c:pt>
                <c:pt idx="6">
                  <c:v>-3.3</c:v>
                </c:pt>
                <c:pt idx="7">
                  <c:v>7.7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8</c:v>
                </c:pt>
                <c:pt idx="5">
                  <c:v>11</c:v>
                </c:pt>
                <c:pt idx="6">
                  <c:v>2</c:v>
                </c:pt>
                <c:pt idx="7">
                  <c:v>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51</c:v>
                </c:pt>
                <c:pt idx="1">
                  <c:v>60</c:v>
                </c:pt>
                <c:pt idx="2">
                  <c:v>68</c:v>
                </c:pt>
                <c:pt idx="3">
                  <c:v>59</c:v>
                </c:pt>
                <c:pt idx="4">
                  <c:v>56</c:v>
                </c:pt>
                <c:pt idx="5">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124</c:v>
                </c:pt>
                <c:pt idx="1">
                  <c:v>146</c:v>
                </c:pt>
                <c:pt idx="2">
                  <c:v>156</c:v>
                </c:pt>
                <c:pt idx="3">
                  <c:v>128</c:v>
                </c:pt>
                <c:pt idx="4">
                  <c:v>130</c:v>
                </c:pt>
                <c:pt idx="5">
                  <c:v>128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34</c:v>
                </c:pt>
                <c:pt idx="1">
                  <c:v>47</c:v>
                </c:pt>
                <c:pt idx="2">
                  <c:v>52</c:v>
                </c:pt>
                <c:pt idx="3">
                  <c:v>42</c:v>
                </c:pt>
                <c:pt idx="4">
                  <c:v>47</c:v>
                </c:pt>
                <c:pt idx="5">
                  <c:v>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6231</c:v>
                </c:pt>
                <c:pt idx="1">
                  <c:v>3825</c:v>
                </c:pt>
                <c:pt idx="2">
                  <c:v>1148</c:v>
                </c:pt>
                <c:pt idx="3">
                  <c:v>6240</c:v>
                </c:pt>
                <c:pt idx="4">
                  <c:v>8486</c:v>
                </c:pt>
                <c:pt idx="5">
                  <c:v>5646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3553</c:v>
                </c:pt>
                <c:pt idx="1">
                  <c:v>4759</c:v>
                </c:pt>
                <c:pt idx="2">
                  <c:v>4503</c:v>
                </c:pt>
                <c:pt idx="3">
                  <c:v>6330</c:v>
                </c:pt>
                <c:pt idx="4">
                  <c:v>7391</c:v>
                </c:pt>
                <c:pt idx="5">
                  <c:v>8272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13.7</c:v>
                </c:pt>
                <c:pt idx="2">
                  <c:v>12.2</c:v>
                </c:pt>
                <c:pt idx="3">
                  <c:v>14.2</c:v>
                </c:pt>
                <c:pt idx="4">
                  <c:v>16.3</c:v>
                </c:pt>
                <c:pt idx="5">
                  <c:v>16.7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8.7</c:v>
                </c:pt>
                <c:pt idx="1">
                  <c:v>8.7</c:v>
                </c:pt>
                <c:pt idx="2">
                  <c:v>8.7</c:v>
                </c:pt>
                <c:pt idx="3">
                  <c:v>8.7</c:v>
                </c:pt>
                <c:pt idx="4">
                  <c:v>8.7</c:v>
                </c:pt>
                <c:pt idx="5">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12.3</c:v>
                </c:pt>
                <c:pt idx="1">
                  <c:v>15.6</c:v>
                </c:pt>
                <c:pt idx="2">
                  <c:v>13.3</c:v>
                </c:pt>
                <c:pt idx="3">
                  <c:v>17.5</c:v>
                </c:pt>
                <c:pt idx="4">
                  <c:v>18.7</c:v>
                </c:pt>
                <c:pt idx="5">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0.43</c:v>
                </c:pt>
                <c:pt idx="1">
                  <c:v>0.85</c:v>
                </c:pt>
                <c:pt idx="2">
                  <c:v>1.35</c:v>
                </c:pt>
                <c:pt idx="3">
                  <c:v>0.85</c:v>
                </c:pt>
                <c:pt idx="4">
                  <c:v>0.43</c:v>
                </c:pt>
                <c:pt idx="5">
                  <c:v>0.92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70</c:v>
                </c:pt>
                <c:pt idx="1">
                  <c:v>3828</c:v>
                </c:pt>
                <c:pt idx="2">
                  <c:v>3685</c:v>
                </c:pt>
                <c:pt idx="3">
                  <c:v>337</c:v>
                </c:pt>
                <c:pt idx="4">
                  <c:v>50</c:v>
                </c:pt>
                <c:pt idx="5">
                  <c:v>9412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2307</c:v>
                </c:pt>
                <c:pt idx="2">
                  <c:v>2480</c:v>
                </c:pt>
                <c:pt idx="3">
                  <c:v>2480</c:v>
                </c:pt>
                <c:pt idx="4">
                  <c:v>3100</c:v>
                </c:pt>
                <c:pt idx="5">
                  <c:v>3513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1339</c:v>
                </c:pt>
                <c:pt idx="2">
                  <c:v>661</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Dominical</c:v>
                </c:pt>
              </c:strCache>
            </c:strRef>
          </c:cat>
          <c:val>
            <c:numRef>
              <c:f>Hoja1!$B$2:$B$3</c:f>
              <c:numCache>
                <c:formatCode>0</c:formatCode>
                <c:ptCount val="2"/>
                <c:pt idx="0">
                  <c:v>8</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Winder Holding AG (familia Rausing, grupo Tetra Laval)</c:v>
                </c:pt>
                <c:pt idx="1">
                  <c:v>State Street Bank and Trust (custodio)</c:v>
                </c:pt>
                <c:pt idx="2">
                  <c:v>BNY Mellon (custodio)</c:v>
                </c:pt>
                <c:pt idx="3">
                  <c:v>Northern Trust (custodio)</c:v>
                </c:pt>
                <c:pt idx="4">
                  <c:v>AMF Tjänstepension</c:v>
                </c:pt>
                <c:pt idx="5">
                  <c:v>Swedbank Robur Fonder</c:v>
                </c:pt>
                <c:pt idx="6">
                  <c:v>Alecta Tjänstepension</c:v>
                </c:pt>
                <c:pt idx="7">
                  <c:v>Autocartera</c:v>
                </c:pt>
              </c:strCache>
            </c:strRef>
          </c:cat>
          <c:val>
            <c:numRef>
              <c:f>Hoja1!$B$2:$B$9</c:f>
              <c:numCache>
                <c:formatCode>0.0"%"</c:formatCode>
                <c:ptCount val="8"/>
                <c:pt idx="0">
                  <c:v>29.53</c:v>
                </c:pt>
                <c:pt idx="1">
                  <c:v>7.11</c:v>
                </c:pt>
                <c:pt idx="2">
                  <c:v>4.42</c:v>
                </c:pt>
                <c:pt idx="3">
                  <c:v>3.42</c:v>
                </c:pt>
                <c:pt idx="4">
                  <c:v>3.35</c:v>
                </c:pt>
                <c:pt idx="5">
                  <c:v>2.89</c:v>
                </c:pt>
                <c:pt idx="6">
                  <c:v>2.51</c:v>
                </c:pt>
                <c:pt idx="7">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-2.7</c:v>
                </c:pt>
                <c:pt idx="1">
                  <c:v>28.5</c:v>
                </c:pt>
                <c:pt idx="2">
                  <c:v>-2.1</c:v>
                </c:pt>
                <c:pt idx="3">
                  <c:v>24.4</c:v>
                </c:pt>
                <c:pt idx="4">
                  <c:v>-4.1</c:v>
                </c:pt>
                <c:pt idx="5">
                  <c:v>61</c:v>
                </c:pt>
                <c:pt idx="6">
                  <c:v>-17.4</c:v>
                </c:pt>
                <c:pt idx="7">
                  <c:v>34</c:v>
                </c:pt>
                <c:pt idx="8">
                  <c:v>14.7</c:v>
                </c:pt>
                <c:pt idx="9">
                  <c:v>0.7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4.9</c:v>
                </c:pt>
                <c:pt idx="1">
                  <c:v>3.9</c:v>
                </c:pt>
                <c:pt idx="2">
                  <c:v>-10.7</c:v>
                </c:pt>
                <c:pt idx="3">
                  <c:v>25.8</c:v>
                </c:pt>
                <c:pt idx="4">
                  <c:v>5.8</c:v>
                </c:pt>
                <c:pt idx="5">
                  <c:v>29.1</c:v>
                </c:pt>
                <c:pt idx="6">
                  <c:v>-15.6</c:v>
                </c:pt>
                <c:pt idx="7">
                  <c:v>17.4</c:v>
                </c:pt>
                <c:pt idx="8">
                  <c:v>3.5</c:v>
                </c:pt>
                <c:pt idx="9">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11.8</c:v>
                </c:pt>
                <c:pt idx="1">
                  <c:v>19.2</c:v>
                </c:pt>
                <c:pt idx="2">
                  <c:v>14.2</c:v>
                </c:pt>
                <c:pt idx="3">
                  <c:v>15</c:v>
                </c:pt>
                <c:pt idx="4">
                  <c:v>15.3</c:v>
                </c:pt>
                <c:pt idx="5">
                  <c:v>14.5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14.8</c:v>
                </c:pt>
                <c:pt idx="1">
                  <c:v>14.8</c:v>
                </c:pt>
                <c:pt idx="2">
                  <c:v>14.8</c:v>
                </c:pt>
                <c:pt idx="3">
                  <c:v>14.8</c:v>
                </c:pt>
                <c:pt idx="4">
                  <c:v>14.8</c:v>
                </c:pt>
                <c:pt idx="5">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Alfa Laval</c:v>
                </c:pt>
                <c:pt idx="1">
                  <c:v>GEA Group</c:v>
                </c:pt>
                <c:pt idx="2">
                  <c:v>SPX Technologies</c:v>
                </c:pt>
                <c:pt idx="3">
                  <c:v>Wärtsilä</c:v>
                </c:pt>
                <c:pt idx="4">
                  <c:v>Atlas Copco</c:v>
                </c:pt>
                <c:pt idx="5">
                  <c:v>Spirax Group</c:v>
                </c:pt>
                <c:pt idx="6">
                  <c:v>Belimo</c:v>
                </c:pt>
                <c:pt idx="7">
                  <c:v>Sulzer</c:v>
                </c:pt>
                <c:pt idx="8">
                  <c:v>Xylem</c:v>
                </c:pt>
                <c:pt idx="9">
                  <c:v>Ingersoll Rand</c:v>
                </c:pt>
              </c:strCache>
            </c:strRef>
          </c:cat>
          <c:val>
            <c:numRef>
              <c:f>Hoja1!$B$2:$B$11</c:f>
              <c:numCache>
                <c:formatCode>0.0"x"</c:formatCode>
                <c:ptCount val="10"/>
                <c:pt idx="0">
                  <c:v>15.6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Fives Cryogenics (Francia; intercambiadores criogénicos)</c:v>
                </c:pt>
                <c:pt idx="1">
                  <c:v>Chart Industries (EE. UU.; equipos criogénicos y de transferencia de calor)</c:v>
                </c:pt>
              </c:strCache>
            </c:strRef>
          </c:cat>
          <c:val>
            <c:numRef>
              <c:f>Hoja1!$B$2:$B$3</c:f>
              <c:numCache>
                <c:formatCode>0.0"x"</c:formatCode>
                <c:ptCount val="2"/>
                <c:pt idx="1">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7882</c:v>
                </c:pt>
                <c:pt idx="1">
                  <c:v>7043</c:v>
                </c:pt>
                <c:pt idx="2">
                  <c:v>7864</c:v>
                </c:pt>
                <c:pt idx="3">
                  <c:v>8733</c:v>
                </c:pt>
                <c:pt idx="4">
                  <c:v>9612</c:v>
                </c:pt>
                <c:pt idx="5">
                  <c:v>10327</c:v>
                </c:pt>
                <c:pt idx="6">
                  <c:v>11138</c:v>
                </c:pt>
                <c:pt idx="7">
                  <c:v>12047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49896</c:v>
                </c:pt>
                <c:pt idx="1">
                  <c:v>142053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587,80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295.95</c:v>
                </c:pt>
                <c:pt idx="1">
                  <c:v>423.65</c:v>
                </c:pt>
                <c:pt idx="2">
                  <c:v>483.8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587,80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(426,40 – 595,40)</c:v>
                </c:pt>
                <c:pt idx="1">
                  <c:v>Precio objetivo de los analistas (435,00 – 675,00)</c:v>
                </c:pt>
                <c:pt idx="2">
                  <c:v>Comparables: PER NTM (432,64 – 566,32)</c:v>
                </c:pt>
                <c:pt idx="3">
                  <c:v>DCF (WACC y g ± 0,5) (392,13 – 464,49)</c:v>
                </c:pt>
                <c:pt idx="4">
                  <c:v>Escenarios (bajista – alcista) (295,95 – 483,80)</c:v>
                </c:pt>
                <c:pt idx="5">
                  <c:v>DCF con la prima implícita del mercado (4,2 %)</c:v>
                </c:pt>
                <c:pt idx="6">
                  <c:v>Precio actual (587,80)</c:v>
                </c:pt>
              </c:strCache>
            </c:strRef>
          </c:cat>
          <c:val>
            <c:numRef>
              <c:f>Hoja1!$B$2:$B$8</c:f>
              <c:numCache>
                <c:formatCode>#,##0</c:formatCode>
                <c:ptCount val="7"/>
                <c:pt idx="0">
                  <c:v>426.4</c:v>
                </c:pt>
                <c:pt idx="1">
                  <c:v>435</c:v>
                </c:pt>
                <c:pt idx="2">
                  <c:v>432.64</c:v>
                </c:pt>
                <c:pt idx="3">
                  <c:v>392.13</c:v>
                </c:pt>
                <c:pt idx="4">
                  <c:v>295.95</c:v>
                </c:pt>
                <c:pt idx="5">
                  <c:v>463.86</c:v>
                </c:pt>
                <c:pt idx="6">
                  <c:v>584.86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(426,40 – 595,40)</c:v>
                </c:pt>
                <c:pt idx="1">
                  <c:v>Precio objetivo de los analistas (435,00 – 675,00)</c:v>
                </c:pt>
                <c:pt idx="2">
                  <c:v>Comparables: PER NTM (432,64 – 566,32)</c:v>
                </c:pt>
                <c:pt idx="3">
                  <c:v>DCF (WACC y g ± 0,5) (392,13 – 464,49)</c:v>
                </c:pt>
                <c:pt idx="4">
                  <c:v>Escenarios (bajista – alcista) (295,95 – 483,80)</c:v>
                </c:pt>
                <c:pt idx="5">
                  <c:v>DCF con la prima implícita del mercado (4,2 %)</c:v>
                </c:pt>
                <c:pt idx="6">
                  <c:v>Precio actual (587,80)</c:v>
                </c:pt>
              </c:strCache>
            </c:strRef>
          </c:cat>
          <c:val>
            <c:numRef>
              <c:f>Hoja1!$C$2:$C$8</c:f>
              <c:numCache>
                <c:formatCode>#,##0</c:formatCode>
                <c:ptCount val="7"/>
                <c:pt idx="0">
                  <c:v>169</c:v>
                </c:pt>
                <c:pt idx="1">
                  <c:v>240</c:v>
                </c:pt>
                <c:pt idx="2">
                  <c:v>133.68000000000006</c:v>
                </c:pt>
                <c:pt idx="3">
                  <c:v>72.36000000000001</c:v>
                </c:pt>
                <c:pt idx="4">
                  <c:v>187.85000000000002</c:v>
                </c:pt>
                <c:pt idx="5">
                  <c:v>69.00999999999999</c:v>
                </c:pt>
                <c:pt idx="6">
                  <c:v>5.8799999999999955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