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Trigano S.A.</w:t>
      </w:r>
    </w:p>
    <w:p>
      <w:pPr>
        <w:spacing w:after="60"/>
        <w:rPr>
          <w:color w:val="52514E"/>
          <w:sz w:val="22"/>
          <w:szCs w:val="22"/>
        </w:rPr>
      </w:pPr>
      <w:r>
        <w:rPr>
          <w:color w:val="52514E"/>
          <w:sz w:val="22"/>
          <w:szCs w:val="22"/>
        </w:rPr>
        <w:t xml:space="preserve">TRI · Euronext París (compartimento A) · ISIN FR0005691656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125,30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193,43 EUR · mercado 218,90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+57,2 % · mercado +77,6 %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2.367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4,1x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Trigano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TRI / FR0005691656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Productos de ocio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rue Petit, 75019 París · 1935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https://trigano-finance.com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123,70 – 178,80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(13.195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193,43 EUR</w:t>
      </w:r>
      <w:r>
        <w:t xml:space="preserve"> frente a 125,30 · con la prima implícita del mercado: 218,90 (+74,7 %) · Rentabilidad total esperada a 12 meses </w:t>
      </w:r>
      <w:r>
        <w:rPr>
          <w:b/>
          <w:bCs/>
        </w:rPr>
        <w:t xml:space="preserve">+57,2 %</w:t>
      </w:r>
      <w:r>
        <w:t xml:space="preserve"> · Alcista / bajista +81,2 % / -9,7 %</w:t>
      </w:r>
    </w:p>
    <w:p>
      <w:pPr>
        <w:spacing w:after="100"/>
      </w:pPr>
      <w:r>
        <w:rPr>
          <w:b/>
        </w:rPr>
        <w:t xml:space="preserve">La recomendación y por qué.</w:t>
      </w:r>
      <w:r>
        <w:t xml:space="preserve"> Comprar, con convicción media. El valor objetivo es de 193,43 EUR, un 54,4 % por encima del precio de 125,30 EUR, y con el dividendo la rentabilidad total esperada a 12 meses es del 57,2 %. Asimetría de 8,4 veces (+81,2 % frente a −9,7 %). Las dos reglas dan Comprar. El precio descuenta un margen EBITDA del 8 % para siempre, por debajo del peor año de la última década, en una empresa con caja neta y un ROIC del 13,9 %. Los criterios sugieren convicción alta; la dejamos en media porque el riesgo es de calendario, no de valor: la propia empresa habla de «attentisme» de los particulares y una cíclica puede pasar dos años en múltiplos de crisis, como en 2018 y 2022 [15, 50]. La subiríamos si los resultados del 24-nov y las ventas del 1T27 muestran ventas al público estables (1T27 por encima del +3 %); la bajaríamos si la producción del 1S27 se recorta.</w:t>
      </w:r>
    </w:p>
    <w:p>
      <w:pPr>
        <w:spacing w:after="100"/>
      </w:pPr>
      <w:r>
        <w:rPr>
          <w:b/>
        </w:rPr>
        <w:t xml:space="preserve">El negocio.</w:t>
      </w:r>
      <w:r>
        <w:t xml:space="preserve"> Trigano es el primer fabricante europeo de autocaravanas, con cerca del 31 % del mercado, y el de mayor margen: un EBITDA del 11,2 % en FY2025 frente al 5,7 % de Thor y el 4,4 % de Winnebago, y un ROIC del 13,9 % frente a un WACC del 10,0 % [9, 54, 55]. Su ventaja es de costes y de escala, no de marca: el foso es estrecho [9]. Su calidad sostiene </w:t>
      </w:r>
      <w:r>
        <w:rPr>
          <w:b/>
        </w:rPr>
        <w:t xml:space="preserve">en parte</w:t>
      </w:r>
      <w:r>
        <w:t xml:space="preserve"> el crecimiento que proyectamos (3,1 % anual): apenas necesita capital, pero dos tercios son subidas de tarifa y el poder de precios no se ha visto desde 2024, cuando Trigano rebajó la gama para ganar cuota [9].</w:t>
      </w:r>
    </w:p>
    <w:p>
      <w:pPr>
        <w:spacing w:after="100"/>
      </w:pPr>
      <w:r>
        <w:rPr>
          <w:b/>
        </w:rPr>
        <w:t xml:space="preserve">Sector y ciclo.</w:t>
      </w:r>
      <w:r>
        <w:t xml:space="preserve"> Las matriculaciones europeas de autocaravanas llevan seis años en torno a 160.000 unidades [20]. El ajuste de 2024-2025 fue de existencias: Trigano recortó la producción un 25 % y su margen cayó 350 puntos básicos [9].</w:t>
      </w:r>
    </w:p>
    <w:p>
      <w:pPr>
        <w:spacing w:after="100"/>
      </w:pPr>
      <w:r>
        <w:rPr>
          <w:b/>
        </w:rPr>
        <w:t xml:space="preserve">Finanzas.</w:t>
      </w:r>
      <w:r>
        <w:t xml:space="preserve"> Unos 500 M de tesorería neta a 31-ago-2026 tras 60 M de recompras [15]. El circulante es el amortiguador del ciclo: absorbió caja en FY2024 (flujo libre de −39,8 M) y la devolvió en FY2025 (494,1 M).</w:t>
      </w:r>
    </w:p>
    <w:p>
      <w:pPr>
        <w:spacing w:after="100"/>
      </w:pPr>
      <w:r>
        <w:rPr>
          <w:b/>
        </w:rPr>
        <w:t xml:space="preserve">Equipo y gobierno.</w:t>
      </w:r>
      <w:r>
        <w:t xml:space="preserve"> Neutro. La familia Feuillet tiene el 57,87 % del capital y el 66,42 % de los votos y ha pasado la propiedad a las dos hijas [34]. El directorio cumplió 4 de sus 7 guías cualitativas; falló en FY2020 (COVID) y FY2025 (existencias) [4, 43]. El ROIC incremental del 9,8 % dice que las compras de distribución y BIO Habitat no han creado valor.</w:t>
      </w:r>
    </w:p>
    <w:p>
      <w:pPr>
        <w:spacing w:after="100"/>
      </w:pPr>
      <w:r>
        <w:rPr>
          <w:b/>
        </w:rPr>
        <w:t xml:space="preserve">Valoración.</w:t>
      </w:r>
      <w:r>
        <w:t xml:space="preserve"> El DCF da 197,79 EUR; los comparables, 204,17 (4,1 veces el EBITDA de los próximos 12 meses frente a una mediana de 7,2 veces); las transacciones, 190,23, y los escenarios ponderados, 178,26. El DCF inverso dice que el precio supone ventas cayendo un 15,5 % al año hasta FY2033e o un margen del 8,0 %: comprar hoy rinde un 15,6 % anual con nuestro caso base, frente a un WACC del 10,0 %. Nuestro EBITDA de FY2027e-FY2028e está un 9-10 % por debajo del consenso; discrepamos del mercado, no de los analistas (179,88 EUR) [52].</w:t>
      </w:r>
    </w:p>
    <w:p>
      <w:pPr>
        <w:spacing w:after="100"/>
      </w:pPr>
      <w:r>
        <w:rPr>
          <w:b/>
        </w:rPr>
        <w:t xml:space="preserve">Riesgos y catalizadores.</w:t>
      </w:r>
      <w:r>
        <w:t xml:space="preserve"> Una recesión como la de 2009 (ventas −27 % en dos años y margen del 4 %) deja el valor en 113,18 EUR; una guerra de precios con Erwin Hymer y Knaus Tabbert resta un 11 % por punto de margen. El catalizador son los resultados del 24-nov-2026 y la junta de enero, que puede amortizar la autocartera. Los foros muestran apatía, sin riesgos nuevos [88, 90].</w:t>
      </w:r>
    </w:p>
    <w:p>
      <w:pPr>
        <w:spacing w:after="100"/>
      </w:pPr>
      <w:r>
        <w:rPr>
          <w:b/>
        </w:rPr>
        <w:t xml:space="preserve">Qué cambiaría la decisión.</w:t>
      </w:r>
      <w:r>
        <w:t xml:space="preserve"> Comprar por debajo de 187,63 EUR y vender por encima de 224,77. Pasaríamos a Mantener si el margen operativo de FY2027 baja del 8 % o si las matriculaciones europeas caen más de un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193,43 EUR</w:t>
      </w:r>
      <w:r>
        <w:t xml:space="preserve"> (+54,4 % sobre 125,30; rentabilidad total esperada +57,2 %) · con la prima implícita del mercado: 218,90 (+74,7 %)</w:t>
      </w:r>
    </w:p>
    <w:p>
      <w:pPr>
        <w:spacing w:after="100"/>
      </w:pPr>
      <w:r>
        <w:t xml:space="preserve">Trigano es el primer fabricante europeo de autocaravanas: 3.800 M de ventas en FY2026, cerca del 31 % de las matriculaciones europeas y el mayor margen del sector (EBITDA del 11,2 % en FY2025, frente al 5,7 % de Thor y el −1,3 % de margen EBIT de Knaus Tabbert) [9, 15, 27, 54]. Ha creado valor en todo el ciclo, con un ROIC que nunca bajó del 13,9 %, y llega al ciclo bajista con unos 500 M de caja neta [15].</w:t>
      </w:r>
    </w:p>
    <w:p>
      <w:pPr>
        <w:spacing w:after="100"/>
      </w:pPr>
      <w:r>
        <w:t xml:space="preserve">El precio, 125,30 EUR, es 4,1 veces el EBITDA de los próximos 12 meses y 7,9 veces el beneficio, frente a 7,2 y 12,7 veces de sus comparables y a una media histórica de 6,7 veces. El DCF inverso dice que el mercado descuenta un margen EBITDA del 8 % para siempre, o ventas cayendo un 15,5 % al año durante siete años.</w:t>
      </w:r>
    </w:p>
    <w:p>
      <w:pPr>
        <w:spacing w:after="100"/>
      </w:pPr>
      <w:r>
        <w:t xml:space="preserve">El mercado acierta en la dirección: las ventas a particulares se han frenado y la empresa planifica una producción estable en el 1S27 [15]. Se equivoca en la magnitud: incluso una recesión como la de 2009 deja el valor en 113,18 EUR, un 9,7 % por debajo del precio, porque el circulante devuelve caja en las caídas. Para invertir hay que creer que el margen de ciclo medio de Trigano es del 11-12 %, como en FY2017-FY2025, y tener paciencia de dos o tres temporadas.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 /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frente a 10,0 %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218,90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57,2 %, asimetría de 8,37, bajista del -9,7 % y el precio descuenta 18,5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187,63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187,63 y 224,77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224,77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margen operativo corriente de FY2027 baja del 8 %, pasaríamos a Mantener.</w:t>
      </w:r>
    </w:p>
    <w:p>
      <w:pPr>
        <w:pStyle w:val="ListParagraph"/>
        <w:numPr>
          <w:ilvl w:val="0"/>
          <w:numId w:val="2"/>
        </w:numPr>
        <w:spacing w:after="60"/>
      </w:pPr>
      <w:r>
        <w:t xml:space="preserve">Si las matriculaciones europeas de autocaravanas caen más de un 10 % durante dos trimestres seguidos, revisaríamos el caso base hacia el bajista.</w:t>
      </w:r>
    </w:p>
    <w:p>
      <w:pPr>
        <w:pStyle w:val="ListParagraph"/>
        <w:numPr>
          <w:ilvl w:val="0"/>
          <w:numId w:val="2"/>
        </w:numPr>
        <w:spacing w:after="60"/>
      </w:pPr>
      <w:r>
        <w:t xml:space="preserve">Si la familia destina más de 300 M de la caja a compras fuera de las autocaravanas, bajaríamos la convicción.</w:t>
      </w:r>
    </w:p>
    <w:p>
      <w:pPr>
        <w:pStyle w:val="ListParagraph"/>
        <w:numPr>
          <w:ilvl w:val="0"/>
          <w:numId w:val="2"/>
        </w:numPr>
        <w:spacing w:after="60"/>
      </w:pPr>
      <w:r>
        <w:t xml:space="preserve">Si el precio supera 224,77 EUR, pasaríamos a Vender; por debajo de 187,63 EUR seguimos en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 FY2021-FY2024 (12,7-14,7 %) fue un accidente de la escasez de chasis y que el de ciclo medio será del 8 % de EBITDA, por debajo del 9,8 % de FY2020, con las fábricas cerradas por la COVID; o ventas cayendo un 15,5 % anual hasta 2033.</w:t>
      </w:r>
    </w:p>
    <w:p>
      <w:pPr>
        <w:keepNext/>
        <w:spacing w:after="100"/>
      </w:pPr>
      <w:r>
        <w:rPr>
          <w:b/>
          <w:bCs/>
        </w:rPr>
        <w:t xml:space="preserve">Lo que creemos nosotros.</w:t>
      </w:r>
    </w:p>
    <w:p>
      <w:pPr>
        <w:spacing w:after="100"/>
      </w:pPr>
      <w:r>
        <w:t xml:space="preserve">El margen de ciclo medio es del 11,5 %, por debajo de la media de FY2017-FY2025 (12,0 %) y del consenso (12,2-12,5 %), y las ventas crecen con la inflación. El año 2027 será flojo, pero no una crisis permanente.</w:t>
      </w:r>
    </w:p>
    <w:p>
      <w:pPr>
        <w:keepNext/>
        <w:spacing w:after="100"/>
      </w:pPr>
      <w:r>
        <w:rPr>
          <w:b/>
          <w:bCs/>
        </w:rPr>
        <w:t xml:space="preserve">Por qué podemos tener razón.</w:t>
      </w:r>
    </w:p>
    <w:p>
      <w:pPr>
        <w:spacing w:after="100"/>
      </w:pPr>
      <w:r>
        <w:t xml:space="preserve">Trigano mantuvo un margen operativo del 8,3 % en FY2020 con las fábricas cerradas y del 9,2 % en FY2025 con la producción recortada un 25 % [4, 9]. Su escala de compras y la red propia le dan costes más bajos que los de Erwin Hymer y Knaus Tabbert, que ganan entre el −1 % y el 2 %, y la caja neta le permite aguantar una guerra de precios mejor que nadie [27, 30].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25,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Muy barata</w:t>
      </w:r>
      <w:r>
        <w:t xml:space="preserve">: 4,1 veces el EBITDA de los próximos 12 meses frente a una mediana de 7,2 veces de sus comparables.</w:t>
      </w:r>
    </w:p>
    <w:p>
      <w:pPr>
        <w:pStyle w:val="ListParagraph"/>
        <w:numPr>
          <w:ilvl w:val="0"/>
          <w:numId w:val="2"/>
        </w:numPr>
        <w:spacing w:after="60"/>
      </w:pPr>
      <w:r>
        <w:rPr>
          <w:b/>
        </w:rPr>
        <w:t xml:space="preserve">El precio descuenta una crisis permanente</w:t>
      </w:r>
      <w:r>
        <w:t xml:space="preserve">: un margen EBITDA del 8,0 % frente al 11,5 % de nuestro caso base.</w:t>
      </w:r>
    </w:p>
    <w:p>
      <w:pPr>
        <w:pStyle w:val="ListParagraph"/>
        <w:numPr>
          <w:ilvl w:val="0"/>
          <w:numId w:val="2"/>
        </w:numPr>
        <w:spacing w:after="60"/>
      </w:pPr>
      <w:r>
        <w:rPr>
          <w:b/>
        </w:rPr>
        <w:t xml:space="preserve">Caja neta</w:t>
      </w:r>
      <w:r>
        <w:t xml:space="preserve">: unos 500 M a 31-ago-2026, el 21 % de la capitalización [15].</w:t>
      </w:r>
    </w:p>
    <w:p>
      <w:pPr>
        <w:pStyle w:val="ListParagraph"/>
        <w:numPr>
          <w:ilvl w:val="0"/>
          <w:numId w:val="2"/>
        </w:numPr>
        <w:spacing w:after="60"/>
      </w:pPr>
      <w:r>
        <w:rPr>
          <w:b/>
        </w:rPr>
        <w:t xml:space="preserve">El mejor del sector</w:t>
      </w:r>
      <w:r>
        <w:t xml:space="preserve">: margen EBITDA del 11,2 % frente al 5,7 % de Thor y ROIC del 13,9 % [54, 63].</w:t>
      </w:r>
    </w:p>
    <w:p>
      <w:pPr>
        <w:pStyle w:val="ListParagraph"/>
        <w:numPr>
          <w:ilvl w:val="0"/>
          <w:numId w:val="2"/>
        </w:numPr>
        <w:spacing w:after="60"/>
      </w:pPr>
      <w:r>
        <w:rPr>
          <w:b/>
        </w:rPr>
        <w:t xml:space="preserve">Asimetría</w:t>
      </w:r>
      <w:r>
        <w:t xml:space="preserve">: el alcista gana un 81,2 % y el bajista pierde un 9,7 %.</w:t>
      </w:r>
    </w:p>
    <w:p>
      <w:pPr>
        <w:pStyle w:val="ListParagraph"/>
        <w:numPr>
          <w:ilvl w:val="0"/>
          <w:numId w:val="2"/>
        </w:numPr>
        <w:spacing w:after="60"/>
      </w:pPr>
      <w:r>
        <w:rPr>
          <w:b/>
        </w:rPr>
        <w:t xml:space="preserve">Recompras</w:t>
      </w:r>
      <w:r>
        <w:t xml:space="preserve">: 60 M en FY2026 con la acción en mínimos y la junta autorizó amortizar acciones [15, 42].</w:t>
      </w:r>
    </w:p>
    <w:p>
      <w:pPr>
        <w:pStyle w:val="Heading2"/>
      </w:pPr>
      <w:r>
        <w:t xml:space="preserve">En contra</w:t>
      </w:r>
    </w:p>
    <w:p>
      <w:pPr>
        <w:pStyle w:val="ListParagraph"/>
        <w:numPr>
          <w:ilvl w:val="0"/>
          <w:numId w:val="2"/>
        </w:numPr>
        <w:spacing w:after="60"/>
      </w:pPr>
      <w:r>
        <w:rPr>
          <w:b/>
        </w:rPr>
        <w:t xml:space="preserve">Demanda frenada</w:t>
      </w:r>
      <w:r>
        <w:t xml:space="preserve">: «attentisme» de los particulares y producción estable en el 1S27 [15].</w:t>
      </w:r>
    </w:p>
    <w:p>
      <w:pPr>
        <w:pStyle w:val="ListParagraph"/>
        <w:numPr>
          <w:ilvl w:val="0"/>
          <w:numId w:val="2"/>
        </w:numPr>
        <w:spacing w:after="60"/>
      </w:pPr>
      <w:r>
        <w:rPr>
          <w:b/>
        </w:rPr>
        <w:t xml:space="preserve">Sin poder de precios reciente</w:t>
      </w:r>
      <w:r>
        <w:t xml:space="preserve">: ingreso por autocaravana plano (56.300 EUR) tras rebajar la gama 2025 [9].</w:t>
      </w:r>
    </w:p>
    <w:p>
      <w:pPr>
        <w:pStyle w:val="ListParagraph"/>
        <w:numPr>
          <w:ilvl w:val="0"/>
          <w:numId w:val="2"/>
        </w:numPr>
        <w:spacing w:after="60"/>
      </w:pPr>
      <w:r>
        <w:rPr>
          <w:b/>
        </w:rPr>
        <w:t xml:space="preserve">ROIC a la baja</w:t>
      </w:r>
      <w:r>
        <w:t xml:space="preserve">: del 23,9 % en FY2024 al 13,9 % en FY2025, con un ROIC incremental del 9,8 %.</w:t>
      </w:r>
    </w:p>
    <w:p>
      <w:pPr>
        <w:pStyle w:val="ListParagraph"/>
        <w:numPr>
          <w:ilvl w:val="0"/>
          <w:numId w:val="2"/>
        </w:numPr>
        <w:spacing w:after="60"/>
      </w:pPr>
      <w:r>
        <w:rPr>
          <w:b/>
        </w:rPr>
        <w:t xml:space="preserve">Compras que no rinden</w:t>
      </w:r>
      <w:r>
        <w:t xml:space="preserve">: BIO Habitat ganó 0,8 M de resultado operativo en FY2025 [9].</w:t>
      </w:r>
    </w:p>
    <w:p>
      <w:pPr>
        <w:pStyle w:val="ListParagraph"/>
        <w:numPr>
          <w:ilvl w:val="0"/>
          <w:numId w:val="2"/>
        </w:numPr>
        <w:spacing w:after="60"/>
      </w:pPr>
      <w:r>
        <w:rPr>
          <w:b/>
        </w:rPr>
        <w:t xml:space="preserve">Control familiar</w:t>
      </w:r>
      <w:r>
        <w:t xml:space="preserve">: el 66,42 % de los votos y un presidente del consejo de 77 años [34].</w:t>
      </w:r>
    </w:p>
    <w:p>
      <w:pPr>
        <w:pStyle w:val="Heading2"/>
      </w:pPr>
      <w:r>
        <w:t xml:space="preserve">Qué tiene que pasar para que la tesis funcione</w:t>
      </w:r>
    </w:p>
    <w:p>
      <w:pPr>
        <w:spacing w:after="100"/>
      </w:pPr>
      <w:r>
        <w:t xml:space="preserve">La tesis depende de que las ventas a particulares no caigan más de lo que la empresa ya anticipa (producción estable en el 1S27) y de que el margen operativo se mantenga cerca del 9-10 %. La señal de que no se cumple sería un recorte de la producción o unas ventas del 1T27 o 2T27 por debajo del −5 %, o matriculaciones europeas de autocaravanas cayendo más de un 10 % durante dos trimestres.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corriente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10 % (FY2026, anticipo)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8 % (≈ 6 %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la entrada en el escenario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Matriculaciones europeas de autocaravanas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159.824 (temporada 2025/26, plana)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demanda final, por delante de los pedidos de la red.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 (ago-25); 27,9 % (feb-26, estacional)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27 % al cierre de agosto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 el sobrestock precedió a la caída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Tesorería neta sin NIIF 16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500 M (ago-26)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300 M sin recompras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colchón que limita el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 / 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La marca Trigano nace en 1935 como distribuidor de material de camping y fabrica tiendas desde 1956; en 1971 compra la SEMM (Caravelair) y entra en las caravanas. En 1974 el Crédit Lyonnais toma el control y se compra Sterckeman. François Feuillet entra en 1981 y dirige el grupo hasta 2020; la empresa fabrica autocaravanas desde 1984 (Chausson) y se privatiza en 1987. Sale a bolsa en 1998 y, con compras casi anuales (Autostar, Caravans International, Auto-Trail, Benimar, Eura Mobil, Adria, Auto-Sleepers), se convierte en el primer fabricante europeo de vehículos de ocio [9]. Desde 2022 integra hacia delante la distribución en Francia (CLC, SLC, GLA, Abalain, Alonso; enseña Libertium, unos 70 puntos de venta) y en diciembre de 2024 compra BIO Habitat, la división de residencias móviles de Bénéteau, por 196,7 M de caja neta [9]. La familia Feuillet conserva el 57,9 % del capital; preside el Directorio Stéphane Gigou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marca Trigano (distribución de material de camping); fabricación de tiendas desde 1956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SEMM (Caravelair): entrada en la fabricación de caravanas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 control por el Crédit Lyonnais y compra de Sterckeman (caravanas)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François Feuillet entra en Trigano; lo dirigirá hasta 2020 y hoy preside el Consejo de supervisión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autocaravanas, con la marca Chausson; en 1985, marca Challenger y creación de Euro Accessoires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de Trigano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y toma de control de Autostar; en 1999, Caravans International y Auto-Trail (Reino Unido y otros)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Benimar (España, 2002), Périgord VDL y Mecanorem (2004), Eura Mobil (Alemania), Camping Profi y DRM (2005) y Grove (2006)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Remolques y equipamiento: Notin, OCS, Lider y Gaupen-Henger (2012) y SEA (Italia, 2013)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Adria (Eslovenia), Auto-Sleepers, Hubière y Michael Jordan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la distribución en Francia: CLC, SLC y GLA (2022), enseña Libertium (2023), grupos Abalain y Alonso, Thouard, Lestringuez y ADS (2024)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1-dic-2024: compra de BIO Habitat (O'Hara, IRM, Coco Sweet), división de residencias móviles del grupo Bénéteau, con unos 1.000 empleados y 7 plantas en Francia e Italia, por 196,7 M de caja neta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Trigano diseña, fabrica y distribuye vehículos de ocio en Europa. En el ejercicio FY2025 (sep-2024 a ago-2025) facturó 3.660,2 M: 3.195,6 M (87 %) en autocaravanas y caravanas (autocaravanas 2.760,6 M, caravanas 119,4 M, accesorios y otros 315,6 M) y 464,6 M (13 %) en otras actividades de ocio (residencias móviles 282,5 M, remolques 146,3 M, otros 35,8 M) [9]. Vendió 49.000 autocaravanas, 7.200 caravanas, 10.600 residencias móviles y 120.300 remolques [9]. Fabrica autocaravanas en 17 plantas de seis países (Francia, Italia, Eslovenia, Reino Unido, España y Alemania), ninguna con más del 20 % de la producción, con casi 30 marcas, del van al integral [9]. Vende a través de unos 1.300 distribuidores autorizados, de ellos más de 80 puntos de venta propios (Libertium, unos 70 en Francia, primer distribuidor europeo de autocaravanas y caravanas) [9]. El 98,7 % de las ventas es europeo; 11.000 empleados, 73 centros, 14 países [9]. En FY2026 las ventas llegaron a 3.800,0 M (+3,8 %): autocaravanas 2.877 M, caravanas 137 M, accesorios 311 M, residencias móviles 291 M y remolques 150 M [15].</w:t>
      </w:r>
    </w:p>
    <w:p>
      <w:pPr>
        <w:pStyle w:val="Heading2"/>
      </w:pPr>
      <w:r>
        <w:t xml:space="preserve">Cómo gana dinero</w:t>
      </w:r>
    </w:p>
    <w:p>
      <w:pPr>
        <w:spacing w:after="100"/>
      </w:pPr>
      <w:r>
        <w:t xml:space="preserve">Trigano compra el chasis motorizado (más del 40 % de sus compras; Stellantis, con Fiat Ducato y Citroën, suministra cerca del 70 % de las bases de autocaravanas del mercado) y le añade la célula habitable, el mobiliario y el equipamiento, muchos fabricados en casa [9]. Vende sobre pedido de los concesionarios, que hacen los pedidos en otoño, tras los salones; las matriculaciones se concentran en primavera. El margen depende del volumen y la absorción de costes fijos, de la mezcla y del precio: en FY2025 la producción de autocaravanas bajó un 25 % para vaciar existencias, las ventas cayeron un 6,8 % y el margen operativo corriente pasó del 12,8 % al 9,2 % por promociones, menor productividad y peor absorción, además de la rebaja de precios de la gama 2025 para ganar cuota [9]. En FY2026 la dirección anticipa un margen «cercano al 10 %» con ventas +3,8 % [15]. Los accesorios y la posventa (unos 311-316 M al año) y la financiación al cliente mediante la sociedad conjunta con BNP Paribas Personal Finance son los ingresos más estables [9, 15].</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Camping-cars et caravanes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Autres activités de loisirs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Camping-cars et caravanes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Autres activités de loisirs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son concesionarios, en su mayoría independientes: ningún distribuidor pesa más del 5 % de las ventas consolidadas [9]. La red se está concentrando y la empresa lo cita como riesgo para los márgenes de los fabricantes; Trigano responde con su propia red en Francia y Reino Unido (Libertium y otros, más de 80 puntos de venta), cuyas ventas subieron un 6,7 % en FY2025 y bajaron un 5 % en FY2026 [9, 15]. El cliente final es sobre todo un jubilado joven de 55-65 años, con renta garantizada y menos dependiente del crédito [9]. </w:t>
      </w:r>
      <w:r>
        <w:rPr>
          <w:b/>
        </w:rPr>
        <w:t xml:space="preserve">Poder de precios.</w:t>
      </w:r>
      <w:r>
        <w:t xml:space="preserve"> Con la escasez de chasis de 2021-2023 el precio de las autocaravanas subió de forma significativa durante tres años [9]; desde 2024 la industria ha bajado precios: Trigano reposicionó a la baja la gama 2025 para ganar cuota [9], Knaus Tabbert cita una presión de precios continua y ventas de existencias con descuento [27, 29] y en residencias móviles Trigano vendió un 1,9 % más de unidades con unas ventas un 6 % más bajas por mezcla y precio en FY2026 [15]. Estimación propia: los ingresos de autocaravanas por unidad vendida fueron de unos 56.300 EUR en FY2025 (2.760,6 M / 49.000) frente a unos 56.500 EUR en FY2024 (3.131,1 M / 55.400): precio plano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Autocaravanas vendidas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recortada un 25 % para normalizar existencias [9]. En FY2026 las entregas a la red suben cerca de un 7 %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Caravanas vendidas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europeo de caravanas -8,4 % en la temporada [9]; entregas +15 % en FY2026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Residencias móviles vendidas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BIO Habitat desde el 1-dic-2024; +5,5 % a perímetro constante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Matriculaciones de autocaravanas en Europa (temporada sep-ago)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158.602 (2023/24)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159.434 (2024/25); 159.824 (2025/26)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0,0 %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las asociaciones nacionales recogidos por Trigano [9,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corriente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para FY2026: «cercano al 10 %» [9,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Puntos de venta propios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80 (unos 70 Libertium en Francia)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Sobre 1.300 distribuidores autorizados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europeo de vehículos de ocio nuevos (autocaravanas y furgonetas camper, que la ECF cuenta juntas, y caravanas), medido en matriculaciones de vehículos nuevos en el año natural según la European Caravan Federation (ECF) y la asociación alemana CIVD, que la elabora [19, 20]. Es el mercado que pesa en el beneficio de Trigano (87 % de las ventas) [9]. La serie en unidades es la de autocaravanas (el 75 % de las ventas de Trigano); se contrasta con la de temporada septiembre-agosto que publica Trigano a partir de las asociaciones nacionales [9, 15] y con las tablas de la ECF que recoge Thor [30]. Para el valor no hay serie europea pública: la CIVD da la facturación de la industria alemana (14.100 M en 2025, 16.020 M en el máximo de 2023) [20] y el valor europeo se estima a partir del ingreso por unidad de Trigano. Las residencias móviles (8 % de las ventas) son un mercado distinto, de inversión de los campings, sobre todo en Francia.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161.369 autocaravanas y 54.242 caravanas nuevas matriculadas en Europa en 2025 (215.611 vehículos de ocio) [20]; la ECF da 161.341 y 54.169 [19]. Estimación propia del valor: 161.369 unidades por unos 56.000 EUR de ingreso por autocaravana de Trigano (precio a concesionario) ≈ 9.000 M EUR a precio de fábrica en 2025 [9, 20]. La industria alemana sola facturó 14.100 M EUR en 2025, de ellos 6.760 M en vehículos nuevos (-14,3 %)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autocaravanas nuevas matriculadas en Europa (unidades,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jubilados jóvenes (55-65 años) con tiempo y renta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parque europeo de autocaravanas creció un 195 % entre 2010 y 2024 y el de caravanas un 40 % [20]; Trigano sitúa su cliente central en 55-65 años y espera que el «papy-boom» lo siga ampliando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existencias de los concesionarios y suministro de chasis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de la escasez a la abundancia de chasis en 2024 (transición Euro 6d a 6e) llenó de existencias fábricas y redes; Trigano recortó un 25 % la producción en FY2025 aunque las matriculaciones subieron un 0,5 % [9]. El inventario de concesionarios de Thor en Europa bajó de 22.200 a 20.500 unidades entre jul-2025 y jul-2026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tipos de interés y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caravanas, el segmento más sensible a la renta, caen cinco años seguidos: de 79.471 matriculaciones en 2021 a 54.242 en 2025 (-32 %) [20]. Francia bajó un 6 % en la temporada 2025/26 por la incertidumbre económica y política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regulación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subió un 46,6 % en 2025 al retirar desde febrero de 2025 el impuesto bonus-malus a las autocaravanas [19, 20]; Austria (-23,6 %) y Suiza (-16,9 %) cayeron por cambios de modelo en los chasis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Permiso B ampliado a 4,25 t para autocaravanas (cuarta directiva de permisos)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Trasposición obligatoria a finales de noviembre de 2028; la CIVD estima un interés inicial de «seis cifras bajas» de conductores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Euro 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autonomía de los utilitarios eléctricos es insuficiente y el peso de las baterías impide quedarse en 3,5 t; Euro 7 llega en 2027 y la UE quiere acabar con los turismos y utilitarios térmicos nuevos en 2035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grupos (Trigano, Erwin Hymer y Knaus Tabbert) y unos 30 fabricantes en Europa compiten en precio, diseño y marca [30]; desde 2024 la industria vende existencias con descuento: Trigano rebajó la gama 2025 [9], Knaus Tabbert tuvo pérdidas operativas (-13,2 M de EBIT) [27] y el margen bruto europeo de Thor bajó del 15,2 % al 13,5 %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Concesionarios dispersos (ninguno supera el 5 % de las ventas de Trigano), pero en concentración y con insolvencias en 2025 [9, 29]. El cliente final compara marcas en salones (Düsseldorf: 259.000 visitantes)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Stellantis suministra cerca del 70 % de los chasis de autocaravanas y los chasis son más del 40 % de las compras de Trigano; algunos componentes dependen de tres proveedores casi monopolistas [9]. Thor atribuye la caída de su margen europeo en FY2026 a chasis más caros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en la fabricación (la homologación europea y el acceso a chasis son las principales), pero altas en la red de concesionarios y en la escala de compras; los nuevos entrantes son camperizadores pequeños y fabricantes de furgonetas (Volkswagen, Mercedes) [30,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el alquiler de autocaravanas, los vehículos usados (la CIVD ve el mercado de ocasión ganar peso en Alemania) y las vacaciones de hotel o crucero [20].</w:t>
            </w:r>
          </w:p>
        </w:tc>
      </w:tr>
    </w:tbl>
    <w:p>
      <w:pPr>
        <w:spacing w:after="160" w:before="0"/>
      </w:pPr>
    </w:p>
    <w:p>
      <w:pPr>
        <w:pStyle w:val="Heading2"/>
      </w:pPr>
      <w:r>
        <w:t xml:space="preserve">Ciclo</w:t>
      </w:r>
    </w:p>
    <w:p>
      <w:pPr>
        <w:spacing w:after="100"/>
      </w:pPr>
      <w:r>
        <w:t xml:space="preserve">Las matriculaciones de autocaravanas en Europa pasaron de 132.470 (2019) a 159.082 (2020, +20,1 % en plena pandemia) y al máximo de 181.516 (2021); cayeron a 147.804 en 2022 por la escasez de chasis, no de demanda, y volvieron a unas 160.000 en 2024-2025 [20, 23]. Las caravanas cayeron de 79.471 a 54.242 entre 2021 y 2025 [20]. El ajuste de 2024-2025 fue de existencias: Trigano recortó la producción un 25 % con el mercado plano [9]. En enero-abril de 2026 las autocaravanas suben un 10,0 % [26] y la temporada a agosto de 2026 queda plana (159.824) [15]. Los datos europeos de 2008-09 no están disponibles en fuentes gratuitas abiertas.</w:t>
      </w:r>
    </w:p>
    <w:p>
      <w:pPr>
        <w:pStyle w:val="Heading2"/>
      </w:pPr>
      <w:r>
        <w:t xml:space="preserve">Regulación</w:t>
      </w:r>
    </w:p>
    <w:p>
      <w:pPr>
        <w:spacing w:after="100"/>
      </w:pPr>
      <w:r>
        <w:rPr>
          <w:b/>
        </w:rPr>
        <w:t xml:space="preserve">Permiso de conducir.</w:t>
      </w:r>
      <w:r>
        <w:t xml:space="preserve"> La cuarta directiva europea de permisos amplía el permiso B a autocaravanas de hasta 4,25 t («B96.02»), mediante un curso de al menos siete horas o un examen, según el país; debe trasponerse antes de finales de noviembre de 2028 y la norma antigua desaparece a más tardar a finales de 2029. Hoy, con el permiso B (posterior a 1999 en Alemania), solo se conducen 3,5 t [20]. </w:t>
      </w:r>
      <w:r>
        <w:rPr>
          <w:b/>
        </w:rPr>
        <w:t xml:space="preserve">Emisiones.</w:t>
      </w:r>
      <w:r>
        <w:t xml:space="preserve"> Euro 7 entra en 2027 (emisiones de escape, frenos, neumáticos y baterías) y la UE quiere que no se matriculen vehículos térmicos nuevos desde 2035, aunque las autocaravanas son vehículos de uso especial y el texto puede cambiar [9]. La transición de Euro 6d a 6e en 2024 desordenó el suministro de chasis [9]. Además, la UE aplica la homologación de tipo y el Reglamento General de Seguridad (GSR2) [30]. Hay riesgo de normas locales más restrictivas sobre estacionamiento y acceso a ciudades [9].</w:t>
      </w:r>
    </w:p>
    <w:p>
      <w:pPr>
        <w:pStyle w:val="Heading2"/>
      </w:pPr>
      <w:r>
        <w:t xml:space="preserve">Tendencias y disrupción</w:t>
      </w:r>
    </w:p>
    <w:p>
      <w:pPr>
        <w:spacing w:after="100"/>
      </w:pPr>
      <w:r>
        <w:rPr>
          <w:b/>
        </w:rPr>
        <w:t xml:space="preserve">Furgonetas camper.</w:t>
      </w:r>
      <w:r>
        <w:t xml:space="preserve"> Son el segmento más dinámico: en Thor, las campers crecieron en FY2026 un 13,0 % en ventas y un 6,2 % en unidades, y ya son el 28,7 % de sus ventas europeas [30]. Fueron también donde más existencias se acumularon en 2024 [9]. </w:t>
      </w:r>
      <w:r>
        <w:rPr>
          <w:b/>
        </w:rPr>
        <w:t xml:space="preserve">Gamas de entrada.</w:t>
      </w:r>
      <w:r>
        <w:t xml:space="preserve"> Trigano gana cuota con vehículos de buena relación precio/equipamiento para quien compra por primera vez [9, 15]; Thor también vende más modelos de entrada y series especiales, con menor margen [30]. </w:t>
      </w:r>
      <w:r>
        <w:rPr>
          <w:b/>
        </w:rPr>
        <w:t xml:space="preserve">Electrificación.</w:t>
      </w:r>
      <w:r>
        <w:t xml:space="preserve"> Va lenta: Trigano lanzó en 2024 un modelo híbrido térmico/eléctrico y en 2025 una furgoneta híbrida enchufable (Panama), pero la autonomía y el peso de las baterías limitan el eléctrico mientras el límite del permiso siga en 3,5 t [9]. </w:t>
      </w:r>
      <w:r>
        <w:rPr>
          <w:b/>
        </w:rPr>
        <w:t xml:space="preserve">Alquiler y ocasión.</w:t>
      </w:r>
      <w:r>
        <w:t xml:space="preserve"> El mercado de ocasión gana peso: más de 190.000 cambios de titular en Alemania [20]. Knaus Tabbert tiene su propia marca de alquiler (Rent and Travel) y Trigano alquila y financia [9, 29]. </w:t>
      </w:r>
      <w:r>
        <w:rPr>
          <w:b/>
        </w:rPr>
        <w:t xml:space="preserve">Distribución.</w:t>
      </w:r>
      <w:r>
        <w:t xml:space="preserve"> Los concesionarios se concentran y aparecen grupos multimarca grandes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autocaravanas en Europa (≈ 31 % en la temporada 2024/25, estimación propia: 49.000 autocaravanas vendidas sobre 159.434 matriculaciones), por delante de Erwin Hymer Group (Thor, 27,0 % en el primer semestre de 2026) y Knaus Tabbert (≈ 8 %) [9, 28, 30]. En caravanas es menor: unas 7.200 de 56.138 (≈ 13 %) [9]. Primer fabricante europeo de remolques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Erwin Hymer Group (segmento europeo de Thor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(matriz en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Hymer, Bürstner, Dethleffs, Carado, Laika, Elddis, LMC… Ventas FY2026 (ago-2025 a jul-2026) de 3.296,7 M USD (+9,0 %; +3,1 % a divisa constante), 45.623 unidades; margen bruto 13,5 % (15,2 %) y beneficio antes de impuestos del segmento 72,2 M USD, el 2,2 % (3,4 %) [30]. Cuota de 23,9 % en vehículos de ocio a 12 meses a jun-2026 y 27,0 % en autocaravanas en el 1S26 [30]. Ingresos convertidos a 1,1641 USD/EUR (media mensual del BCE de ago-2025 a jul-2026) [33]; el margen es antes de impuestos, no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Knaus Tabbert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KTA.DE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Knaus, Tabbert, Weinsberg, T@B, Morelo. Ventas 2025 de 1.002,1 M (-7,4 %), EBIT -13,2 M (-46,8 M en 2024), EBITDA ajustado 27,3 M (2,7 %), pérdida neta -36,9 M, 20.574 unidades (22.575) [27]. Cuotas europeas en 2025 de 8,2 % y 18,7 % (autocaravanas y caravanas, por cómo encajan las cifras) [28]. Renegoció en 2025 su financiación bancaria; guía 2026 ≈ 950 M de ventas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Hobby-Wohnwagenwerk (Hobby/Fendt)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Ventas de unos 300 M en 2024, más de 1.200 empleados y 13.000-17.000 vehículos por temporada; se presenta como la marca de caravanas más popular de Europa [32]. Thor la cita como competidor principal (Hobby/Fendt) [30]. No publica márgenes.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Winnebago Industries (referencia EE. UU.)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WGO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presencia relevante en Europa. Ventas FY2025 (sep-2024 a ago-2025) de 2.798,2 M USD (-5,9 %) y beneficio operativo de 57,2 M USD, 2,0 % (3,4 %) [31]. Convertido a 1,1001 USD/EUR (media del BCE de sep-2024 a ago-2025)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Thor Industries consolidado (referencia)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FY2026 de 9.608,1 M USD (+0,3 %); beneficio antes de impuestos 238,7 M USD (2,5 %). Estimación propia del EBIT: margen bruto 1.212,6 M menos gastos generales 903,4 M y amortización de intangibles 112,2 M = 197,1 M USD, el 2,1 % [30]. Convertido a 1,1641 USD/EUR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producto; la red de unos 1.300 concesionarios y talleres, con más de 80 puntos propios, da algo de densidad de servicio, pero los concesionarios venden marcas de varios grupos [1,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final cambia de marca sin coste y el concesionario puede cambiar de proveedor de temporada en temporada; la financiación (sociedad conjunta con BNP Paribas) y los accesorios fidelizan poco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30 marcas con historia (Chausson, Challenger, Adria, Benimar, Auto-Trail, Eura Mobil…), pero sin primas de precio: el ingreso por autocaravana fue plano en FY2025 (≈ 56.300 EUR) y la empresa rebajó precios para ganar cuota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márgenes del 9,2 % en el peor año reciente (FY2025) y «cercano al 10 %» en FY2026, Trigano multiplica los del 2,2 % de Erwin Hymer (antes de impuestos) y el -1,3 % de Knaus Tabbert; compra chasis y componentes a escala, integra muebles, paneles y piezas, y tiene plantas con máquinas iguales e intercambiables [1, 2, 11,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es de unas 160.000 autocaravanas al año y no crece desde 2020 (0,3 % anual); tres grupos tienen ≈ 66 % de las autocaravanas (≈ 31 % + 27 % + 8 %), lo que deja poco sitio para otro fabricante de escala, pero Thor conserva el 23,9 % del total de vehículos de ocio [1, 4, 12, 14].</w:t>
            </w:r>
          </w:p>
        </w:tc>
      </w:tr>
    </w:tbl>
    <w:p>
      <w:pPr>
        <w:spacing w:after="160" w:before="0"/>
      </w:pPr>
    </w:p>
    <w:p>
      <w:pPr>
        <w:pStyle w:val="Heading2"/>
      </w:pPr>
      <w:r>
        <w:t xml:space="preserve">Amenazas</w:t>
      </w:r>
    </w:p>
    <w:p>
      <w:pPr>
        <w:spacing w:after="100"/>
      </w:pPr>
      <w:r>
        <w:t xml:space="preserve">La principal es la dependencia de Stellantis, que suministra cerca del 70 % de los chasis: escasez (2021-2023), exceso (2024) o subidas de precio afectan a toda la industria, y Thor ya atribuye a chasis más caros su caída de margen en FY2026 [9, 30]. Segunda, la guerra de precios mientras haya existencias y competidores en apuros: Knaus Tabbert perdió dinero en 2024 y 2025 y renegoció su deuda, y sus descuentos presionan el precio [27, 29]. Tercera, la concentración de concesionarios en grupos grandes, que pueden negociar márgenes [9]. A largo plazo, la electrificación podría abrir el mercado a los fabricantes de furgonetas (Volkswagen, que ya colabora con Hobby) si las baterías permiten no pasar de 4,25 t [9, 20, 32]. Probabilidad: alta para los precios en 2026-2027, media para los chasis y baja a cinco años para la electrificación.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FY2017-FY2025: ingresos </w:t>
      </w:r>
      <w:r>
        <w:rPr>
          <w:b/>
          <w:bCs/>
        </w:rPr>
        <w:t xml:space="preserve">10,0 %</w:t>
      </w:r>
      <w:r>
        <w:t xml:space="preserve">, EBITDA </w:t>
      </w:r>
      <w:r>
        <w:rPr>
          <w:b/>
          <w:bCs/>
        </w:rPr>
        <w:t xml:space="preserve">11,8 %</w:t>
      </w:r>
      <w:r>
        <w:t xml:space="preserve">, BPA </w:t>
      </w:r>
      <w:r>
        <w:rPr>
          <w:b/>
          <w:bCs/>
        </w:rPr>
        <w:t xml:space="preserve">8,2 %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1.707 M en FY2017 a 3.660 M en FY2025, un 10,0 % anual, con un tercio largo de compras: Adria (408 M de ventas el primer año), la red francesa Libertium y BIO Habitat [2, 6, 9]. El crecimiento orgánico es el del ciclo: −6,4 % en FY2020 (COVID), +32,6 % en FY2021 y +11,2 % en FY2024, y −10,9 % en FY2025 [4, 5, 8, 9]. El margen EBITDA siguió la misma curva: del 9,8 % en FY2020 al 14,7 % en FY2024, con autocaravanas escasas y precios al alza, y de vuelta al 11,2 % en FY2025 [9]. La caída de 350 puntos básicos en un año la explica la propia empresa: recorte de producción del 25 % para vaciar existencias, rebaja de precios de la gama 2025 para ganar cuota y menor absorción de costes fijos [9]. FY2026 corrige solo en parte: ventas +3,8 % (+3,1 % orgánico) y un margen operativo «cercano al 10 %», frente al 9,2 % [15]. BIO Habitat aportó 161,6 M de ventas y apenas 0,8 M de resultado operativo en sus nueve primeros meses [9].</w:t>
      </w:r>
    </w:p>
    <w:p>
      <w:pPr>
        <w:pStyle w:val="Heading2"/>
      </w:pPr>
      <w:r>
        <w:t xml:space="preserve">Ajustes y partidas no recurrentes</w:t>
      </w:r>
    </w:p>
    <w:p>
      <w:pPr>
        <w:spacing w:after="100"/>
      </w:pPr>
      <w:r>
        <w:t xml:space="preserve">Se usan las cifras publicadas. La única partida no recurrente relevante es la de FY2017: 18,1 M de otros ingresos operativos, casi todos una plusvalía de 17,8 M por revalorizar la participación previa en Auto-Sleepers, que se resta del EBITDA de ese año [1]. En FY2018-FY2025 la diferencia entre el resultado operativo corriente y el resultado operativo nunca pasa de 1,7 M [9]. El resultado financiero de FY2021 (−80,5 M) incluye −75,2 M por la revalorización de los pagos aplazados por minoritarios de Adria y otras filiales: no toca el EBIT ni se repite, pero el beneficio por acción de ese año está deprimido [5]. La amortización del precio asignado de las compras (8,5 M de BIO Habitat en FY2025) queda dentro del resultado operativo corriente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discurso cambió entre mayo y septiembre de 2026. Con los resultados del primer semestre (6-may-2026), la dirección hablaba de carteras de pedidos que saturaban la capacidad de producción hasta el final de la temporada, de entregas a las redes un 10 % por encima y de una mejora de ventas y resultados en el segundo semestre [10, 13]. El 3T (marzo-mayo) ya mostró el frenazo: ventas +1,6 %, con 600 autocaravanas retrasadas por el incendio de un proveedor y las ventas de la red propia un 1 % por debajo en volumen [14]. El 23-sep-2026, con las ventas anuales, el mensaje fue de prudencia: las carteras de la gama 2027 suben, pero el interés de las ferias «no se traduce aún» en ventas a particulares; hay «attentisme» en Francia y Alemania, la producción de autocaravanas será estable en el 1S27 y los grandes clientes de residencias móviles siguen prudentes [15, 16]. En la entrevista del 7-oct, el presidente del directorio añadió subidas de tarifa del 1,5-2 % para la gama 2027 y existencias normalizadas en los concesionarios [93]. La empresa no celebra conferencias con preguntas transcritas: las reacciones de los analistas fueron recortes de precio objetivo (Oddo BHF de 191 a 174 EUR, Portzamparc de 180 a 173 y UBS de 187 a 179) por un crecimiento orgánico menor en FY2027 [91, 92].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(FY2018: Adria (Protej, Eslovenia) comprada el 22-sep-2017 y consolidada desde el 1-oct-2017: 407,9 M de ventas en FY2018; fondo de comercio 139,3 M y deuda por la compra diferida de minoritarios [2].; FY2022: Distribuidores franceses CLC, SLC y Loisiréo (70 % + compra diferida del resto), consolidados desde el 1-feb-2022: siete meses en la cuenta y el balance completo; contrapartida 164,8 M, fondo de comercio 62,7 M [6].; FY2025: BIO Habitat y BIO Habitat Italia (mobil-homes, antigua división Habitat de Bénéteau), consolidadas desde el 1-dic-2024: nueve meses en la cuenta (161,6 M de ventas) y balance completo; contrapartida 237,8 M [9].).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Trigano no tiene deuda neta: la caja (562,2 M a 28-feb-2026) supera a la deuda financiera, los arrendamientos y los pagos aplazados, y la empresa anuncia unos 500 M de tesorería neta sin NIIF 16 a 31-ago-2026 tras pagar 60 M de recompras y 76 M de dividendos [10, 15]. El riesgo del balance está en el circulante, no en la deuda. El circulante comercial pasó del 6,2 % de las ventas en FY2021 (escasez de chasis, existencias vacías) al 26,2 % en FY2024, cuando el paso a la norma Euro 6e convirtió la escasez en abundancia y las existencias llegaron a 1.068,5 M [9, 11]. En FY2025 volvió al 20,1 % y el flujo operativo saltó a 563,9 M. En el ciclo, el circulante absorbe y devuelve unos 300-400 M: es el colchón que hace que Trigano gane caja en las recesiones, como en FY2020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1.502</w:t>
      </w:r>
      <w:r>
        <w:t xml:space="preserve">, conversión </w:t>
      </w:r>
      <w:r>
        <w:rPr>
          <w:b/>
          <w:bCs/>
        </w:rPr>
        <w:t xml:space="preserve">73 %</w:t>
      </w:r>
      <w:r>
        <w:t xml:space="preserve"> del beneficio neto; adquisiciones 691, dividendos 462, recompras 28.</w:t>
      </w:r>
    </w:p>
    <w:p>
      <w:pPr>
        <w:spacing w:after="100"/>
      </w:pPr>
      <w:r>
        <w:t xml:space="preserve">En FY2017-FY2025 Trigano convirtió en flujo libre el 73 % de su beneficio (1.502 M), pero con años muy distintos: −39,8 M en FY2024, cuando las existencias subieron en 264 M, y 494,1 M en FY2025, cuando bajaron en 169 M [9]. Por eso la rentabilidad por flujo libre de los últimos 12 meses (21,4 %) exagera: incluye la liberación de circulante y no se repetirá. El capex es bajo y estable: del 1,2 % al 2,5 % de las ventas, más unos 20 M anuales de arrendamientos; la empresa no separa mantenimiento y crecimiento, pero con fábricas en Francia, Eslovenia, Italia y el Reino Unido y un capex inferior a la amortización en FY2025 (43,3 M frente a 75,5 M), casi todo es mantenimiento (estimación propia) [9]. Los usos de la caja en nueve años: 691 M en compras, 462 M en dividendos y solo 28 M en recompras hasta FY2026, cuando se recompraron 60 M [15].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BM&amp;A (desde 2003) y Ernst &amp; Young Audit (desde 2006), co-comisarios de cuentas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sencillas y conservadoras. Dos auditores (BM&amp;A desde 2003 y Ernst &amp; Young desde 2006) firman sin salvedades y el examen del 1S26 no tiene observaciones [9, 10]. El único punto clave de auditoría son los pasivos por compra aplazada de minoritarios, valorados a valor razonable con cambios en el resultado financiero: en FY2021 restaron 75,2 M [5, 9]. No hay remuneración en acciones (el beneficio diluido coincide con el básico), no se capitaliza I+D de forma relevante y el fondo de comercio (421,3 M) pasa las pruebas de deterioro con holgura: ni un punto más de tasa ni medio punto menos de EBITDA lo deterioran [9]. El Altman Z de 3,97 está en zona segura. El Piotroski F de 4 sobre 9 refleja el año malo (margen, rotación y ROA a la baja), no un problema de calidad. El Beneish M (−3,07) no es interpretable en FY2025 porque BIO Habitat cambia el perímetro. Lo que pide vigilancia es la relación con Loisirs Finance: créditos cedidos fuera de balance y 100 M de tesorería adelantados a una participada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compra diferida de minoritarios a valor razonable con cambios en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punto clave de auditoría del RA2025: 55,6 M a 31-ago-2025, ajuste de -4,9 M en FY2025; en FY2021 la revalorización restó 75,2 M al resultado financiero [5][9].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Cesiones de créditos sin recurso y relación con Loisirs Finance (49 % Trigano)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117,9 M de créditos fuera de balance a 31-ago-2025 (780,4 M cedidos en el año); Loisirs Finance es parte vinculada y en el 1S26 Trigano le adelantó 100 M de tesorería [9][10].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Reclasificaciones de presentación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de créditos cedidos movida del coste de endeudamiento a otros gastos financieros y de intereses pagados al flujo operativo (-7,9 M en el 1S25); corrección de la presentación de acciones propias y reservas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existencias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Depreciación de 19,9 M sobre 1.069,8 M brutos a 28-feb-2026 (24,4 M a 31-ago-2025)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Complementos de precio de BIO Habitat en disputa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13,0 M reclamados por el vendedor no reconocidos en el coste de compra ni como deuda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Antigüedad de los auditores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BM&amp;A en su 23.º año y EY en su 20.º a 31-ago-2025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9,8 % · </w:t>
      </w:r>
      <w:r>
        <w:rPr>
          <w:b/>
          <w:bCs/>
        </w:rPr>
        <w:t xml:space="preserve">WACC</w:t>
      </w:r>
      <w:r>
        <w:t xml:space="preserve">: 10,0 %.</w:t>
      </w:r>
    </w:p>
    <w:p>
      <w:pPr>
        <w:spacing w:after="100"/>
      </w:pPr>
      <w:r>
        <w:rPr>
          <w:b/>
        </w:rPr>
        <w:t xml:space="preserve">Trigano crea valor en todo el ciclo, pero cada vez con más capital.</w:t>
      </w:r>
      <w:r>
        <w:t xml:space="preserve"> El ROIC después de impuestos estuvo entre el 18,0 % (FY2020, COVID) y el 40,4 % (FY2021) y bajó al 13,9 % en FY2025, aún por encima del WACC del 10,0 %. Lo mueven el margen y, sobre todo, la rotación: el capital invertido se multiplicó por 3,8 desde FY2017 (de 461 a 1.773 M) por las compras de redes de distribución y el circulante, mientras las ventas se duplicaban; la rotación cayó de 1,74 veces en FY2018 a 1,19 en FY2025. El ROIC incremental de FY2017-FY2025 es del 9,8 %, en torno al coste de capital: la integración hacia la distribución (Libertium) y BIO Habitat no han creado valor por ahora. Aun así, Trigano gana con holgura a sus competidores: Thor tiene un ROIC del 3,0 %, Winnebago del 3,5 % y Knaus Tabbert del 1,4 % [63, 64, 65].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562,2 M a 28-feb-2026 (650,8 M a 31-ago-2025) y una línea de crédito bancaria de 200 M a 5 años firmada el 26-jun-2024 (prorrogable dos años); deuda bancaria remanente de 3,4 M tras amortizar anticipadamente 181,6 M del préstamo de BIO Habitat; tesorería neta con NIIF 16 de 366,7 M a 28-feb-2026; en el 1S26 Trigano anticipó 100 M de tesorería a Loisirs Finance (a un año, renovable), registrados como valores de colocación [9][10]. La empresa estima la tesorería neta sin NIIF 16 en unos 500 M a 31-ago-2026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covenants en riesgo: el crédito de BIO Habitat (ya amortizado) y la línea de 200 M exigen deuda neta sobre fondos propios ≤ 1 y deuda neta sobre EBITDA ≤ 3, y Trigano tiene caja neta [9, 10]. Pasivos que el puente trata como deuda: 46,3 M de pagos aplazados por la compra de minoritarios de la red de distribución (opciones cruzadas a valor razonable) y 25,9 M de indemnizaciones por jubilación (19,1 M netos de impuestos) [9, 10]. Provisiones por garantías de 62,0 M y litigios por 3,2 M; ninguna demanda significativa [10]. Fuera de balance: 182,0 M de créditos de clientes cedidos sin recurso a 28-feb-2026 (la mayor parte a Loisirs Finance, financiera participada al 49 % con BNP Paribas, a la que Trigano adelantó además 100 M de tesorería en el semestre); no se cuentan como deuda porque son sin recurso, pero son la vía por la que se financia la red [10]. Bénéteau reclama unos 13 M de complementos de precio de BIO Habitat, no contabilizados [9].</w:t>
      </w:r>
    </w:p>
    <w:p>
      <w:pPr>
        <w:pStyle w:val="Heading1"/>
      </w:pPr>
      <w:r>
        <w:t xml:space="preserve">12. Asignación de capital</w:t>
      </w:r>
    </w:p>
    <w:p>
      <w:pPr>
        <w:pStyle w:val="Confianza"/>
        <w:spacing w:after="100"/>
      </w:pPr>
      <w:r>
        <w:t xml:space="preserve">Confianza: Media</w:t>
      </w:r>
    </w:p>
    <w:p>
      <w:pPr>
        <w:spacing w:after="100"/>
      </w:pPr>
      <w:r>
        <w:t xml:space="preserve">Dividendo ordinario con pagos a cuenta: FY2025 3,60 EUR (1,75 en junio y 1,85 en octubre de 2025) y FY2026 por ahora 2,10 EUR (abril de 2026) + 2,40 EUR (octubre de 2026). DPA / BPA: FY2017 1,30 / 6,63; FY2018 2,00 / 9,70; FY2019 2,00 / 8,69; FY2020 2,20 / 7,24; FY2021 3,20 / 11,56; FY2022 3,50 / 14,58; FY2023 3,50 / 15,95; FY2024 3,50 / 19,39; FY2025 3,60 / 12,41. Recompras: la junta del 8-ene-2025 autorizó hasta 1,9 millones de acciones (9,83 %), sin uso en FY2025; con la autorización de la junta del 6-ene-2026 compró 300.000 acciones por 45,9 M hasta junio y 60 M en todo FY2026; 434.229 acciones propias (2,31 %) a 31-ago-2026. Prioridades declaradas: red integrada Libertium y compras externas en Europa [9][12][14][15][17][18].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Auto-Sleepers Investments (autocaravanas y red Marquis, Reino Unido): control el 3-ene-2017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 diferido de minoritarios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Contrapartida 53,8 M GBP por el 100 %; fondo de comercio 41,4 M EUR; plusvalía de 17,8 M EUR por revalorizar la participación previa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Groupe Remorques Hubière (remolques, Francia), 27-jul-2017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Trigano en FY2021 por transmisión universal de patrimonio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Adria (Protej, Eslovenia): 84,1 % el 22-sep-2017 y compra del resto hasta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de 150 M a 5 años a tipo fijo (sep-2017), caja y pago diferido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407,9 M y BN de 59,2 M en FY2018; fondo de comercio 139,3 M; la revalorización del pago diferido restó 75,2 M al resultado financiero de FY2021 (junto con otras compras) [2][5].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Martins of Exeter (distribuidor británico, 8,9 M GBP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Complemento de la red Marquis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CLC, SLC y Loisiréo (distribución en Francia): 70 % el 1-feb-2022 y compra del resto hasta 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 diferido de minoritarios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62,7 M y relaciones con clientes 46,1 M; venta obligada de CLC Dijon y CLC Nancy con minusvalía de 6,6 M en FY2023; base de la red Libertium [6][7].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S.I.F.I. (accesorios, Italia) 70 %; Car Loisirs y Caraloisirs (distribución,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 diferido (SIFI hasta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Contrapartidas 17,9 M (SIFI) y 7,5 M (Car Loisirs y Caraloisirs)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Abalain, Alonso, Thouard, ADS Loisirs (70 %) y Lestringuez (90 %): 12 puntos de venta en Francia, ~120 M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pagos diferidos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16,1 M; Libertium llega a 70 concesiones; aporte esperado de ~100 M de ventas consolidadas en año completo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 Habitat y BIO Habitat Italia (mobil-homes; O'Hara, IRM, Coco Sweet), división Habitat de Bénéteau, 1-dic-2024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 bancario de 200 M a 5 años, amortizado por anticipado en el 1S26 (181,6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161,6 M de ventas y 0,8 M de ROC (9,3 M sin amortización del precio asignado); fondo de comercio 53,0 M; mobil-homes -14,2 % a perímetro constante en el 1S26; 13 M de complementos de precio en disputa [9][10].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Albi Camping-Cars (distribución, Francia), 30-jun-2025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Aporte esperado de ~11 M de ventas consolidadas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Activos de Tecnoform S.p.A. (amueblamiento de vehículos de ocio, en liquidación)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del 1S26: 2,8 M netos de caja [10].</w:t>
            </w:r>
          </w:p>
        </w:tc>
      </w:tr>
    </w:tbl>
    <w:p>
      <w:pPr>
        <w:spacing w:after="160" w:before="0"/>
      </w:pPr>
    </w:p>
    <w:p>
      <w:pPr>
        <w:spacing w:after="100"/>
      </w:pPr>
      <w:r>
        <w:t xml:space="preserve">La familia Feuillet ha asignado bien el capital en el negocio industrial y con menos acierto en la distribución. Adria (2017), comprada con un préstamo de 150 M, convirtió a Trigano en el primer fabricante europeo y aportó 59,2 M de beneficio el primer año [2]. Las compras de concesionarios franceses desde 2022 (CLC, SLC, Loisiréo, Abalain, Lestringuez) crearon la red Libertium, de unos 70 puntos de venta, pero sus ventas cayeron un 5 % en FY2026 y obligan a inmovilizar existencias [6, 8, 15]. BIO Habitat (237,8 M) llegó en el peor momento de las residencias móviles: 0,8 M de resultado operativo en FY2025 y ventas −14,2 % a perímetro constante en el 1S26 [9, 10]. En nueve años, 691 M en compras y 462 M en dividendos, con un ROIC incremental del 9,8 %. El cambio de FY2026 es relevante: 60 M de recompras con la acción en mínimos y la junta de enero de 2026 autorizó amortizar acciones, aunque todavía no lo ha hecho [15, 42].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Gigou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Directoire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Licenciado en economía por La Sapienza (Roma); carrera en Renault y Fiat Chrysler, donde fue director general de Fiat Professional. Presidente del Directoire desde el 30-sep-2020, sucesor elegido por François Feuillet [4, 9]. En su mandato las ventas pasaron de 2.184 M (FY2020) a 3.926 M (FY2024) y 3.660 M (FY2025), con ROC de 500,7 M en FY2024 y 335,9 M en FY2025 [4, 9, 45]. Tiene 8.050 acciones, 4.000 de ellas recibidas en donación de François Feuillet el 23-oct-2025 y sujetas a pactos Dutreil [9,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 Freiche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Directeur général, miembro del Directoire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Diplomado por EDHEC y experto contable; empezó en Ernst &amp; Young y entró en Trigano en 1988. Miembro del Directoire desde el 1-sep-2016, con mandato hasta el 31-ago-2028; 65 años. Tiene 2.000 acciones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Ratouis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(miembro del Comité estratégico, no del Directoire)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Directeur Financier en el Comité estratégico en todos los informes anuales de 2019 a 2025 [3, 9]. No es mandatario social, por lo que el informe anual no publica su participación ni su remuneración.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Feuillet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Conseil de surveillance; fundador y accionista de control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Diplomado por HEC; tras KPMG, Singer y Compagnie Française du Meuble, dirigió Trigano de 1981 a 2020 [9]. Preside el Conseil de surveillance desde el 7-ene-2021; 77 años al cierre de FY2025 [9]. Con su esposa tiene directa e indirectamente el 27,87 % del capital y el 31,56 % de los votos tras donar a sus hijas la nuda propiedad del 49,99 % de SEVAL el 15-dic-2025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Alice Cavalier Feuillet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del Conseil de surveillance (familia de control)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Diplomada por ESCP; socia y corresponsable de Capital Solutions en Arcmont Asset Management, tras PIMCO, H.I.G. Capital y Morgan Stanley [9]. Consejera desde 2011 (Conseil d'administration) y vicepresidenta del Conseil de surveillance desde 2016 [9]. Tiene directa e indirectamente el 15,00 % del capital y el 17,43 % de los votos desde el 15-dic-2025 [34].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2019: los salones confirmaban la buena acogida de las gamas y la no repetición del desestocaje debía «favorecer la progresión de la actividad en 2019/2020»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2.184,0 M frente a 2.328,2 M (−6,2 %) y ROC de 180,7 M frente a 210,4 M, por el cierre de fábricas en la primavera de 2020 (COVID)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2020: «nette amélioration de son activité et de ses résultats en 2020/21», salvo rupturas de suministro graves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2.933,6 M (+34,3 %) y ROC de 357,9 M frente a 180,7 M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2021: carteras de pedidos que saturan la capacidad, pero la escasez de chasis (semiconductores) limitaría con fuerza el crecimiento del primer semestre, con unos 5.000 vehículos aplazados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3.177,2 M (+8,3 %) y ROC de 342,7 M frente a 357,9 M: el margen bajó del 12,2 % al 10,8 %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2022: más producción de forma gradual desde finales de 2022 y durante 2023 al mejorar la entrega de chasis; todo se haría para «maintenir une marge de qualité»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3.480,2 M (+9,5 %) y ROC de 423,4 M (12,2 % de margen) frente a 342,7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2023: carteras altas y mejor entrega de chasis permiten «envisager une bonne progression de l'activité en 2023/24»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3.926,3 M (+12,8 %) y ROC de 500,7 M (12,8 % de margen)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2024: perspectivas «encourageantes» con un mercado que crecía más del 10 %; recorte de producción de vans y furgonetas hasta normalizar existencias en la primavera de 2025, con un impacto de unos 4.000 camping-cars en las ventas del primer semestre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3.660,2 M (−6,8 %) y ROC de 335,9 M (9,2 % de margen) frente a 500,7 M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FY2025 (26-nov-2025): «nette amélioration de son activité et de ses résultats» en el nuevo ejercicio; mercado de residencias móviles «en hausse de l'ordre de 5%-10%»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3.800,0 M (+3,8 %) y margen ROC «se rapprochant des 10 %» frente al 9,2 % (sin auditar; resultados el 24-nov-2026); residencias móviles: volumen +1,9 % a perímetro constante y ventas −6 %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Trigano da guía cualitativa y prudente: sin objetivos numéricos de ventas ni de margen, salvo la estimación de unidades perdidas (5.000 vehículos en FY2022, 4.000 camping-cars en FY2025) y el mercado de residencias móviles (+5-10 % para 2026, no cumplido) [5, 15, 43, 45]. Acertó la dirección en FY2021-FY2024 y falló en FY2020 (COVID) y FY2025, cuando el desestocaje de los distribuidores restó un 6,8 % a las ventas y un 33 % al ROC [4, 9, 45]. El equipo es estable: Gigou preside el Directoire desde 2020 con mandato hasta 2028, Freiche está en Trigano desde 1988 y Ratouis es director financiero al menos desde 2019 [3, 9]. La sucesión de la familia está ordenada: donación de la nuda propiedad de SEVAL a las dos hijas (15-dic-2025) y pactos Dutreil firmados con Gigou [9, 34]. El Directoire tiene solo dos miembros y el director general cumple 65 años, sin sucesor publicado [9].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Feuillet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Conseil de surveillance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cuentas (vocal); Comité de orientación estratégica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Alice Cavalier Feuillet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Conseil de surveillance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remuneraciones (vocal); Comité de orientación estratégica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Marie-Hélène Feuillet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orientación estratégica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Gérard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cuentas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Valérie Frohly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remuneraciones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Carole Fiquemont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orientación estratégica (presidenta); Comité de auditoría y cuentas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Sonia Jarrier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Concierto familiar Feuillet (François y Marie-Hélène Feuillet, Séverine Soummer-Feuillet, Alice Cavalier-Feuillet, SEVAL, PARSEV y ROMAX Participations)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(control; 66,42 %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el total. 26-may-2025: los padres aportan 5.800.880 acciones a SEVAL, que pasa a tener el 40 % del capital. Los votos del concierto bajan del 72,75 % al 66,42 % porque las acciones aportadas pierden el voto doble. Exención de OPA de la AMF el 15-abr-2025 [34, 35,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y Marie-Hélène Feuillet (directo y a través de SEVAL)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(31,56 %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del 47,87 % al 27,87 % el 15-dic-2025 al donar a sus hijas la nuda propiedad del 49,99 % de SEVAL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Séverine Soummer-Feuillet (PARSEV y nuda propiedad de SEVAL)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(17,43 %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5,0 % al 15,0 % el 15-dic-2025 por la donación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Alice Cavalier-Feuillet (ROMAX Participations y nuda propiedad de SEVAL)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vicepresidenta del consejo (17,43 %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5,0 % al 15,0 % el 15-dic-2025 por la donación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nominativos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registrados (1,9 %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frente al 1,3 % de ago-2024 [9].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(46.164 acciones a 31-ago-2025, 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31-ago-2024 eran 25.234. En FY2026 la empresa recompró acciones por 60 M; por el precio medio de las declaraciones semanales (unos 142 EUR en jun-jul 2026) eso son unas 420.000 acciones (≈2,2 % del capital, estimación propia). La junta de 6-ene-2026 votaba un programa de hasta 1,9 M de acciones y la amortización de acciones [9, 15, 42,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(31,5 %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40,7 % a 31-ago-2024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François Feuillet (presidente del Conseil de surveillance), donante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Donación</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Stéphane Gigou (presidente del Directoire), donatario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Donación</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del Directoire, Stéphane Gigou, recibió en FY2025 una remuneración atribuida de 1,244 M: 0,722 M de fijo, 0,1985 M de variable anual, 0,070 M de prima excepcional por la reducción del circulante y 0,254 M por mandatos en filiales [9]. Lo pagado en el ejercicio fue de 1,231 M (+10,5 %), 32,3 veces el salario medio de los empleados franceses, en un año en que el beneficio neto cayó un 36,1 % [9]. El variable tiene un tope del 20 % del fijo más los mandatos en filiales y depende en un 90 % de un ROC (EBIT) ≥ 8 % con flujo de caja libre positivo, y en un 10 % de criterios sociales y ambientales. Se cumplió al 100 % [9]. No hay incentivo a largo plazo ni acciones, ni indemnización de entrada o salida, ni pacto de no competencia, ni pensión complementaria [9]. </w:t>
      </w:r>
      <w:r>
        <w:rPr>
          <w:b/>
        </w:rPr>
        <w:t xml:space="preserve">No hay cláusula de recuperación</w:t>
      </w:r>
      <w:r>
        <w:t xml:space="preserve"> (</w:t>
      </w:r>
      <w:r>
        <w:rPr>
          <w:i/>
        </w:rPr>
        <w:t xml:space="preserve">clawback</w:t>
      </w:r>
      <w:r>
        <w:t xml:space="preserve">), y la prima excepcional puede llegar al 25 % [9]. El fijo de 2026 es de 775.000 EUR (+7,3 %), con un tope de 280.000 EUR por mandatos en filiales [9].</w:t>
      </w:r>
    </w:p>
    <w:p>
      <w:pPr>
        <w:pStyle w:val="Heading2"/>
      </w:pPr>
      <w:r>
        <w:t xml:space="preserve">Operaciones vinculadas, estructura de control y defensas</w:t>
      </w:r>
    </w:p>
    <w:p>
      <w:pPr>
        <w:spacing w:after="100"/>
      </w:pPr>
      <w:r>
        <w:t xml:space="preserve">La familia Feuillet controla Trigano en concierto declarado ante la AMF: el 57,87 % del capital y el 66,42 % de los derechos de voto a 15-dic-2025, sobre 19.336.269 acciones y 24.959.033 votos teóricos [34]. Los estatutos dan </w:t>
      </w:r>
      <w:r>
        <w:rPr>
          <w:b/>
        </w:rPr>
        <w:t xml:space="preserve">voto doble a las acciones nominativas con más de dos años</w:t>
      </w:r>
      <w:r>
        <w:t xml:space="preserve"> [40]. Los minoritarios tienen el 40,6 % del capital y el 31,5 % de los votos ejercibles [9]. La familia aprueba sola cualquier resolución ordinaria y bloquea las extraordinarias. Los cuatro pactos Dutreil, del 57,9 % del capital y el 66,6 % de los votos, inmovilizan las acciones al menos dos años [9]. La sucesión pasó a las dos hijas por la donación de la nuda propiedad de SEVAL, que declararon que no prevén comprar más ni cambiar la estrategia ni el consejo [34]. El programa de recompra puede usarse en plena OPA, una defensa según la AFG [41]. No hay convenios con consejeros ni accionistas del 10 %, pero tres consejeros de la familia cobran por mandatos en filiales [9].</w:t>
      </w:r>
    </w:p>
    <w:p>
      <w:pPr>
        <w:pStyle w:val="Heading2"/>
      </w:pPr>
      <w:r>
        <w:t xml:space="preserve">Señales de alerta</w:t>
      </w:r>
    </w:p>
    <w:p>
      <w:pPr>
        <w:pStyle w:val="ListParagraph"/>
        <w:numPr>
          <w:ilvl w:val="0"/>
          <w:numId w:val="2"/>
        </w:numPr>
        <w:spacing w:after="60"/>
      </w:pPr>
      <w:r>
        <w:t xml:space="preserve">Voto doble a los dos años: la familia tiene el 57,87 % del capital y el 66,42 % de los votos; los minoritarios no pueden bloquear nada [34, 40].</w:t>
      </w:r>
    </w:p>
    <w:p>
      <w:pPr>
        <w:pStyle w:val="ListParagraph"/>
        <w:numPr>
          <w:ilvl w:val="0"/>
          <w:numId w:val="2"/>
        </w:numPr>
        <w:spacing w:after="60"/>
      </w:pPr>
      <w:r>
        <w:t xml:space="preserve">La junta del 6-ene-2026 votaba subir de 80 a 85 años la edad máxima del presidente y del vicepresidente del consejo (19.ª resolución); François Feuillet tenía 77 años [9, 42].</w:t>
      </w:r>
    </w:p>
    <w:p>
      <w:pPr>
        <w:pStyle w:val="ListParagraph"/>
        <w:numPr>
          <w:ilvl w:val="0"/>
          <w:numId w:val="2"/>
        </w:numPr>
        <w:spacing w:after="60"/>
      </w:pPr>
      <w:r>
        <w:t xml:space="preserve">François y Marie-Hélène Feuillet, consejeros no ejecutivos, cobran 72.000 EUR cada uno por mandatos ejecutivos en filiales; la AFG lo considera contrario a sus recomendaciones y alertó contra la política de remuneración del consejo en las juntas de 2024 y 2026 [9, 40, 41].</w:t>
      </w:r>
    </w:p>
    <w:p>
      <w:pPr>
        <w:pStyle w:val="ListParagraph"/>
        <w:numPr>
          <w:ilvl w:val="0"/>
          <w:numId w:val="2"/>
        </w:numPr>
        <w:spacing w:after="60"/>
      </w:pPr>
      <w:r>
        <w:t xml:space="preserve">La AFG criticó en 2024 la poca información sobre los criterios del variable del Directoire y el uso posible de la recompra en plena OPA; también critica que haya un único comité de nombramientos y remuneraciones [40, 41].</w:t>
      </w:r>
    </w:p>
    <w:p>
      <w:pPr>
        <w:pStyle w:val="ListParagraph"/>
        <w:numPr>
          <w:ilvl w:val="0"/>
          <w:numId w:val="2"/>
        </w:numPr>
        <w:spacing w:after="60"/>
      </w:pPr>
      <w:r>
        <w:t xml:space="preserve">Variable del Directoire sin cláusula de recuperación ni incentivo a largo plazo; el umbral de ROC ≥ 8 % se cumplió con un margen del 9,2 % en un año en que el beneficio neto cayó un 36 % [9].</w:t>
      </w:r>
    </w:p>
    <w:p>
      <w:pPr>
        <w:pStyle w:val="ListParagraph"/>
        <w:numPr>
          <w:ilvl w:val="0"/>
          <w:numId w:val="2"/>
        </w:numPr>
        <w:spacing w:after="60"/>
      </w:pPr>
      <w:r>
        <w:t xml:space="preserve">Ernst &amp; Young está en su vigésimo año como auditor (desde 2006) y BM&amp;A desde 2003 [9].</w:t>
      </w:r>
    </w:p>
    <w:p>
      <w:pPr>
        <w:pStyle w:val="ListParagraph"/>
        <w:numPr>
          <w:ilvl w:val="0"/>
          <w:numId w:val="2"/>
        </w:numPr>
        <w:spacing w:after="60"/>
      </w:pPr>
      <w:r>
        <w:t xml:space="preserve">Posiciones cortas: Marshall Wace llegó al 0,50-0,51 % entre abr y jul-2025; no hay ninguna abierta por encima del 0,5 % a la fecha de corte [47].</w:t>
      </w:r>
    </w:p>
    <w:p>
      <w:pPr>
        <w:pStyle w:val="ListParagraph"/>
        <w:numPr>
          <w:ilvl w:val="0"/>
          <w:numId w:val="2"/>
        </w:numPr>
        <w:spacing w:after="60"/>
      </w:pPr>
      <w:r>
        <w:t xml:space="preserve">No se encontraron sanciones de la AMF ni litigios relevantes en los últimos 12 meses; el único comunicado no programado fue la aclaración del 14-may-2025 sobre una noticia de Reuters [46,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Trigano no da objetivos numéricos formales. En las ventas anuales del 23-sep-2026 (3.800,0 M, +3,8 %; +3,1 % a perímetro y cambio constantes) anticipó una nueva mejora de resultados, con un margen operativo corriente «cercano al 10 %» (9,2 % en FY2025) y una tesorería neta sin NIIF 16 de unos 500 M a 31-ago-2026 tras 60 M de recompras y 76 M de dividendos [15]. Para el 1S27 planifica una producción de autocaravanas estable: carteras de pedidos al alza al inicio de temporada, pero las visitas a ferias aún no se traducen en ventas a particulares, en un contexto de «attentisme»; prudencia de los grandes clientes de residencias móviles en Francia [16]. En el 1S26 (6-may-2026) ya preveía progresión de ventas y resultados en el 2S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9-oct-2026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9-oct-2026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 analistas, 9-oct-2026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200,00</w:t>
            </w:r>
          </w:p>
        </w:tc>
      </w:tr>
    </w:tbl>
    <w:p>
      <w:pPr>
        <w:spacing w:after="160" w:before="0"/>
      </w:pPr>
    </w:p>
    <w:p>
      <w:pPr>
        <w:pStyle w:val="Heading2"/>
      </w:pPr>
      <w:r>
        <w:t xml:space="preserve">Revisiones de estimaciones</w:t>
      </w:r>
    </w:p>
    <w:p>
      <w:pPr>
        <w:spacing w:after="100"/>
      </w:pPr>
      <w:r>
        <w:t xml:space="preserve">MarketScreener no publica en texto el historial de revisiones del BPA. Según FactSet (Boursorama), el número de analistas se mantiene en 8 (7 comprar y 1 reforzar), y el precio objetivo mediano bajó de 187,63 EUR hace tres meses a 177,75 EUR a 5-oct-2026 [53]. El consenso FactSet da para FY2026e ventas de 3.800 M, BPA de 14,28 EUR y DPA de 3,90 EUR, y para FY2027e 3.906 M, 15,41 EUR y 3,94 EUR, algo por debajo de MarketScreener (3.960 M y 15,81 EUR en FY2027e) [51, 53]. Las ventas FY2026 ya son reales (3.800,0 M) [15].</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cae un 28,5 % en 2026 y un 13,3 % en un año, frente al −4,2 % y el −1,4 % del CAC 40, y cotiza a 125,30 EUR, junto al mínimo de 52 semanas (123,7 EUR el 2-oct) [50]. El máximo (178,8 EUR) fue el 15-ene-2026, con las carteras de pedidos que saturaban la capacidad; las mayores caídas llegaron con los resultados del semestre (−6,8 % el 4-may), con el recorte de un analista en junio y tras las ventas anuales (−4,2 % el 18-sep) [50]. Es un valor de beta alta (1,23 frente al CAC 40) y volátil (30,9 %), que perdió un 59,6 % entre enero y septiembre de 2022 con la escasez de chasis [50]. A diez años, sin dividendos, rinde un 7,1 % anual frente al 5,7 % del índice. No hay posiciones cortas por encima del umbral de declaración del 0,5 % en el registro de la AMF [47].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Trigano cotiza a 4,7 veces el EBITDA de los últimos 12 meses y 9,5 veces el beneficio, un 30 % y un 22 % por debajo de sus medias de los nueve cierres de ejercicio desde FY2017 (6,7 y 12,2 veces), en el percentil 33 [50]. No es un mínimo: tocó 3,3 veces en el cierre de agosto de 2022, en plena escasez de chasis. El descuento no lo explica el balance (caja neta) ni el ROIC (13,9 %), sino la lectura del ciclo: el mercado cree que el margen de FY2021-FY2024 fue excepcional y que los consumidores retrasan las compras. La historia dice que Trigano cotiza barata en las fases de dudas y vuelve a 8-12 veces cuando se ve la recuperación.</w:t>
      </w:r>
    </w:p>
    <w:p>
      <w:pPr>
        <w:pStyle w:val="Heading1"/>
      </w:pPr>
      <w:r>
        <w:t xml:space="preserve">18. Comparables cotizados</w:t>
      </w:r>
    </w:p>
    <w:p>
      <w:pPr>
        <w:pStyle w:val="Confianza"/>
        <w:spacing w:after="100"/>
      </w:pPr>
      <w:r>
        <w:t xml:space="preserve">Confianza: Media</w:t>
      </w:r>
    </w:p>
    <w:p>
      <w:pPr>
        <w:spacing w:after="100"/>
      </w:pPr>
      <w:r>
        <w:t xml:space="preserve">Siete cotizadas con el mismo ciclo de demanda: los dos grandes fabricantes de vehículos de ocio de EE. UU. (Thor, dueña de Erwin Hymer, el segundo europeo, y Winnebago), tres proveedores de componentes y equipamiento para vehículos de ocio (LCI, Patrick y Dometic) y dos fabricantes de ocio motorizado y náutica (Brunswick y Polaris) [54, 55, 56, 57, 58, 59, 60, 61, 62, 63, 64, 65, 66, 67, 68, 69, 70]. Knaus Tabbert, el único fabricante europeo cotizado, sale de la mediana: con un margen EBITDA del 2,1 % y deuda de 6,5 veces el EBITDA, su múltiplo (8,8 veces los últimos 12 meses y 6,6 los próximos) mide una empresa en reestructuración [56, 65]. Bénéteau sale por un beneficio casi nulo y datos de deuda contradictorios [62,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Trigano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Thor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Winnebago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LCI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Dometic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Brunswick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Polaris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7,2x / 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 / 7,9x / 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12,7x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0,7x / 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5,9 + 0,24 × crecimiento; R² = 0,16. El crecimiento explica poco los múltiplos de estos comparables (R² &lt; 0,3): la regresión no se usa en la valoración.</w:t>
      </w:r>
    </w:p>
    <w:p>
      <w:pPr>
        <w:spacing w:after="100"/>
      </w:pPr>
      <w:r>
        <w:t xml:space="preserve">Trigano cotiza a 4,1 veces el EBITDA de los próximos 12 meses y 7,9 veces el beneficio, frente a medianas de 7,2 y 12,7 veces de sus comparables, con el margen EBITDA más alto de los fabricantes (11,2 % frente al 5,7 % de Thor y el 4,4 % de Winnebago), el mejor ROIC (13,9 % frente a una mediana del 7,4 %) y caja neta frente a una deuda mediana de 3,1 veces el EBITDA [54, 55, 56, 57, 58, 59, 60, 61, 62, 63, 64, 65, 66, 67, 68, 69, 70]. A la mediana de EV/EBITDA valdría 205,97 EUR y a la del PER, 202,36 EUR. El descuento no se justifica por crecimiento (3,4 % frente a 3,5 %) y va contra la calidad. Matiz: el múltiplo de los fabricantes de EE. UU. es alto porque su EBITDA está deprimido; aplicarlo al margen de Trigano supone que este aguanta. El crecimiento no explica los múltiplos (R² de 0,16), así que no se usa la regresión.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Erwin Hymer Group (Alemania; autocaravanas y caravanas)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Thor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2.100 M EUR, pagado en efectivo y unos 2,3 M de acciones de Thor; ventas esperadas de más de 2.500 M EUR en el ejercicio a 31-ago-2018 (múltiplo de ventas máximo); EBITDA no publicado. Cierre el 1-feb-2019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Newmar Corporation (EE. UU.; autocaravanas clase A y Super 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Winnebago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unos 344 M USD (270 M en efectivo y 2 M de acciones); ventas LTM a jun-2019 de 661 M USD y EBITDA ajustado de 55,2 M USD. La empresa daba 5,2x ajustando por activos fiscales de más de 30 M USD y 5 M USD de sinergias; aquí, sin ajustes. Convertido a 1,1031 USD/EUR (BCE, 16-sep-2019) [77, 78,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Tiffin Group (EE. UU.; autocaravanas de lujo)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Thor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300 M USD, sujeto a ajustes; ventas de unos 800 M USD en el ejercicio 2020 (90 % motorizadas); EBITDA no publicado. Convertido a 1,2239 USD/EUR (BCE, 22-dic-2020) [79,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Barletta Pontoon Boats (EE. UU.; embarcaciones pontón)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Winnebago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inicial de 255 M USD en efectivo y acciones, más hasta 15 M USD en acciones y hasta 50 M USD en efectivo por objetivos; múltiplos sobre las ventas (214,6 M USD) y el EBITDA (26,4 M USD) esperados para 2021: sobre los de 2020 (120,6 y 10,5 M USD) serían 2,1x y 24,3x. Náutica, no vehículos de ocio. Convertido a 1,1775 USD/EUR (BCE, 20-jul-2021) [80,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Airxcel (EE. UU.; componentes y accesorios para vehículos de ocio)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Thor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750 M USD, unas 7,6 veces el EBITDA ajustado estimado para 2021 según Thor; ventas pro forma de unos 680 M USD, el 30 % de las ventas a fabricantes eran a filiales de Thor. Convertido a 1,1817 USD/EUR (BCE, 1-sep-2021) [81,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Igloo Products (EE. UU.; neveras portátiles)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Dometic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677 M USD libre de caja y deuda, más un pago variable de hasta 223 M USD; ventas de 401 M USD (ago-2020 a jul-2021) con margen EBITDA del 10,1 % (40,5 M USD). Convertido a 1,178 USD/EUR (BCE, 17-sep-2021) [82,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 Habitat y BIO Habitat Italia (residencias móviles; división Habitat de Bénéteau)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237,8 M EUR por el 100 %, con 39,2 M EUR de caja y 6,8 M EUR de pasivos financieros adquiridos: valor empresa de 205,4 M EUR (estimación propia); ventas de 319,6 M EUR en 2023; EBITDA no publicado. Salida de caja neta de 196,7 M EUR; fondo de comercio provisional de 53,0 M EUR [9,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7,6x (6,9x – 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174,56 – 213,73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fabricantes de vehículos de ocio se han comprado a 0,4-0,8 veces las ventas (Erwin Hymer en 2018, Tiffin en 2020, Newmar en 2019) y a 6,2-7,6 veces el EBITDA cuando se ha publicado (Newmar y Airxcel) [76, 77, 79, 81]. Trigano pagó BIO Habitat a unas 0,64 veces las ventas (estimación propia) [45]. La mediana de 7,6 veces (sin Igloo, neveras de consumo a 16,7 veces) daría 190,23 EUR. Son compras de control, y Trigano no es opable: la familia Feuillet tiene el 57,87 % del capital y el 66,42 % de los votos, y acaba de organizar su sucesión con donaciones a las dos hijas [34]. Las transacciones sirven de suelo de valor de los activos, no de catalizador. Pesan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+3,8 %: es el dato publicado (3.800,0 M) [15]. FY2027e +2,0 %: la empresa planifica una producción de autocaravanas estable en el 1S27 y sube tarifas un 1,5-2 % [15, 93]; el consenso da +4,2 % (MarketScreener) y +2,8 % (FactSet) [51, 53]. FY2028e-FY2029e +4,0 %: recuperación moderada, por debajo del 4,8 % anual de las matriculaciones europeas de autocaravanas en 2017-2025 [20]. Luego baja medio punto al año hasta el 2,0 % de FY2033e. La media (3,0 %) es, en términos reales, un mercado plano: las matriculaciones crecen un 0,3 % anual desde 2020 [20]. Sin compras: Trigano compra casi todos los años, pero eso exigiría proyectar también su coste.</w:t>
      </w:r>
    </w:p>
    <w:p>
      <w:pPr>
        <w:keepNext/>
        <w:spacing w:after="100"/>
      </w:pPr>
      <w:r>
        <w:rPr>
          <w:b/>
          <w:bCs/>
        </w:rPr>
        <w:t xml:space="preserve">Márgenes.</w:t>
      </w:r>
    </w:p>
    <w:p>
      <w:pPr>
        <w:spacing w:after="100"/>
      </w:pPr>
      <w:r>
        <w:t xml:space="preserve">Margen EBITDA del 11,7 % en FY2026e (margen operativo «cercano al 10 %» más un 2 % de amortizaciones) [15], 11,4 % en FY2027e con producción estable y precios presionados, y un 11,5 % estable desde FY2028e. Es el margen de ciclo medio: la media de FY2017-FY2025 es del 12,0 %, con mínimos del 9,8 % (FY2020) y máximos del 14,7 % (FY2024) [9]. Queda por debajo del consenso (12,2 % en FY2027e y 12,5 % en FY2028e) [51]: nuestro EBITDA de FY2028e es un 9,7 % menor. No suponemos que vuelva el 13-15 % de la escasez de chasis, cuando los fabricantes fijaban los precios.</w:t>
      </w:r>
    </w:p>
    <w:p>
      <w:pPr>
        <w:keepNext/>
        <w:spacing w:after="100"/>
      </w:pPr>
      <w:r>
        <w:rPr>
          <w:b/>
          <w:bCs/>
        </w:rPr>
        <w:t xml:space="preserve">Inversión y circulante.</w:t>
      </w:r>
    </w:p>
    <w:p>
      <w:pPr>
        <w:spacing w:after="100"/>
      </w:pPr>
      <w:r>
        <w:t xml:space="preserve">Capex del 2,2 % de las ventas: el de caja de FY2022-FY2025 (1,2-2,0 %) más los pagos de arrendamientos (0,5-0,6 %), para que el DCF pague los alquileres de la red (NIIF 16) [9]. Amortización del 2,1 %, la de FY2024-FY2025 (2,0-2,1 %). Circulante comercial del 20 % de las ventas, el de FY2025 (20,1 %), entre el 17,5 % de FY2023 y el 26,2 % de FY2024 [9]. Tipo impositivo del 26 %, frente al 26,3 % de FY2025 y el tipo general francés del 25,8 % [9].</w:t>
      </w:r>
    </w:p>
    <w:p>
      <w:pPr>
        <w:keepNext/>
        <w:spacing w:after="100"/>
      </w:pPr>
      <w:r>
        <w:rPr>
          <w:b/>
          <w:bCs/>
        </w:rPr>
        <w:t xml:space="preserve">Coste del capital.</w:t>
      </w:r>
    </w:p>
    <w:p>
      <w:pPr>
        <w:spacing w:after="100"/>
      </w:pPr>
      <w:r>
        <w:t xml:space="preserve">Tasa libre del 3,53 %, el Bund alemán a 10 años del 9-oct-2026 [74]. Beta de 1,15: la ajustada de la acción frente al CAC 40 a cinco años (1,23 sin ajustar) [50], por encima de la sectorial de Damodaran para el ocio europeo (0,89 corregida por caja) [75], porque Trigano es un fabricante cíclico puro y sin deuda que reapalancar. Prima de mercado del 5,5 % y prima adicional de 0,5 puntos por depender de un solo producto discrecional. Coste de la deuda del 3,5 % y un 5 % de deuda: la caja supera a la deuda. Coste del capital del 10,35 % y WACC del 9,97 %; con la prima implícita del mercado (4,20 %), el 8,55 % [73].</w:t>
      </w:r>
    </w:p>
    <w:p>
      <w:pPr>
        <w:keepNext/>
        <w:spacing w:after="100"/>
      </w:pPr>
      <w:r>
        <w:rPr>
          <w:b/>
          <w:bCs/>
        </w:rPr>
        <w:t xml:space="preserve">Valor terminal.</w:t>
      </w:r>
    </w:p>
    <w:p>
      <w:pPr>
        <w:spacing w:after="100"/>
      </w:pPr>
      <w:r>
        <w:t xml:space="preserve">Crecimiento a perpetuidad del 2,0 %: la inflación del euro, sin crecimiento real, porque el mercado europeo de autocaravanas lleva seis años plano [20]. Queda muy por debajo de la tasa libre menos medio punto (3,03 %). El múltiplo de salida implícito es de 7,2 veces el EBITDA, por encima de la media histórica de Trigano (6,7 veces) e igual a la mediana de los comparables (7,2 veces): el valor terminal no es exigente, pero tampoco barato. Con un múltiplo de salida de 6,0 veces, el valor terminal bajaría de 3.866 a 3.223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M (10 % del NOPAT)</w:t>
            </w:r>
          </w:p>
        </w:tc>
      </w:tr>
    </w:tbl>
    <w:p>
      <w:pPr>
        <w:spacing w:after="160" w:before="0"/>
      </w:pPr>
    </w:p>
    <w:p>
      <w:pPr>
        <w:spacing w:after="100"/>
      </w:pPr>
      <w:r>
        <w:t xml:space="preserve">La proyección apenas necesita inversión neta de la amortización (reinversión acumulada de 235 M, el 10 % del NOPAT, con un capex bruto medio del 2,2 % de las ventas). En un negocio de activos ligeros, el crecimiento medio del 3,1 %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+3,8 %, +3,1 % orgánico y +1,0 % de BIO Habitat (tres meses más) [15]. Entregas de autocaravanas a las redes +7 % en volumen y caravanas +15 %, con la red propia −5 % y residencias móviles −6 % a perímetro constante; reparto entre volumen y precio, estimación propia [15,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autocaravanas estable en el 1S27 y tarifas de la gama 2027 +1,5-2 % [15, 93]. Consenso +4,2 % y +2,8 % [51,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las ventas a particulares tras el «attentisme»; las matriculaciones crecieron un 4,8 % anual en 2017-2025 [20]. Consenso +3,2 %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demográfica (jubilados de 55-65 años, el cliente tipo) y cuota estable en torno al 31 % [9,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la inflación más un volumen pequeño.</w:t>
            </w:r>
          </w:p>
        </w:tc>
      </w:tr>
    </w:tbl>
    <w:p>
      <w:pPr>
        <w:spacing w:after="160" w:before="0"/>
      </w:pPr>
    </w:p>
    <w:p>
      <w:pPr>
        <w:spacing w:after="100"/>
      </w:pPr>
      <w:r>
        <w:t xml:space="preserve">En parte. El crecimiento proyectado (3,1 % anual con FY2026e; 3,0 % en FY2027e-FY2033e) apenas necesita capital (la reinversión neta es el 10 % del beneficio operativo después de impuestos), el ROIC (13,9 %) supera al WACC y Trigano ha ganado cuota en FY2025 y FY2026 [9, 15]. Pero dos tercios del crecimiento son precio, y el poder de precios de Trigano no está demostrado desde 2024: rebajó la gama 2025 para ganar cuota y el ingreso por autocaravana quedó plano (56.300 EUR) [9]. El mercado europeo está plano desde 2020 [20]. El caso base no depende de ello: el DCF inverso dice que el precio supone ventas a la baja durante siete años, y con crecimiento cero el valor seguiría muy por encima del precio. No se da cuota implícita porque el mercado se mide en unidades.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(base: 11,5 %)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 (WACC: 10,0 %)</w:t>
            </w:r>
          </w:p>
        </w:tc>
      </w:tr>
    </w:tbl>
    <w:p>
      <w:pPr>
        <w:spacing w:after="160" w:before="0"/>
      </w:pPr>
    </w:p>
    <w:p>
      <w:pPr>
        <w:spacing w:after="100"/>
      </w:pPr>
      <w:r>
        <w:t xml:space="preserve">El DCF da 197,79 EUR por acción, un 57,9 % por encima del precio de 125,30 EUR, con un 60 % del valor en el terminal y un múltiplo de salida implícito de 7,2 veces el EBITDA. </w:t>
      </w:r>
      <w:r>
        <w:rPr>
          <w:b/>
        </w:rPr>
        <w:t xml:space="preserve">El precio descuenta una recesión permanente.</w:t>
      </w:r>
      <w:r>
        <w:t xml:space="preserve"> El DCF inverso dice que, con nuestros márgenes, los 125,30 EUR suponen que las ventas caen un 15,5 % al año en FY2027e-FY2033e; o, con nuestro crecimiento (3,0 % anual), un margen EBITDA del 8,0 % para siempre, por debajo del 9,8 % del peor año reciente (FY2020, con las fábricas cerradas por la COVID) [4]. Comprar a este precio rinde un 15,6 % anual si se cumple el caso base, frente a un WACC del 10,0 % y al 8,6 % que hoy pide el mercado. Nuestro caso base no es exigente: margen de ciclo medio (11,5 %), crecimiento por debajo del consenso y EBITDA un 9-10 % menor que el de los analistas en FY2027e-FY2028e. El valor es poco sensible a la tasa: con un WACC medio punto mayor y un crecimiento terminal medio punto menor, 181,54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europea en FY2027-FY2028 como la de 2009, con los particulares aplazando las compras dos temporadas: ventas −18 % y −11 % y margen EBITDA hasta el 4 %, el nivel de FY2010, cuando Trigano ganaba un 3,5 % de margen operativo [94]. Recuperación parcial desde FY2029, un punto y medio menos de margen para siempre por la guerra de precios (Erwin Hymer gana un 2,2 % antes de impuestos y Knaus Tabbert pierde dinero) y un punto más de WACC [27, 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FY2027 casi planas por el «attentisme» y recuperación al 4 % en FY2028-FY2029; margen EBITDA de ciclo medio del 11,5 %, por debajo del consenso.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carteras de la gama 2027 se convierten en ventas al público, la red Libertium gana cuota y el margen vuelve al 12,5 %, la media de FY2022-FY2023: ventas un 4,5 % anual.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25,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178,26 EUR (+42,3 %).</w:t>
      </w:r>
    </w:p>
    <w:p>
      <w:pPr>
        <w:spacing w:after="100"/>
      </w:pPr>
      <w:r>
        <w:t xml:space="preserve">La asimetría es muy favorable: el alcista vale 227,06 EUR (+81,2 %) y el bajista 113,18 (−9,7 %), 8,4 veces. El bajista no es cosmético: es una recesión como la de 2009, con dos años de caída de ventas (−27 % acumulado) y el margen en el 4 %, más un punto de WACC. Pierde poco porque Trigano entra en ella con caja neta y porque el circulante libera caja en las caídas, como en FY2020 y FY2025 [4, 9]. Lo que el bajista no recoge es el tiempo: en una recesión la acción puede caer más que su valor y tardar años en volver, como en 2018 (−45,2 %) y 2022 [50]. El valor ponderado por probabilidad es de 178,26 EUR (+42,3 %). Con la prima de riesgo que hoy pide el mercado (4,20 %), el bajista sube a 129,12 EUR y el alcista a 272,32.</w:t>
      </w:r>
    </w:p>
    <w:p>
      <w:pPr>
        <w:pStyle w:val="Heading1"/>
      </w:pPr>
      <w:r>
        <w:t xml:space="preserve">22. Suma de partes</w:t>
      </w:r>
    </w:p>
    <w:p>
      <w:pPr>
        <w:pStyle w:val="Confianza"/>
        <w:spacing w:after="100"/>
      </w:pPr>
      <w:r>
        <w:t xml:space="preserve">Confianza: Media</w:t>
      </w:r>
    </w:p>
    <w:p>
      <w:pPr>
        <w:spacing w:after="100"/>
      </w:pPr>
      <w:r>
        <w:t xml:space="preserve">No se usa. El segmento de autocaravanas y caravanas es el 87 % de las ventas y el 94 % del resultado operativo de FY2025 [9]; el de otras actividades de ocio (residencias móviles, remolques, camping) tiene un margen del 4,4 % y comparables cotizados que no existen en Europa. Una suma de partes no añadiría información frente al DCF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25,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193,43 EUR (+54,4 % sobre 125,30).</w:t>
      </w:r>
    </w:p>
    <w:p>
      <w:pPr>
        <w:spacing w:after="100"/>
      </w:pPr>
      <w:r>
        <w:t xml:space="preserve">Pesos: DCF 45 %, escenarios 25 %, comparables 20 % y transacciones 10 %. El DCF manda porque la caja de Trigano es predecible a lo largo del ciclo (conversión del 73 % del beneficio en FY2017-FY2025) y recoge un margen de ciclo medio, no el del auge. Los escenarios pesan un 25 % porque el riesgo de recesión es real y la empresa ya habla de «attentisme». Los comparables (204,17 EUR) pesan un 20 % porque los fabricantes de EE. UU. tienen el EBITDA deprimido y su múltiplo infla el valor, y las transacciones (190,23 EUR) un 10 % porque llevan prima de control y la familia no vende. La coincidencia es la conclusión: todos los métodos dan entre 178,26 y 204,17 EUR, entre un 42 % y un 63 % por encima del precio. El valor objetivo, 193,43 EUR, supera el precio objetivo medio de los analistas (179,88 EUR) y queda por debajo del máximo (200 EUR) [52].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FY2026 y perspectivas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margen operativo cercano al 10 % y del dividendo; el mensaje sobre la conversión de los pedidos de las ferias de otoño decidirá si el 1S27 es estable o cae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recompras y amortización de acciones) y ventas del 1T27 (sep-nov)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Amortizar la autocartera (434.229 acciones, 2,2 %) y un 1T27 por encima del +3 % reducirían la duda sobre la demanda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Ene-may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Matriculaciones europeas de autocaravanas (ECF y asociaciones nacionales)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(−6 %) y Alemania (−1,7 %) bajaron en 2025/26; dos meses de caída por encima del 10 % adelantarían el escenario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2T27 (dic-feb), con las carteras para la temporada de primavera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trimestre en que la dirección suele decir si las carteras saturan la capacidad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margen con producción estable y tarifas +1,5-2 %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redes de distribución o de fabricantes europeos en dificultades (Knaus Tabbert cotiza a 103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caja neta (≈ 500 M) permite comprar barato en la parte baja del ciclo; el riesgo es repetir BIO Habitat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y «attentisme» de los particulares: las ventas de autocaravanas caen dos temporadas seguidas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−9,7 % (escenario bajista: valor de 113,18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unos 500 M y circulante que libera caja en las caídas (563,9 M de flujo operativo en FY2025)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por debajo del −5 % o producción del 1S27 recortada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en Europa: Erwin Hymer (2,2 % de margen) y Knaus Tabbert (EBIT negativo) liquidan existencias [27, 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−11 % por cada punto de margen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Ventaja en costes por escala y compras de chasis (n.º 1 con ≈ 31 % de cuota)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corriente por debajo del 9 %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Chasis: dependencia de Stellantis, que suministra cerca del 70 % de las bases de autocaravanas del mercado [9]; cambios de norma (Euro 6e, Euro 7) que alteran el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año como FY2025)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vivió la escasez de 2021-2023 y el exceso de 2024 sin pérdidas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del 25 %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Residencias móviles: BIO Habitat no recupera margen y los campings franceses siguen sin invertir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(deterioro del fondo de comercio de 53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segmento es el 13 %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segmento de otras actividades de ocio por debajo del 3 % (2,6 %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la familia controla el 66,42 % de los votos y la sucesión pasa a dos hijas; el presidente del consejo tiene 77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(medio punto más de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Directorio profesional (Gigou desde 2020) que ha cumplido 4 de 7 guías y pactos Dutreil que fijan la propiedad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grandes fuera del núcleo o una caída del dividendo con caja neta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los clientes: subidas de tipos o retirada de Loisirs Finance encarecen el crédito al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tipo es un jubilado de 55-65 años menos dependiente del crédito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Créditos cedidos sin recurso por encima de 250 M o más anticipos a Loisirs Finance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normas de emisiones en furgonetas: coste de chasis eléctricos y peso de las baterías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chasis los diseña el fabricante del vehículo base; afecta a todo el sector por igual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Euro 7 y de las zonas de bajas emisiones para vehículos de más de 3,5 t</w:t>
            </w:r>
          </w:p>
        </w:tc>
      </w:tr>
    </w:tbl>
    <w:p>
      <w:pPr>
        <w:spacing w:after="160" w:before="0"/>
      </w:pPr>
    </w:p>
    <w:p>
      <w:pPr>
        <w:pStyle w:val="Heading2"/>
      </w:pPr>
      <w:r>
        <w:t xml:space="preserve">Pre-mortem</w:t>
      </w:r>
    </w:p>
    <w:p>
      <w:pPr>
        <w:spacing w:after="100"/>
      </w:pPr>
      <w:r>
        <w:t xml:space="preserve">Octubre de 2029: la acción ha caído un 40 %, a unos 75 EUR. La historia más probable empieza el 24-nov-2026: Trigano confirma un margen del 9,8 % en FY2026, pero avisa de que las ventas a particulares no arrancan. En 2027 el paro sube en Francia y Alemania y los jubilados aplazan la compra de una autocaravana; las matriculaciones caen un 15 %. Erwin Hymer y Knaus Tabbert, con existencias y márgenes de entre el −1 % y el 2 %, bajan precios y Trigano los sigue para no perder la red. Las ventas caen un 18 % en FY2027 y un 10 % en FY2028 y el margen operativo baja al 3 %, como en FY2010. La caja aguanta, pero la familia la usa para comprar fabricantes en dificultades en vez de recomprar. El mercado vuelve a valorar a Trigano a 3,3 veces el EBITDA, el mínimo de 2022. El indicador que lo habría anticipado: el «attentisme» del 23-sep-2026 y la caída del 5 % de las ventas de la red propia en FY2026.</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Emisiones de los vehículos vendidos.</w:t>
      </w:r>
      <w:r>
        <w:t xml:space="preserve"> La huella de Trigano es de unos 4,7 Mt de CO2e, el 99,5 % de alcance 3, sobre todo por el uso de vehículos de motor térmico; el riesgo regulatorio (Euro 7 en 2027, fin de los térmicos nuevos en 2035) depende de que los fabricantes de chasis ofrezcan bases eléctricas con autonomía y peso compatibles con el permiso B [9]. </w:t>
      </w:r>
      <w:r>
        <w:rPr>
          <w:b/>
        </w:rPr>
        <w:t xml:space="preserve">Seguridad laboral.</w:t>
      </w:r>
      <w:r>
        <w:t xml:space="preserve"> 842 accidentes laborales en FY2025 (466 con baja) y una tasa de accidentes de 26,1, frente a 24,9 el año anterior [9]. </w:t>
      </w:r>
      <w:r>
        <w:rPr>
          <w:b/>
        </w:rPr>
        <w:t xml:space="preserve">Cadena de suministro.</w:t>
      </w:r>
      <w:r>
        <w:t xml:space="preserve"> El 98 % de las compras directas se hace en la UE y el Reino Unido; los chasis son algo más del 40 %; una evaluación de proveedores en materia de sostenibilidad está en estudio [9]. Economía circular: 82 % de residuos reciclados; el acero (50.465 t) y el contrachapado (19.307 t) son los principales materiales [9].</w:t>
      </w:r>
    </w:p>
    <w:p>
      <w:pPr>
        <w:pStyle w:val="Heading2"/>
      </w:pPr>
      <w:r>
        <w:t xml:space="preserve">Controversias</w:t>
      </w:r>
    </w:p>
    <w:p>
      <w:pPr>
        <w:spacing w:after="100"/>
      </w:pPr>
      <w:r>
        <w:t xml:space="preserve">El informe anual de 2025 dice que no se conoce ningún litigio con un impacto financiero significativo y que la empresa no participa en programas de optimización o evasión fiscal [9]. No se han encontrado sanciones ni incidentes relevantes de los últimos tres años en los documentos revisados.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han crecido los pedidos en firme de particulares de la gama 2027 frente a la 2026 en las ferias de otoño de 2026, y en qué países?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la producción estable que planifica la empresa y la caída que descuenta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es sostenible con producción estable y tarifas +1,5-2 %? ¿Habrá nuevas rebajas para defender la cuota?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mueve el valor en torno a un 11 %.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han amortizado las 434.229 acciones propias y qué parte de los ≈ 500 M de caja neta irá a recompras frente a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acción a 4,1 veces el EBITDA, recomprar rinde más que cualquier compra de 2022-2025 (ROIC incremental del 9,8 %).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la red Libertium y por qué sus ventas cayeron un 5 %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ROIC: el capital invertido se ha multiplicado por 3,8 desde FY2017.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Residencias móviles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BIO Habitat, con 0,8 M de resultado operativo en FY2025 y un margen del segmento del 2,6 % en el 1S26? ¿Cómo se resolverán los 13 M reclamados por Bénéteau?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grande desde Adria y no ha cumplido.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Loisirs Finance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adelantó Trigano 100 M de tesorería a Loisirs Finance y qué riesgo de crédito asume en los créditos cedidos?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182 M fuera de balance y 100 M de caja que el puente cuenta como disponibles.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papel tendrán Alice Cavalier-Feuillet y Séverine Soummer-Feuillet tras la donación de diciembre de 2025, y quién sucederá a François Feuillet en la presidencia del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tiene el 66,42 % de los votos y la junta subió a 85 años la edad máxima del presidente.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Trigano (3 hilos activos: resultados, víspera de resultados, recompra)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conversación. El hilo de resultados se limita a resumir el comunicado del 23-sep y el segundo dividendo a cuenta, con lectura favorable [85]. El de víspera de resultados habla de nerviosismo vendedor [87]. El de recompra está dividido: unos piden usar la caja para comprar acciones y amortizarlas, otros prefieren adquisiciones o critican que se recompre por encima del valor contable [86].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foros «TRIGANO (TRI) - News» y «TRIGANO TRIANGLE DANGER»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agosto dominaban los mensajes de análisis técnico con sesgo alcista (canal ascendente, objetivos por encima del precio de entonces) [89]. El 2-oct el tono se vuelve bajista: «¿fin de la dinámica?», presupuesto francés con más impuestos, petróleo al alza y poder adquisitivo débil, con mención expresa al «attentisme» que reconoce la empresa [88].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Trigano (página 1 de 12; los mensajes no muestran fecha)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no tienen fecha visible y algunos son de antes del verano, así que hay que leerlos como el poso del año. Predomina el argumento de valor barato, sin deuda y con recompra, con llamadas a la paciencia, y algún comentario técnico alcista. Del lado bajista aparecen la rotura de soportes, el precio del carburante y el desencanto con la bolsa francesa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Zonebourse/MarketScreener (artículos de reacción y entrevista con el presidente del directorio)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24-sep, Oddo BHF, Portzamparc y UBS mantienen recomendaciones positivas pero recortan sus precios objetivo [92]. UBS lo hace por el menor crecimiento orgánico esperado para 2027, aunque ve margen para subir estimaciones [91]. La entrevista del 7-oct (el redactor declara tener acciones) recoge el discurso de la dirección: compradores que aplazan la compra en Francia y Alemania, stocks de concesionarios normalizados y subidas de tarifa del 1,5-2 %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los particulares: «attentisme», Francia y entorno macro (presupuesto, carburante, clima político)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preocupación coincide con lo que dice la propia empresa. El 23-sep avisó de producción de autocaravanas estable en el 1S27 porque el interés de las ferias aún no se traduce en ventas a particulares, y la dirección sitúa la debilidad en Francia y Alemania [93]. Las ventas FY2026 crecieron un 3,8 % y el margen operativo será «cercano al 10 %»: el foro anticipa un frenazo que todavía no se ve en las cifras del ejercicio cerrado.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la caja: recompra de acciones frente a adquisiciones o más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 optado por recomprar para amortizar (hasta el 10 % del capital) con una tesorería neta en torno a 500 M y mantiene un payout del 20-25 % salvo una gran compra [93]. La crítica de que no se amortizan acciones tiene base: la autocartera era de 46.164 acciones a 31-ago-2025 y de 434.229 a 31-ago-2026, sin amortizaciones anunciadas aunque la junta de enero de 2026 las autorizó.</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rotura de soportes y caída hacia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dan la razón al tono: la acción ha pasado de la zona de 150-156 EUR en agosto a 125,30 EUR (9-oct), −28,5 % en el año y cerca del mínimo de 52 semanas (123,7 el 2-oct). Es una lectura de precio, no de fundamentales.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paciencia (sin deuda, múltiplo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comparten la idea: el 24-sep mantienen comprar o sobreponderar aunque recortan sus objetivos [92], y Zonebourse muestra 8 analistas con recomendación media de compra [91]. El analista debe contrastarlo con los múltiplos y el DCF del informe, ya que las cifras de valoración de los foros no se usan.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recompras que sostienen el precio en beneficio de directivos con opciones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una opinión aislada de un foro [86] y no se sostiene: Trigano no tiene planes de opciones sobre acciones (el BPA diluido coincide con el básico) y la remuneración del presidente del directorio no lleva incentivo a largo plazo en acciones. La familia Feuillet, con el 57,9 % del capital, es la principal beneficiaria de las recompras.</w:t>
            </w:r>
          </w:p>
        </w:tc>
      </w:tr>
    </w:tbl>
    <w:p>
      <w:pPr>
        <w:spacing w:after="160" w:before="0"/>
      </w:pPr>
    </w:p>
    <w:p>
      <w:pPr>
        <w:spacing w:after="100"/>
      </w:pPr>
      <w:r>
        <w:t xml:space="preserve">El inversor particular sigue poco a Trigano y está desencantado. Tras las ventas del 23-sep, el foro de ABC Bourse pasó de un tono técnico alcista en agosto a uno bajista por el presupuesto francés, el carburante y el «attentisme» que la propia empresa reconoce [88, 89]; en Boursorama e Investing domina la idea de valor barato con caja, dividida sobre si la caja debe ir a recompras o a compras [86, 90]. El sentimiento coincide con el riesgo central del informe, la demanda de 2027, y no aporta uno nuevo; una crítica sobre opciones de los directivos no se sostiene, porque no hay planes de opciones. No hay capitulación sino apatía, en contraste con los ocho analistas que recomiendan comprar [52, 53]. Confirma que la tesis depende de los resultados del 24-nov y de la conversión de los pedidos de las ferias de otoño.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94 (45 primarias); citas distintas en el texto: 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20,0 % frente a 20,1 % real: genera una variación de circulante de 24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siete comparables cíclicos y crecimientos parecidos (3-6 %), el crecimiento no explica el múltiplo; la valoración usa las medianas, no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57,2 %, asimetría de 8,37, bajista del -9,7 % y el precio descuenta 18,5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94 fuentes (45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 1S23 y 2S23; crecimiento_pct de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informes financieros de trigano-finance.com (descargar.mjs --lista): solo informes anuales; 2) página de comunicados: solo los de FY2026; 3) carpetas de la AMF en echanges.dila.gouv.fr del 6 y 7-may-2024 (44 PDF descargados): ninguno de Trigano; MFN solo da el calendario.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4.2.6.9 del RA2025; 2) nota 5.9 del rapport semestriel 1S26; 3) apartado de riesgo de liquidez del RA2025: la empresa no publica la vida media.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ventas y resultados de FY2026: no citan consenso; 2) presentación del 23-sep-2026: tampoco; 3) sin fuente gratuita del consenso previo a cada publicación en los documentos de la carpeta.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RA2017-RA2025; 2) faits marquants del RA2025 (BIO Habitat); 3) comunicados de FY2026: ningún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Matriculaciones europeas de 2008-2009 y 2015-2016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la ECF (solo PDF de 2022-2026) y anuario CIVD 2026 (series desde 2015 solo para Alemania en valor); 2) fichas de la ECF alojadas en civd.de (desde 2017-2018); 3) búsqueda web de cifras ECF de 2008-2009 (solo datos parciales de Alemania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ECF y CIVD (sin previsiones publicadas); 2) informes de Trigano, Knaus Tabbert y Thor (solo cualitativas; Knaus Tabbert prevé ≈ 950 M de ventas en 2026); 3) estimación desde la serie: el mercado está plano desde 2020, sin base para proyectar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ECF y CIVD (no publican cuotas por fabricante en abierto); 2) Thor (27,0 % en autocaravanas) y Knaus Tabbert (8,2 %); 3) Hobby, Carthago y Rapido/Pilote no publican cuotas. CR3 estimado ≈ 66 % (Trigano ≈ 31 %, Erwin Hymer 27 %, Knaus Tabbert 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Carthago y Groupe Pilote/Rapido: ingresos y márgenes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 corporativas (sin cuentas); 2) búsqueda de cuentas publicadas; 3) prensa sectorial (sin cifras verificables en documento original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Trigano (no cita calificaciones externas); 2) página de Sustainalytics (no muestra la puntuación sin registro); 3) búsqueda web (agregadores con cifras dispares de 28,6 a 40 que no se pueden verificar en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juntas de trigano-finance.com (solo la convocatoria y documentos previos de la junta del 6-ene-2026) y URL probables del resultado de los votos (404/500); 2) Páginas de información regulada y de comunicados, en francés e inglés (sin resultado de votos de 2024, 2025 ni 2026); 3) Búsqueda web del resultado de los votos y en el dominio de la empresa (solo convocatorias y alertas de la AFG)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director financiero (Cédric Ratouis)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capítulo de gobierno (no es mandatario social); 2) BDIF de la AMF: sin declaraciones suyas; 3) Informes anuales 2019-2024: solo el cargo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Erwin Hymer Group, Tiffin y BIO Habitat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en EDGAR (8-K de Thor de 18-sep-2018 y 22-dic-2020) y nota de combinaciones de negocios del Rapport annuel 2025 de Trigano; 2) Rapport annuel 2024 de Trigano (hechos posteriores: solo ventas de 2023); 3) búsqueda en el texto completo de EDGAR de los 8-K de Thor sobre Hymer y Tiffin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Trigano-Adria (2017) y salida a bolsa de Knaus Tabbert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Trigano disponibles en notas/docs (2019-2025) sin el detalle de la compra de Adria; 2) no se descargó el Rapport annuel 2017 por tiempo; 3) la salida a bolsa de Knaus Tabbert no es una compra de control y no da múltiplo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seekingalpha.com/symbol/TGNOF/analysis: 403; 2) stocktwits.com/symbol/TRI.PA: 403; 3) no se repitió (lecciones: estos sitios bloquean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la prensa (ABC Bourse, Idéal Investisseur, Investir/Boursier)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ABC Bourse, artículo del 23-sep: sin comentarios; 2) Idéal Investisseur, artículo del 24-sep: sin comentarios ni opinión; 3) búsqueda de un consejo de Investir de oct-2026: nada posterior a junio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mensajes de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la página 1 del foro no muestra marcas de tiempo; 2) se filtraron los mensajes por las referencias de precio (120-145) para aproximar los recientes; 3) no hay otra vista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incluye como «Dividido», con la advertencia de que los mensajes no tienen fecha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Rapport annuel 2017 (exercice clos le 31-ago-2017)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https://trigano-finance.com/download/6048/604489b9413be6b8ffd8b7dc8ba73c9d/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Rapport annuel 2018 (exercice clos le 31-ago-2018)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https://trigano-finance.com/download/5984/4daab65fa2920f4a5f177331425a5e80/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2019 (exercice clos le 31-ago-2019)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https://trigano-finance.com/download/5898/c73ed51fe441ff99ada70b4200d67d1a/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2019/2020 (exercice clos le 31-ago-2020)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https://trigano-finance.com/download/5802/fa646a18613e68f589020791e2dd63ee/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2021 (exercice clos le 31-ago-2021)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https://trigano-finance.com/download/5690/a24085ef16e22bd20ea91857709629d7/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2022 (exercice clos le 31-ago-2022)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https://trigano-finance.com/download/5580/3f90b69a4f75fe1c85a7c9e41cedbac0/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2023 (exercice clos le 31-ago-2023)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https://trigano-finance.com/download/8547/bc30e7040a60a44ec1390828d33cc9d4/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2024 (exercice clos le 31-ago-2024)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https://trigano-finance.com/download/15424/8b14ef2c2886e9ae49c0d30527a1462e/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 (exercice clos le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https://trigano-finance.com/download/26810/ed3df1dc475753e1fb81b328c93ffa55/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semestre clos le 28-feb-2026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https://echanges.dila.gouv.fr/OPENDATA/AMF/ECO/2026/05/FCECO081890_20260506.pdf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semestre clos le 28-feb-2025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https://echanges.dila.gouv.fr/OPENDATA/AMF/ECO/2025/05/FCECO078512_20250513.pdf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du premier trimestre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https://trigano-finance.com/download/26873/a3e1cc5a522d732b0ecc7ae80884dd38/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du premier semestre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https://trigano-finance.com/download/26911/d31ee373e4d83104738e78c7d090e2e5/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du troisième trimestre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https://trigano-finance.com/download/26917/efa7437b09f5ed82a38939eecb41074a/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de l'exercice 2025/2026 (communiqué)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https://trigano-finance.com/download/26918/08af5f02bd94ebd46c44f8b35705f922/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Présentation Chiffre d'affaires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https://trigano-finance.com/download/90174/f3919be4374cf9951137b2596509d52d/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Opérations de rachat d'actions, mois d'août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https://trigano-finance.com/download/88417/3d74bcbd115a4f8790035453b3088f5e/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Nombre d'actions et de droits de vote au 31 août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https://trigano-finance.com/download/88682/e9ed50377e705c0268f619b3dddff5db/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 Registrations of new Leisure Vehicles,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https://www.e-c-f.com/wp-content/uploads/2026/02/EU_CY-2025.pdf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CIVD Jahresband 2026 (Zahlen und Fakten)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Caravaning Industrie Verband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https://www.civd.de/wp-content/uploads/2019/05/2026-CIVD-Jahresband-KURZ-zum-Versand.pdf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Registrations of new Leisure Vehicles, January-December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https://www.e-c-f.com/wp-content/uploads/2023/05/E.1.0_CY_2022.pdf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Registrations of new Leisure Vehicles, January-December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https://www.e-c-f.com/wp-content/uploads/2021/08/E.1.0_CY2023.pdf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Registrations of new leisure vehicles in Europe in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 /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https://www.civd.de/wp-content/uploads/2019/08/Registrations-of-new-leisure-vehicles-in-Europe-in-2020.pdf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Registrations of new Leisure Vehicles in Europe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 /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https://www.civd.de/wp-content/uploads/2020/01/Fact-Sheet_Registrations-of-new-Leisure-Vehicles-in-Europe_2019.pdf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Registrations of new Leisure Vehicles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 /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https://www.civd.de/wp-content/uploads/2019/07/Fact-Sheet_Registrations-of-new-Leisure-Vehicles_2018.pdf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 Registrations of new Leisure Vehicles, January-April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https://www.e-c-f.com/wp-content/uploads/2026/06/EU_Jan_Apr26.pdf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https://www.knaustabbert.de/fileadmin/media/investor-relations/geschaeftsbericht/2025/Geschaeftsbericht-2025-EN.pdf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Presentation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https://www.knaustabbert.de/fileadmin/media/investor-relations/geschaeftsbericht/2025/IR_PPT_FY_2025.pdf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publishes 2025 Annual Report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https://www.knaustabbert.de/fileadmin/media/press/press-releases/2026/geschaeftsbericht-2025/knaustabbert-press-2026-annual-report-press-release.pdf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cerrado el 31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https://www.sec.gov/Archives/edgar/data/730263/000073026326000027/tho-20260731.htm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cerrado el 30 de agosto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https://www.sec.gov/Archives/edgar/data/107687/000010768725000034/wgo-20250830.htm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Hobby: siffror, data och fakta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Hobby-Wohnwagenwerk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https://www.hobby-caravan.de/sv/foeretaget/siffror-data-fakta/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USD/EUR, medias mensuales (EXR M.USD.EUR.SP00.A)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https://data-api.ecb.europa.eu/service/data/EXR/M.USD.EUR.SP00.A?startPeriod=2024-08&amp;endPeriod=2026-09&amp;format=csvdata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 franchissements de seuils et déclarations d'intention 225C2173 (donación de SEVAL)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https://bdif.amf-france.org/back/api/v1/documents/2025/225C2173/6AB82632EA9D23AFB133D788EAAA3D3131E11A46E10917BC8CD712C5B1CB5A88.pdf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 franchissements de seuils 225C0913 (aportación a SEVAL)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https://bdif.amf-france.org/back/api/v1/documents/2025/225C0913/8617399C6ACA39D5F12D2B7792B7EC5154BD093DB823B612674959B9511699FC.pdf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Dérogation à l'obligation de déposer un projet d'offre publique 225C0654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https://bdif.amf-france.org/back/api/v1/documents/2025/225C0654/F917377AC70AAE2C5A31135B73D17963CC2D90568AF940713D60DE07C4D0D4FA.pdf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2025DD1065790 (Stéphane Gigou)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https://bdif.amf-france.org/back/api/v1/documents/2025/2025DD1065790/5A36D6A72B3A2BD83FF7B0EA9F4513E3F0F4D6681793244869FEFE70AA97A919.pdf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2025DD1065783 (François Feuillet)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https://bdif.amf-france.org/back/api/v1/documents/2025/2025DD1065783/EDCA0F9B92FC728D68BCADC1EB9F03BCCB728890E97E8665A56677AC118C5596.pdf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2025DD1040138 (aportación a SEVAL)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https://bdif.amf-france.org/back/api/v1/documents/2025/2025DD1040138/490E39F72ABB2A1EC46E8E60903A83BFC5E161EC08AB97E8748CC07456761BD9.pdf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n° 106 concernant Trigano (AG du 6 janvier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https://www.afg.asso.fr/app/uploads/2025/12/Div-n°-6446_12_Alerte-n°-106-TRIGANO.pdf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n° 1 concernant Trigano (AG de janvier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https://www.afg.asso.fr/app/uploads/2024/01/div-n-5916-01-alerte-n1-trigano.pdf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6-01-2026: ordre du jour et projet de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https://trigano-finance.com/wp-content/uploads/2025/12/TRIGANO-AGM-06-01-2026-ORDRE-DU-JOUR-ET-PROJET-DE-RESOLUTIONS.pdf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2024/2025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https://trigano-finance.com/download/15494/8cd6fc0d36b98dc2c42baf8923105a5b/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du 1er semestre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https://trigano-finance.com/download/26916/5d9e31680ddeabcb9297bfb91518b93e/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https://trigano-finance.com/wp-content/uploads/2024/12/RA-24.pdf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clarification de Trigano suite à une dépêche de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https://trigano-finance.com/wp-content/uploads/2025/05/TRIGANO_Clarification.pdf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transparence, positions courtes nettes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(datos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https://www.ideal-investisseur.fr/actions/trigano-FR0005691656-transparence.html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informations publiées sur Trigano (déclarations des dirigeants, seuils)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https://bdif.amf-france.org/back/api/v1/informations?RechercheTexte=TRIGANO&amp;From=0&amp;Size=60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transactions on own shares from June 29, 2026 to July 5,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https://trigano-finance.com/download/71356/1086955e919329e70d1a331fbfe097cc/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TRI.PA, ^FCHI, ^STOXX y EXV5.DE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https://finance.yahoo.com/quote/TRI.PA/history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estimaciones y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https://www.marketscreener.com/quote/stock/TRIGANO-4718/finances/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https://www.marketscreener.com/quote/stock/TRIGANO-4718/consensus/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consensus des analystes (datos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https://www.boursorama.com/cours/consensus/1rPTRI/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https://www.marketscreener.com/quote/stock/THOR-INDUSTRIES-INC-14591/finances/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https://www.marketscreener.com/quote/stock/WINNEBAGO-INDUSTRIES-INC-14866/finances/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https://www.marketscreener.com/quote/stock/KNAUS-TABBERT-AG-112756470/finances/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LCI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https://www.marketscreener.com/quote/stock/LCI-INDUSTRIES-32683197/finances/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Patrick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https://www.marketscreener.com/quote/stock/PATRICK-INDUSTRIES-INC-10397/finances/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https://www.marketscreener.com/quote/stock/DOMETIC-GROUP-AB-26320465/finances/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Brunswick: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https://www.marketscreener.com/quote/stock/BRUNSWICK-CORPORATION-11779/finances/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Polaris: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https://www.marketscreener.com/quote/stock/POLARIS-INC-14008/finances/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Bénéteau: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https://www.marketscreener.com/quote/stock/BENETEAU-4622/finances/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https://stockanalysis.com/stocks/tho/statistics/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https://stockanalysis.com/stocks/wgo/statistics/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LCI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https://stockanalysis.com/stocks/lcii/statistics/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Patrick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https://stockanalysis.com/stocks/patk/statistics/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Group: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https://stockanalysis.com/quote/sto/DOM/statistics/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Brunswick: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Polaris: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Bénéteau: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SEK), 5 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https://data-api.ecb.europa.eu/service/data/EXR/D.USD+SEK.EUR.SP00.A?startPeriod=2026-10-05&amp;endPeriod=2026-10-09&amp;format=csvdata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cotizados (Svensson), vencimiento residual 10 años, datos diarios (serie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https://api.statistiken.bundesbank.de/rest/data/BBSIS/D.I.ZST.ZI.EUR.S1311.B.A604.R10XX.R.A.A._Z._Z.A?startPeriod=2026-10-01&amp;endPeriod=2026-10-09&amp;format=csv&amp;lang=en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actualizado el 5-ene-2026 (betaEurope.xls)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to Acquire Erwin Hymer Group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https://www.sec.gov/Archives/edgar/data/730263/000115752318001943/a51868176ex99_1.htm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to Acquire Newmar Corporation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https://www.sec.gov/Archives/edgar/data/107687/000010768719000017/ex99120198-k0916.htm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compra de Newmar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https://www.sec.gov/Archives/edgar/data/107687/000010768719000017/a2019form8-k0916.htm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Announces Acquisition of Luxury RV Manufacturer Tiffin Motorhomes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https://www.sec.gov/Archives/edgar/data/730263/000156459020058038/d11247dex991.htm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to Acquire Barletta Pontoon Boats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https://www.sec.gov/Archives/edgar/data/107687/000010768721000030/winnebagoindustries-finalp.htm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Acquires Airxcel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https://www.sec.gov/Archives/edgar/data/730263/000156459021046803/tho-ex991_6.htm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acquires Igloo with more than USD 400 million in annual revenues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Group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https://mfn.se/cis/a/dometic-group/dometic-group-dometic-acquires-igloo-with-more-than-usd-400-million-in-annual-revenues-1c4f2283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referencia del euro frente al dólar, 2019-2021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https://data-api.ecb.europa.eu/service/data/EXR/D.USD.EUR.SP00.A?startPeriod=2019-09-12&amp;endPeriod=2021-09-20&amp;format=csvdata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estadísticas (capitalización, valor empresa,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hilo «RESULTATS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https://www.boursorama.com/bourse/forum/1rPTRI/detail/468479022/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hilo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https://www.boursorama.com/bourse/forum/1rPTRI/detail/467495285/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hilo «Veille de résultats annuels»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https://www.boursorama.com/bourse/forum/1rPTRI/detail/468471364/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(TRI) -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https://www.abcbourse.com/forums/msg669167_trigano-tri--news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TRIANGLE DANGER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https://www.abcbourse.com/forums/msg1065592_trigano-triangle-danger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(commentaires, page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France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https://fr.investing.com/equities/trigano-commentary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recule de 1%, UBS abaisse sa cible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https://www.zonebourse.com/actualite-bourse/trigano-recule-de-1-ubs-abaisse-sa-cible-ce785aded180f220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d'analystes France : Trigano, Covivio et du luxe au programme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https://www.zonebourse.com/actualite-bourse/avis-d-analystes-france-trigano-covivio-et-du-luxe-au-programme-ce785adeda81f621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 « Une production stable mais plus efficiente pour entamer l'exercice » selon Stéphane Gigou, Président du Directoire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https://www.zonebourse.com/actualite-bourse/trigano-une-production-stable-mais-plus-efficiente-pour-entamer-l-exercice-selon-stephane-gigou-ce785dd9d18efe20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2010 (exercice clos le 31-ago-2010)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https://trigano-finance.com/download/6724/68dfd9c64b3a08f354af7a335b2521fe/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11 oct 2026.</w:t>
      </w:r>
    </w:p>
    <w:p>
      <w:pPr>
        <w:pStyle w:val="Nota"/>
        <w:spacing w:after="100"/>
      </w:pPr>
      <w:r>
        <w:t xml:space="preserve">Trigano cierra su ejercicio el 31 de agosto y lo nombra por el año en que termina: FY2025 va de septiembre de 2024 a agosto de 2025 [9]. El ejercicio FY2026 ya ha terminado, pero solo se conocen sus ventas (3.800,0 M, sin auditar) y la indicación de un margen operativo corriente «cercano al 10 %»; las cuentas salen el 24-nov-2026 [15]. Por eso el último ejercicio real es FY2025, los últimos 12 meses son los de marzo de 2025 a febrero de 2026 y FY2026e figura como año fijo de la proyección. Precio de cierre del viernes 9-oct-2026 (125,30 EUR), porque el corte cae en domingo [50]. Acciones: 18,888 M en circulación a 31-ago-2026, sin autocartera; no hay instrumentos dilusivos [18]. La cuenta se presenta por naturaleza; el EBITDA del informe es el resultado operativo más las amortizaciones y depreciaciones de la cuenta, la misma definición que usa el consenso [9, 51]. El puente se lleva a 31-ago-2026 con la tesorería neta sin NIIF 16 que anunció la empresa (unos 500 M, cifra redondeada) sobre el balance del 28-feb-2026, y resta el dividendo a cuenta de 2,40 EUR pagado el 1-oct-2026 [10, 15]. Los segmentos actuales solo existen para FY2024-FY2025: la empresa no reexpresó años anteriores [9]. Faltan los semestres de FY2023. El mercado del sector se mide en unidades matriculadas, no en euros [20].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Trigano S.A. (TRI)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125,30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Hoja1!$B$2:$B$10</c:f>
              <c:numCache>
                <c:formatCode>#,##0</c:formatCode>
                <c:ptCount val="9"/>
                <c:pt idx="0">
                  <c:v>123.7</c:v>
                </c:pt>
                <c:pt idx="1">
                  <c:v>160</c:v>
                </c:pt>
                <c:pt idx="2">
                  <c:v>184.02</c:v>
                </c:pt>
                <c:pt idx="3">
                  <c:v>164.92</c:v>
                </c:pt>
                <c:pt idx="4">
                  <c:v>174.56</c:v>
                </c:pt>
                <c:pt idx="5">
                  <c:v>181.54</c:v>
                </c:pt>
                <c:pt idx="6">
                  <c:v>113.18</c:v>
                </c:pt>
                <c:pt idx="7">
                  <c:v>220.82</c:v>
                </c:pt>
                <c:pt idx="8">
                  <c:v>124.67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Hoja1!$C$2:$C$10</c:f>
              <c:numCache>
                <c:formatCode>#,##0</c:formatCode>
                <c:ptCount val="9"/>
                <c:pt idx="0">
                  <c:v>55.10000000000001</c:v>
                </c:pt>
                <c:pt idx="1">
                  <c:v>40</c:v>
                </c:pt>
                <c:pt idx="2">
                  <c:v>25.819999999999993</c:v>
                </c:pt>
                <c:pt idx="3">
                  <c:v>66.13000000000002</c:v>
                </c:pt>
                <c:pt idx="4">
                  <c:v>39.16999999999999</c:v>
                </c:pt>
                <c:pt idx="5">
                  <c:v>37.07000000000002</c:v>
                </c:pt>
                <c:pt idx="6">
                  <c:v>113.88</c:v>
                </c:pt>
                <c:pt idx="7">
                  <c:v>33.05000000000001</c:v>
                </c:pt>
                <c:pt idx="8">
                  <c:v>1.2600000000000051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Camping-cars et caravanes</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0">
                  <c:v>3622</c:v>
                </c:pt>
                <c:pt idx="1">
                  <c:v>3195.6</c:v>
                </c:pt>
              </c:numCache>
            </c:numRef>
          </c:val>
        </c:ser>
        <c:ser>
          <c:idx val="1"/>
          <c:order val="1"/>
          <c:tx>
            <c:strRef>
              <c:f>Hoja1!$C$1</c:f>
              <c:strCache>
                <c:ptCount val="1"/>
                <c:pt idx="0">
                  <c:v>Autres activités de loisirs</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0">
                  <c:v>304.3</c:v>
                </c:pt>
                <c:pt idx="1">
                  <c:v>464.6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Camping-cars et caravanes</c:v>
                </c:pt>
                <c:pt idx="1">
                  <c:v>Autres activités de loisirs</c:v>
                </c:pt>
              </c:strCache>
            </c:strRef>
          </c:cat>
          <c:val>
            <c:numRef>
              <c:f>Hoja1!$B$2:$B$3</c:f>
              <c:numCache>
                <c:formatCode>General</c:formatCode>
                <c:ptCount val="2"/>
                <c:pt idx="0">
                  <c:v>87.3</c:v>
                </c:pt>
                <c:pt idx="1">
                  <c:v>12.7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Francia</c:v>
                </c:pt>
                <c:pt idx="1">
                  <c:v>Alemania</c:v>
                </c:pt>
                <c:pt idx="2">
                  <c:v>Reino Unido</c:v>
                </c:pt>
                <c:pt idx="3">
                  <c:v>Benelux</c:v>
                </c:pt>
                <c:pt idx="4">
                  <c:v>Italia</c:v>
                </c:pt>
                <c:pt idx="5">
                  <c:v>España</c:v>
                </c:pt>
                <c:pt idx="6">
                  <c:v>Europa del Norte</c:v>
                </c:pt>
                <c:pt idx="7">
                  <c:v>Otros</c:v>
                </c:pt>
              </c:strCache>
            </c:strRef>
          </c:cat>
          <c:val>
            <c:numRef>
              <c:f>Hoja1!$B$2:$B$9</c:f>
              <c:numCache>
                <c:formatCode>0"%"</c:formatCode>
                <c:ptCount val="8"/>
                <c:pt idx="0">
                  <c:v>34.5</c:v>
                </c:pt>
                <c:pt idx="1">
                  <c:v>20.4</c:v>
                </c:pt>
                <c:pt idx="2">
                  <c:v>12.1</c:v>
                </c:pt>
                <c:pt idx="3">
                  <c:v>8.3</c:v>
                </c:pt>
                <c:pt idx="4">
                  <c:v>7.1</c:v>
                </c:pt>
                <c:pt idx="5">
                  <c:v>5.6</c:v>
                </c:pt>
                <c:pt idx="6">
                  <c:v>4</c:v>
                </c:pt>
                <c:pt idx="7">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(autocaravanas nuevas matriculadas en Europa (unidades,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2017</c:v>
                </c:pt>
                <c:pt idx="1">
                  <c:v>2018</c:v>
                </c:pt>
                <c:pt idx="2">
                  <c:v>2019</c:v>
                </c:pt>
                <c:pt idx="3">
                  <c:v>2020</c:v>
                </c:pt>
                <c:pt idx="4">
                  <c:v>2021</c:v>
                </c:pt>
                <c:pt idx="5">
                  <c:v>2022</c:v>
                </c:pt>
                <c:pt idx="6">
                  <c:v>2023</c:v>
                </c:pt>
                <c:pt idx="7">
                  <c:v>2024</c:v>
                </c:pt>
                <c:pt idx="8">
                  <c:v>2025</c:v>
                </c:pt>
                <c:pt idx="9">
                  <c:v>2026e</c:v>
                </c:pt>
              </c:strCache>
            </c:strRef>
          </c:cat>
          <c:val>
            <c:numRef>
              <c:f>Hoja1!$B$2:$B$11</c:f>
              <c:numCache>
                <c:formatCode>#,##0</c:formatCode>
                <c:ptCount val="10"/>
                <c:pt idx="0">
                  <c:v>110769</c:v>
                </c:pt>
                <c:pt idx="1">
                  <c:v>124931</c:v>
                </c:pt>
                <c:pt idx="2">
                  <c:v>132470</c:v>
                </c:pt>
                <c:pt idx="3">
                  <c:v>159082</c:v>
                </c:pt>
                <c:pt idx="4">
                  <c:v>181516</c:v>
                </c:pt>
                <c:pt idx="5">
                  <c:v>147804</c:v>
                </c:pt>
                <c:pt idx="6">
                  <c:v>146490</c:v>
                </c:pt>
                <c:pt idx="7">
                  <c:v>160342</c:v>
                </c:pt>
                <c:pt idx="8">
                  <c:v>161369</c:v>
                </c:pt>
                <c:pt idx="9">
                  <c:v>160000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5</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Trigano</c:v>
                </c:pt>
                <c:pt idx="1">
                  <c:v>Erwin Hymer Group (segmento europeo de Thor Industries)</c:v>
                </c:pt>
                <c:pt idx="2">
                  <c:v>Knaus Tabbert</c:v>
                </c:pt>
                <c:pt idx="3">
                  <c:v>Hobby-Wohnwagenwerk (Hobby/Fendt)</c:v>
                </c:pt>
                <c:pt idx="4">
                  <c:v>Winnebago Industries (referencia EE. UU.)</c:v>
                </c:pt>
                <c:pt idx="5">
                  <c:v>Thor Industries consolidado (referencia)</c:v>
                </c:pt>
              </c:strCache>
            </c:strRef>
          </c:cat>
          <c:val>
            <c:numRef>
              <c:f>Hoja1!$B$2:$B$7</c:f>
              <c:numCache>
                <c:formatCode>0.0"%"</c:formatCode>
                <c:ptCount val="6"/>
                <c:pt idx="0">
                  <c:v>9.1</c:v>
                </c:pt>
                <c:pt idx="1">
                  <c:v>2.2</c:v>
                </c:pt>
                <c:pt idx="2">
                  <c:v>-1.3</c:v>
                </c:pt>
                <c:pt idx="4">
                  <c:v>2</c:v>
                </c:pt>
                <c:pt idx="5">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2</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strCache>
            </c:strRef>
          </c:cat>
          <c:val>
            <c:numRef>
              <c:f>Hoja1!$B$2:$B$18</c:f>
              <c:numCache>
                <c:formatCode>#,##0</c:formatCode>
                <c:ptCount val="17"/>
                <c:pt idx="0">
                  <c:v>1707</c:v>
                </c:pt>
                <c:pt idx="1">
                  <c:v>2314.7</c:v>
                </c:pt>
                <c:pt idx="2">
                  <c:v>2328.2</c:v>
                </c:pt>
                <c:pt idx="3">
                  <c:v>2184</c:v>
                </c:pt>
                <c:pt idx="4">
                  <c:v>2933.6</c:v>
                </c:pt>
                <c:pt idx="5">
                  <c:v>3177.2</c:v>
                </c:pt>
                <c:pt idx="6">
                  <c:v>3480.2</c:v>
                </c:pt>
                <c:pt idx="7">
                  <c:v>3926.3</c:v>
                </c:pt>
                <c:pt idx="8">
                  <c:v>3660.2</c:v>
                </c:pt>
                <c:pt idx="9">
                  <c:v>3799</c:v>
                </c:pt>
                <c:pt idx="10">
                  <c:v>3875</c:v>
                </c:pt>
                <c:pt idx="11">
                  <c:v>4030</c:v>
                </c:pt>
                <c:pt idx="12">
                  <c:v>4191</c:v>
                </c:pt>
                <c:pt idx="13">
                  <c:v>4338</c:v>
                </c:pt>
                <c:pt idx="14">
                  <c:v>4468</c:v>
                </c:pt>
                <c:pt idx="15">
                  <c:v>4580</c:v>
                </c:pt>
                <c:pt idx="16">
                  <c:v>4672</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strCache>
            </c:strRef>
          </c:cat>
          <c:val>
            <c:numRef>
              <c:f>Hoja1!$C$2:$C$18</c:f>
              <c:numCache>
                <c:formatCode>#,##0</c:formatCode>
                <c:ptCount val="17"/>
                <c:pt idx="0">
                  <c:v>168.20000000000002</c:v>
                </c:pt>
                <c:pt idx="1">
                  <c:v>262.1</c:v>
                </c:pt>
                <c:pt idx="2">
                  <c:v>236.1</c:v>
                </c:pt>
                <c:pt idx="3">
                  <c:v>214.3</c:v>
                </c:pt>
                <c:pt idx="4">
                  <c:v>397</c:v>
                </c:pt>
                <c:pt idx="5">
                  <c:v>403.2</c:v>
                </c:pt>
                <c:pt idx="6">
                  <c:v>478.9</c:v>
                </c:pt>
                <c:pt idx="7">
                  <c:v>579</c:v>
                </c:pt>
                <c:pt idx="8">
                  <c:v>409.8</c:v>
                </c:pt>
                <c:pt idx="9">
                  <c:v>445</c:v>
                </c:pt>
                <c:pt idx="10">
                  <c:v>442</c:v>
                </c:pt>
                <c:pt idx="11">
                  <c:v>463</c:v>
                </c:pt>
                <c:pt idx="12">
                  <c:v>482</c:v>
                </c:pt>
                <c:pt idx="13">
                  <c:v>499</c:v>
                </c:pt>
                <c:pt idx="14">
                  <c:v>514</c:v>
                </c:pt>
                <c:pt idx="15">
                  <c:v>527</c:v>
                </c:pt>
                <c:pt idx="16">
                  <c:v>537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31.5</c:v>
                </c:pt>
                <c:pt idx="1">
                  <c:v>32.1</c:v>
                </c:pt>
                <c:pt idx="2">
                  <c:v>31.6</c:v>
                </c:pt>
                <c:pt idx="3">
                  <c:v>31.1</c:v>
                </c:pt>
                <c:pt idx="4">
                  <c:v>32.5</c:v>
                </c:pt>
                <c:pt idx="5">
                  <c:v>32.5</c:v>
                </c:pt>
                <c:pt idx="6">
                  <c:v>33.7</c:v>
                </c:pt>
                <c:pt idx="7">
                  <c:v>34.5</c:v>
                </c:pt>
                <c:pt idx="8">
                  <c:v>32.2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9.9</c:v>
                </c:pt>
                <c:pt idx="1">
                  <c:v>11.3</c:v>
                </c:pt>
                <c:pt idx="2">
                  <c:v>10.1</c:v>
                </c:pt>
                <c:pt idx="3">
                  <c:v>9.8</c:v>
                </c:pt>
                <c:pt idx="4">
                  <c:v>13.5</c:v>
                </c:pt>
                <c:pt idx="5">
                  <c:v>12.7</c:v>
                </c:pt>
                <c:pt idx="6">
                  <c:v>13.8</c:v>
                </c:pt>
                <c:pt idx="7">
                  <c:v>14.7</c:v>
                </c:pt>
                <c:pt idx="8">
                  <c:v>11.2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8.7</c:v>
                </c:pt>
                <c:pt idx="1">
                  <c:v>9.9</c:v>
                </c:pt>
                <c:pt idx="2">
                  <c:v>9</c:v>
                </c:pt>
                <c:pt idx="3">
                  <c:v>8.3</c:v>
                </c:pt>
                <c:pt idx="4">
                  <c:v>12.2</c:v>
                </c:pt>
                <c:pt idx="5">
                  <c:v>10.7</c:v>
                </c:pt>
                <c:pt idx="6">
                  <c:v>12.1</c:v>
                </c:pt>
                <c:pt idx="7">
                  <c:v>12.7</c:v>
                </c:pt>
                <c:pt idx="8">
                  <c:v>9.1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7.5</c:v>
                </c:pt>
                <c:pt idx="1">
                  <c:v>8.1</c:v>
                </c:pt>
                <c:pt idx="2">
                  <c:v>7.2</c:v>
                </c:pt>
                <c:pt idx="3">
                  <c:v>6.4</c:v>
                </c:pt>
                <c:pt idx="4">
                  <c:v>7.6</c:v>
                </c:pt>
                <c:pt idx="5">
                  <c:v>8.8</c:v>
                </c:pt>
                <c:pt idx="6">
                  <c:v>8.9</c:v>
                </c:pt>
                <c:pt idx="7">
                  <c:v>9.5</c:v>
                </c:pt>
                <c:pt idx="8">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1S24</c:v>
                </c:pt>
                <c:pt idx="1">
                  <c:v>2S24</c:v>
                </c:pt>
                <c:pt idx="2">
                  <c:v>1S25</c:v>
                </c:pt>
                <c:pt idx="3">
                  <c:v>2S25</c:v>
                </c:pt>
                <c:pt idx="4">
                  <c:v>1S26</c:v>
                </c:pt>
                <c:pt idx="5">
                  <c:v>2S26</c:v>
                </c:pt>
              </c:strCache>
            </c:strRef>
          </c:cat>
          <c:val>
            <c:numRef>
              <c:f>Hoja1!$B$2:$B$7</c:f>
              <c:numCache>
                <c:formatCode>0.0"%"</c:formatCode>
                <c:ptCount val="6"/>
                <c:pt idx="2">
                  <c:v>-12.1</c:v>
                </c:pt>
                <c:pt idx="3">
                  <c:v>-1.8</c:v>
                </c:pt>
                <c:pt idx="4">
                  <c:v>6.2</c:v>
                </c:pt>
                <c:pt idx="5">
                  <c:v>1.8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1S24</c:v>
                </c:pt>
                <c:pt idx="1">
                  <c:v>2S24</c:v>
                </c:pt>
                <c:pt idx="2">
                  <c:v>1S25</c:v>
                </c:pt>
                <c:pt idx="3">
                  <c:v>2S25</c:v>
                </c:pt>
                <c:pt idx="4">
                  <c:v>1S26</c:v>
                </c:pt>
                <c:pt idx="5">
                  <c:v>2S26</c:v>
                </c:pt>
              </c:strCache>
            </c:strRef>
          </c:cat>
          <c:val>
            <c:numRef>
              <c:f>Hoja1!$C$2:$C$7</c:f>
              <c:numCache>
                <c:formatCode>0.0"%"</c:formatCode>
                <c:ptCount val="6"/>
                <c:pt idx="2">
                  <c:v>-16.5</c:v>
                </c:pt>
                <c:pt idx="4">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32</c:v>
                </c:pt>
                <c:pt idx="1">
                  <c:v>37</c:v>
                </c:pt>
                <c:pt idx="2">
                  <c:v>34</c:v>
                </c:pt>
                <c:pt idx="3">
                  <c:v>35</c:v>
                </c:pt>
                <c:pt idx="4">
                  <c:v>26</c:v>
                </c:pt>
                <c:pt idx="5">
                  <c:v>28</c:v>
                </c:pt>
                <c:pt idx="6">
                  <c:v>30</c:v>
                </c:pt>
                <c:pt idx="7">
                  <c:v>37</c:v>
                </c:pt>
                <c:pt idx="8">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76</c:v>
                </c:pt>
                <c:pt idx="1">
                  <c:v>77</c:v>
                </c:pt>
                <c:pt idx="2">
                  <c:v>79</c:v>
                </c:pt>
                <c:pt idx="3">
                  <c:v>74</c:v>
                </c:pt>
                <c:pt idx="4">
                  <c:v>73</c:v>
                </c:pt>
                <c:pt idx="5">
                  <c:v>78</c:v>
                </c:pt>
                <c:pt idx="6">
                  <c:v>98</c:v>
                </c:pt>
                <c:pt idx="7">
                  <c:v>117</c:v>
                </c:pt>
                <c:pt idx="8">
                  <c:v>101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69</c:v>
                </c:pt>
                <c:pt idx="1">
                  <c:v>62</c:v>
                </c:pt>
                <c:pt idx="2">
                  <c:v>58</c:v>
                </c:pt>
                <c:pt idx="3">
                  <c:v>61</c:v>
                </c:pt>
                <c:pt idx="4">
                  <c:v>76</c:v>
                </c:pt>
                <c:pt idx="5">
                  <c:v>53</c:v>
                </c:pt>
                <c:pt idx="6">
                  <c:v>58</c:v>
                </c:pt>
                <c:pt idx="7">
                  <c:v>48</c:v>
                </c:pt>
                <c:pt idx="8">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71.3</c:v>
                </c:pt>
                <c:pt idx="1">
                  <c:v>107.80000000000001</c:v>
                </c:pt>
                <c:pt idx="2">
                  <c:v>86.6</c:v>
                </c:pt>
                <c:pt idx="3">
                  <c:v>225.50000000000003</c:v>
                </c:pt>
                <c:pt idx="4">
                  <c:v>337.8</c:v>
                </c:pt>
                <c:pt idx="5">
                  <c:v>93.5</c:v>
                </c:pt>
                <c:pt idx="6">
                  <c:v>125.3</c:v>
                </c:pt>
                <c:pt idx="7">
                  <c:v>-39.8</c:v>
                </c:pt>
                <c:pt idx="8">
                  <c:v>494.0999999999999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127.2</c:v>
                </c:pt>
                <c:pt idx="1">
                  <c:v>187.4</c:v>
                </c:pt>
                <c:pt idx="2">
                  <c:v>167.3</c:v>
                </c:pt>
                <c:pt idx="3">
                  <c:v>139.5</c:v>
                </c:pt>
                <c:pt idx="4">
                  <c:v>222.7</c:v>
                </c:pt>
                <c:pt idx="5">
                  <c:v>278.4</c:v>
                </c:pt>
                <c:pt idx="6">
                  <c:v>308.1</c:v>
                </c:pt>
                <c:pt idx="7">
                  <c:v>374.4</c:v>
                </c:pt>
                <c:pt idx="8">
                  <c:v>239.3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25.3</c:v>
                </c:pt>
                <c:pt idx="1">
                  <c:v>32.2</c:v>
                </c:pt>
                <c:pt idx="2">
                  <c:v>21.3</c:v>
                </c:pt>
                <c:pt idx="3">
                  <c:v>18</c:v>
                </c:pt>
                <c:pt idx="4">
                  <c:v>40.4</c:v>
                </c:pt>
                <c:pt idx="5">
                  <c:v>31.2</c:v>
                </c:pt>
                <c:pt idx="6">
                  <c:v>26.6</c:v>
                </c:pt>
                <c:pt idx="7">
                  <c:v>23.9</c:v>
                </c:pt>
                <c:pt idx="8">
                  <c:v>13.9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10</c:v>
                </c:pt>
                <c:pt idx="1">
                  <c:v>10</c:v>
                </c:pt>
                <c:pt idx="2">
                  <c:v>10</c:v>
                </c:pt>
                <c:pt idx="3">
                  <c:v>10</c:v>
                </c:pt>
                <c:pt idx="4">
                  <c:v>10</c:v>
                </c:pt>
                <c:pt idx="5">
                  <c:v>10</c:v>
                </c:pt>
                <c:pt idx="6">
                  <c:v>10</c:v>
                </c:pt>
                <c:pt idx="7">
                  <c:v>10</c:v>
                </c:pt>
                <c:pt idx="8">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21.5</c:v>
                </c:pt>
                <c:pt idx="1">
                  <c:v>27.5</c:v>
                </c:pt>
                <c:pt idx="2">
                  <c:v>20.1</c:v>
                </c:pt>
                <c:pt idx="3">
                  <c:v>14.8</c:v>
                </c:pt>
                <c:pt idx="4">
                  <c:v>20.5</c:v>
                </c:pt>
                <c:pt idx="5">
                  <c:v>22.1</c:v>
                </c:pt>
                <c:pt idx="6">
                  <c:v>20.9</c:v>
                </c:pt>
                <c:pt idx="7">
                  <c:v>21.3</c:v>
                </c:pt>
                <c:pt idx="8">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-0.78</c:v>
                </c:pt>
                <c:pt idx="1">
                  <c:v>-0.18</c:v>
                </c:pt>
                <c:pt idx="2">
                  <c:v>-0.4</c:v>
                </c:pt>
                <c:pt idx="3">
                  <c:v>-1.09</c:v>
                </c:pt>
                <c:pt idx="4">
                  <c:v>-1.34</c:v>
                </c:pt>
                <c:pt idx="5">
                  <c:v>-0.76</c:v>
                </c:pt>
                <c:pt idx="6">
                  <c:v>-0.57</c:v>
                </c:pt>
                <c:pt idx="7">
                  <c:v>-0.2</c:v>
                </c:pt>
                <c:pt idx="8">
                  <c:v>-0.82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Hasta feb-27 (&lt;1 año)</c:v>
                </c:pt>
                <c:pt idx="1">
                  <c:v>Mar-27 en adelante (&gt;1 año)</c:v>
                </c:pt>
              </c:strCache>
            </c:strRef>
          </c:cat>
          <c:val>
            <c:numRef>
              <c:f>Hoja1!$B$2:$B$3</c:f>
              <c:numCache>
                <c:formatCode>#,##0</c:formatCode>
                <c:ptCount val="2"/>
                <c:pt idx="0">
                  <c:v>104.4</c:v>
                </c:pt>
                <c:pt idx="1">
                  <c:v>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7.7</c:v>
                </c:pt>
                <c:pt idx="1">
                  <c:v>126.6</c:v>
                </c:pt>
                <c:pt idx="2">
                  <c:v>2.5</c:v>
                </c:pt>
                <c:pt idx="3">
                  <c:v>29</c:v>
                </c:pt>
                <c:pt idx="4">
                  <c:v>6.8</c:v>
                </c:pt>
                <c:pt idx="5">
                  <c:v>149.2</c:v>
                </c:pt>
                <c:pt idx="6">
                  <c:v>118.8</c:v>
                </c:pt>
                <c:pt idx="7">
                  <c:v>36.6</c:v>
                </c:pt>
                <c:pt idx="8">
                  <c:v>213.9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19.2</c:v>
                </c:pt>
                <c:pt idx="1">
                  <c:v>24.9</c:v>
                </c:pt>
                <c:pt idx="2">
                  <c:v>38.6</c:v>
                </c:pt>
                <c:pt idx="3">
                  <c:v>38.6</c:v>
                </c:pt>
                <c:pt idx="4">
                  <c:v>42.4</c:v>
                </c:pt>
                <c:pt idx="5">
                  <c:v>95.1</c:v>
                </c:pt>
                <c:pt idx="6">
                  <c:v>67.6</c:v>
                </c:pt>
                <c:pt idx="7">
                  <c:v>67.6</c:v>
                </c:pt>
                <c:pt idx="8">
                  <c:v>67.5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0</c:v>
                </c:pt>
                <c:pt idx="1">
                  <c:v>0</c:v>
                </c:pt>
                <c:pt idx="2">
                  <c:v>2.5</c:v>
                </c:pt>
                <c:pt idx="3">
                  <c:v>0.2</c:v>
                </c:pt>
                <c:pt idx="4">
                  <c:v>0</c:v>
                </c:pt>
                <c:pt idx="5">
                  <c:v>22.9</c:v>
                </c:pt>
                <c:pt idx="6">
                  <c:v>0</c:v>
                </c:pt>
                <c:pt idx="7">
                  <c:v>0.7</c:v>
                </c:pt>
                <c:pt idx="8">
                  <c:v>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3</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Concierto familiar Feuillet (François y Marie-Hélène Feuillet, Séverine Soummer-Feuillet, Alice Cavalier-Feuillet, SEVAL, PARSEV y ROMAX Participations)</c:v>
                </c:pt>
                <c:pt idx="1">
                  <c:v>François y Marie-Hélène Feuillet (directo y a través de SEVAL)</c:v>
                </c:pt>
                <c:pt idx="2">
                  <c:v>Séverine Soummer-Feuillet (PARSEV y nuda propiedad de SEVAL)</c:v>
                </c:pt>
                <c:pt idx="3">
                  <c:v>Alice Cavalier-Feuillet (ROMAX Participations y nuda propiedad de SEVAL)</c:v>
                </c:pt>
                <c:pt idx="4">
                  <c:v>Otros nominativos</c:v>
                </c:pt>
                <c:pt idx="5">
                  <c:v>Autocartera</c:v>
                </c:pt>
                <c:pt idx="6">
                  <c:v>Capital flotante</c:v>
                </c:pt>
              </c:strCache>
            </c:strRef>
          </c:cat>
          <c:val>
            <c:numRef>
              <c:f>Hoja1!$B$2:$B$8</c:f>
              <c:numCache>
                <c:formatCode>0.0"%"</c:formatCode>
                <c:ptCount val="7"/>
                <c:pt idx="0">
                  <c:v>57.87</c:v>
                </c:pt>
                <c:pt idx="1">
                  <c:v>27.87</c:v>
                </c:pt>
                <c:pt idx="2">
                  <c:v>15</c:v>
                </c:pt>
                <c:pt idx="3">
                  <c:v>15</c:v>
                </c:pt>
                <c:pt idx="4">
                  <c:v>1.3</c:v>
                </c:pt>
                <c:pt idx="5">
                  <c:v>0.24</c:v>
                </c:pt>
                <c:pt idx="6">
                  <c:v>40.6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33.9</c:v>
                </c:pt>
                <c:pt idx="1">
                  <c:v>98.2</c:v>
                </c:pt>
                <c:pt idx="2">
                  <c:v>-45.2</c:v>
                </c:pt>
                <c:pt idx="3">
                  <c:v>16.7</c:v>
                </c:pt>
                <c:pt idx="4">
                  <c:v>53.9</c:v>
                </c:pt>
                <c:pt idx="5">
                  <c:v>18.1</c:v>
                </c:pt>
                <c:pt idx="6">
                  <c:v>-25.4</c:v>
                </c:pt>
                <c:pt idx="7">
                  <c:v>16.2</c:v>
                </c:pt>
                <c:pt idx="8">
                  <c:v>-17.5</c:v>
                </c:pt>
                <c:pt idx="9">
                  <c:v>43.3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11.8</c:v>
                </c:pt>
                <c:pt idx="2">
                  <c:v>9.1</c:v>
                </c:pt>
                <c:pt idx="3">
                  <c:v>6.7</c:v>
                </c:pt>
                <c:pt idx="4">
                  <c:v>8.5</c:v>
                </c:pt>
                <c:pt idx="5">
                  <c:v>7.2</c:v>
                </c:pt>
                <c:pt idx="6">
                  <c:v>3.3</c:v>
                </c:pt>
                <c:pt idx="7">
                  <c:v>4.7</c:v>
                </c:pt>
                <c:pt idx="8">
                  <c:v>3.3</c:v>
                </c:pt>
                <c:pt idx="9">
                  <c:v>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6.7</c:v>
                </c:pt>
                <c:pt idx="1">
                  <c:v>6.7</c:v>
                </c:pt>
                <c:pt idx="2">
                  <c:v>6.7</c:v>
                </c:pt>
                <c:pt idx="3">
                  <c:v>6.7</c:v>
                </c:pt>
                <c:pt idx="4">
                  <c:v>6.7</c:v>
                </c:pt>
                <c:pt idx="5">
                  <c:v>6.7</c:v>
                </c:pt>
                <c:pt idx="6">
                  <c:v>6.7</c:v>
                </c:pt>
                <c:pt idx="7">
                  <c:v>6.7</c:v>
                </c:pt>
                <c:pt idx="8">
                  <c:v>6.7</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Trigano</c:v>
                </c:pt>
                <c:pt idx="1">
                  <c:v>Thor Industries</c:v>
                </c:pt>
                <c:pt idx="2">
                  <c:v>Winnebago Industries</c:v>
                </c:pt>
                <c:pt idx="3">
                  <c:v>LCI Industries</c:v>
                </c:pt>
                <c:pt idx="4">
                  <c:v>Patrick Industries</c:v>
                </c:pt>
                <c:pt idx="5">
                  <c:v>Dometic Group</c:v>
                </c:pt>
                <c:pt idx="6">
                  <c:v>Brunswick</c:v>
                </c:pt>
                <c:pt idx="7">
                  <c:v>Polaris</c:v>
                </c:pt>
              </c:strCache>
            </c:strRef>
          </c:cat>
          <c:val>
            <c:numRef>
              <c:f>Hoja1!$B$2:$B$9</c:f>
              <c:numCache>
                <c:formatCode>0.0"x"</c:formatCode>
                <c:ptCount val="8"/>
                <c:pt idx="0">
                  <c:v>4.1</c:v>
                </c:pt>
                <c:pt idx="1">
                  <c:v>6.6</c:v>
                </c:pt>
                <c:pt idx="2">
                  <c:v>7.2</c:v>
                </c:pt>
                <c:pt idx="3">
                  <c:v>6.1</c:v>
                </c:pt>
                <c:pt idx="4">
                  <c:v>7.5</c:v>
                </c:pt>
                <c:pt idx="5">
                  <c:v>5.4</c:v>
                </c:pt>
                <c:pt idx="6">
                  <c:v>7.6</c:v>
                </c:pt>
                <c:pt idx="7">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Trigano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3.4</c:v>
                </c:pt>
              </c:numCache>
            </c:numRef>
          </c:xVal>
          <c:yVal>
            <c:numRef>
              <c:f>Hoja1!$C$2</c:f>
              <c:numCache>
                <c:formatCode>0.0"x"</c:formatCode>
                <c:ptCount val="1"/>
                <c:pt idx="0">
                  <c:v>4.1</c:v>
                </c:pt>
              </c:numCache>
            </c:numRef>
          </c:yVal>
          <c:smooth val="0"/>
        </c:ser>
        <c:ser>
          <c:idx val="1"/>
          <c:order val="1"/>
          <c:tx>
            <c:strRef>
              <c:f>Hoja1!$A$3</c:f>
              <c:strCache>
                <c:ptCount val="1"/>
                <c:pt idx="0">
                  <c:v>Thor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c:v>
                </c:pt>
              </c:numCache>
            </c:numRef>
          </c:xVal>
          <c:yVal>
            <c:numRef>
              <c:f>Hoja1!$C$3</c:f>
              <c:numCache>
                <c:formatCode>0.0"x"</c:formatCode>
                <c:ptCount val="1"/>
                <c:pt idx="0">
                  <c:v>6.6</c:v>
                </c:pt>
              </c:numCache>
            </c:numRef>
          </c:yVal>
          <c:smooth val="0"/>
        </c:ser>
        <c:ser>
          <c:idx val="2"/>
          <c:order val="2"/>
          <c:tx>
            <c:strRef>
              <c:f>Hoja1!$A$4</c:f>
              <c:strCache>
                <c:ptCount val="1"/>
                <c:pt idx="0">
                  <c:v>Winnebago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c:v>
                </c:pt>
              </c:numCache>
            </c:numRef>
          </c:xVal>
          <c:yVal>
            <c:numRef>
              <c:f>Hoja1!$C$4</c:f>
              <c:numCache>
                <c:formatCode>0.0"x"</c:formatCode>
                <c:ptCount val="1"/>
                <c:pt idx="0">
                  <c:v>7.2</c:v>
                </c:pt>
              </c:numCache>
            </c:numRef>
          </c:yVal>
          <c:smooth val="0"/>
        </c:ser>
        <c:ser>
          <c:idx val="3"/>
          <c:order val="3"/>
          <c:tx>
            <c:strRef>
              <c:f>Hoja1!$A$5</c:f>
              <c:strCache>
                <c:ptCount val="1"/>
                <c:pt idx="0">
                  <c:v>LCI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2.9</c:v>
                </c:pt>
              </c:numCache>
            </c:numRef>
          </c:xVal>
          <c:yVal>
            <c:numRef>
              <c:f>Hoja1!$C$5</c:f>
              <c:numCache>
                <c:formatCode>0.0"x"</c:formatCode>
                <c:ptCount val="1"/>
                <c:pt idx="0">
                  <c:v>6.1</c:v>
                </c:pt>
              </c:numCache>
            </c:numRef>
          </c:yVal>
          <c:smooth val="0"/>
        </c:ser>
        <c:ser>
          <c:idx val="4"/>
          <c:order val="4"/>
          <c:tx>
            <c:strRef>
              <c:f>Hoja1!$A$6</c:f>
              <c:strCache>
                <c:ptCount val="1"/>
                <c:pt idx="0">
                  <c:v>Patrick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c:v>
                </c:pt>
              </c:numCache>
            </c:numRef>
          </c:xVal>
          <c:yVal>
            <c:numRef>
              <c:f>Hoja1!$C$6</c:f>
              <c:numCache>
                <c:formatCode>0.0"x"</c:formatCode>
                <c:ptCount val="1"/>
                <c:pt idx="0">
                  <c:v>7.5</c:v>
                </c:pt>
              </c:numCache>
            </c:numRef>
          </c:yVal>
          <c:smooth val="0"/>
        </c:ser>
        <c:ser>
          <c:idx val="5"/>
          <c:order val="5"/>
          <c:tx>
            <c:strRef>
              <c:f>Hoja1!$A$7</c:f>
              <c:strCache>
                <c:ptCount val="1"/>
                <c:pt idx="0">
                  <c:v>Dometic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3.7</c:v>
                </c:pt>
              </c:numCache>
            </c:numRef>
          </c:xVal>
          <c:yVal>
            <c:numRef>
              <c:f>Hoja1!$C$7</c:f>
              <c:numCache>
                <c:formatCode>0.0"x"</c:formatCode>
                <c:ptCount val="1"/>
                <c:pt idx="0">
                  <c:v>5.4</c:v>
                </c:pt>
              </c:numCache>
            </c:numRef>
          </c:yVal>
          <c:smooth val="0"/>
        </c:ser>
        <c:ser>
          <c:idx val="6"/>
          <c:order val="6"/>
          <c:tx>
            <c:strRef>
              <c:f>Hoja1!$A$8</c:f>
              <c:strCache>
                <c:ptCount val="1"/>
                <c:pt idx="0">
                  <c:v>Brunswick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6.1</c:v>
                </c:pt>
              </c:numCache>
            </c:numRef>
          </c:xVal>
          <c:yVal>
            <c:numRef>
              <c:f>Hoja1!$C$8</c:f>
              <c:numCache>
                <c:formatCode>0.0"x"</c:formatCode>
                <c:ptCount val="1"/>
                <c:pt idx="0">
                  <c:v>7.6</c:v>
                </c:pt>
              </c:numCache>
            </c:numRef>
          </c:yVal>
          <c:smooth val="0"/>
        </c:ser>
        <c:ser>
          <c:idx val="7"/>
          <c:order val="7"/>
          <c:tx>
            <c:strRef>
              <c:f>Hoja1!$A$9</c:f>
              <c:strCache>
                <c:ptCount val="1"/>
                <c:pt idx="0">
                  <c:v>Polaris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7.2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Erwin Hymer Group (Alemania; autocaravanas y caravanas)</c:v>
                </c:pt>
                <c:pt idx="1">
                  <c:v>Newmar Corporation (EE. UU.; autocaravanas clase A y Super C)</c:v>
                </c:pt>
                <c:pt idx="2">
                  <c:v>Tiffin Group (EE. UU.; autocaravanas de lujo)</c:v>
                </c:pt>
                <c:pt idx="3">
                  <c:v>Barletta Pontoon Boats (EE. UU.; embarcaciones pontón)</c:v>
                </c:pt>
                <c:pt idx="4">
                  <c:v>Airxcel (EE. UU.; componentes y accesorios para vehículos de ocio)</c:v>
                </c:pt>
                <c:pt idx="5">
                  <c:v>Igloo Products (EE. UU.; neveras portátiles)</c:v>
                </c:pt>
                <c:pt idx="6">
                  <c:v>BIO Habitat y BIO Habitat Italia (residencias móviles; división Habitat de Bénéteau)</c:v>
                </c:pt>
              </c:strCache>
            </c:strRef>
          </c:cat>
          <c:val>
            <c:numRef>
              <c:f>Hoja1!$B$2:$B$8</c:f>
              <c:numCache>
                <c:formatCode>0.0"x"</c:formatCode>
                <c:ptCount val="7"/>
                <c:pt idx="1">
                  <c:v>6.2</c:v>
                </c:pt>
                <c:pt idx="3">
                  <c:v>9.7</c:v>
                </c:pt>
                <c:pt idx="4">
                  <c:v>7.6</c:v>
                </c:pt>
                <c:pt idx="5">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241</c:v>
                </c:pt>
                <c:pt idx="1">
                  <c:v>248</c:v>
                </c:pt>
                <c:pt idx="2">
                  <c:v>245</c:v>
                </c:pt>
                <c:pt idx="3">
                  <c:v>255</c:v>
                </c:pt>
                <c:pt idx="4">
                  <c:v>268</c:v>
                </c:pt>
                <c:pt idx="5">
                  <c:v>280</c:v>
                </c:pt>
                <c:pt idx="6">
                  <c:v>292</c:v>
                </c:pt>
                <c:pt idx="7">
                  <c:v>302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1347</c:v>
                </c:pt>
                <c:pt idx="1">
                  <c:v>2009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125,30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113.18</c:v>
                </c:pt>
                <c:pt idx="1">
                  <c:v>197.79</c:v>
                </c:pt>
                <c:pt idx="2">
                  <c:v>227.06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125,30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Hoja1!$B$2:$B$10</c:f>
              <c:numCache>
                <c:formatCode>#,##0</c:formatCode>
                <c:ptCount val="9"/>
                <c:pt idx="0">
                  <c:v>123.7</c:v>
                </c:pt>
                <c:pt idx="1">
                  <c:v>160</c:v>
                </c:pt>
                <c:pt idx="2">
                  <c:v>184.02</c:v>
                </c:pt>
                <c:pt idx="3">
                  <c:v>164.92</c:v>
                </c:pt>
                <c:pt idx="4">
                  <c:v>174.56</c:v>
                </c:pt>
                <c:pt idx="5">
                  <c:v>181.54</c:v>
                </c:pt>
                <c:pt idx="6">
                  <c:v>113.18</c:v>
                </c:pt>
                <c:pt idx="7">
                  <c:v>220.82</c:v>
                </c:pt>
                <c:pt idx="8">
                  <c:v>124.67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Hoja1!$C$2:$C$10</c:f>
              <c:numCache>
                <c:formatCode>#,##0</c:formatCode>
                <c:ptCount val="9"/>
                <c:pt idx="0">
                  <c:v>55.10000000000001</c:v>
                </c:pt>
                <c:pt idx="1">
                  <c:v>40</c:v>
                </c:pt>
                <c:pt idx="2">
                  <c:v>25.819999999999993</c:v>
                </c:pt>
                <c:pt idx="3">
                  <c:v>66.13000000000002</c:v>
                </c:pt>
                <c:pt idx="4">
                  <c:v>39.16999999999999</c:v>
                </c:pt>
                <c:pt idx="5">
                  <c:v>37.07000000000002</c:v>
                </c:pt>
                <c:pt idx="6">
                  <c:v>113.88</c:v>
                </c:pt>
                <c:pt idx="7">
                  <c:v>33.05000000000001</c:v>
                </c:pt>
                <c:pt idx="8">
                  <c:v>1.2600000000000051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