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ATOSS Software SE</w:t>
      </w:r>
    </w:p>
    <w:p>
      <w:pPr>
        <w:spacing w:after="60"/>
        <w:rPr>
          <w:color w:val="52514E"/>
          <w:sz w:val="22"/>
          <w:szCs w:val="22"/>
        </w:rPr>
      </w:pPr>
      <w:r>
        <w:rPr>
          <w:color w:val="52514E"/>
          <w:sz w:val="22"/>
          <w:szCs w:val="22"/>
        </w:rPr>
        <w:t xml:space="preserve">AOF · Xetra / Börse Frankfurt (Prime Standard) · ISIN DE0005104400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87,30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80,89 EUR · mercado 94,95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-4,7 % · mercado +11,4 %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1.389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14,3x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ATOSS Software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AOF / DE0005104400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 Börse Frankfurt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 (también TecDAX)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Múnich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www.atoss.com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87,30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65,00 – 124,00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 M EUR/día (19.870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80,89 EUR</w:t>
      </w:r>
      <w:r>
        <w:t xml:space="preserve"> frente a 87,30 · con la prima implícita del mercado: 94,95 (+8,8 %) · Rentabilidad total esperada a 12 meses </w:t>
      </w:r>
      <w:r>
        <w:rPr>
          <w:b/>
          <w:bCs/>
        </w:rPr>
        <w:t xml:space="preserve">-4,7 %</w:t>
      </w:r>
      <w:r>
        <w:t xml:space="preserve"> · Alcista / bajista +11,3 % / -38,0 %</w:t>
      </w:r>
    </w:p>
    <w:p>
      <w:pPr>
        <w:spacing w:after="100"/>
      </w:pPr>
      <w:r>
        <w:rPr>
          <w:b/>
        </w:rPr>
        <w:t xml:space="preserve">La recomendación y por qué.</w:t>
      </w:r>
      <w:r>
        <w:t xml:space="preserve"> Mantener, con convicción baja. El valor objetivo es de 80,89 EUR, un 7,3 % por debajo del precio de 87,30 EUR; con el dividendo del 2,6 %, la rentabilidad total esperada a doce meses es del −4,7 % y el alcista (+11,3 %) no compensa el bajista (−38,0 %): asimetría de 0,30 veces. Con la prima de riesgo del mercado (4,2 %), el valor sería de 94,95 EUR (+11,4 % con dividendo). Las reglas discrepan (Vender con nuestro WACC, Mantener con el del mercado) por la tasa de descuento, no por las cifras, que coinciden con el consenso: por eso la convicción es baja. La subiría un precio por debajo de 79,19 EUR o un 3T26 (23-oct) con la cartera de nube creciendo por encima del 25 %; la bajaría una retención neta por debajo del 110 %.</w:t>
      </w:r>
    </w:p>
    <w:p>
      <w:pPr>
        <w:spacing w:after="100"/>
      </w:pPr>
      <w:r>
        <w:rPr>
          <w:b/>
        </w:rPr>
        <w:t xml:space="preserve">El negocio.</w:t>
      </w:r>
      <w:r>
        <w:t xml:space="preserve"> ATOSS vende software de turnos y jornada a unos 21.100 clientes, el 85 % en Alemania, con el 72 % de las ventas recurrente y un margen EBIT del 36 %, frente al 26,1 % de SAP [1, 9, 25]. No necesita capital: ROIC del 553,7 % frente a un WACC del 9,81 %. </w:t>
      </w:r>
      <w:r>
        <w:rPr>
          <w:b/>
        </w:rPr>
        <w:t xml:space="preserve">La calidad sostiene el crecimiento que proyectamos (veredicto: Sí)</w:t>
      </w:r>
      <w:r>
        <w:t xml:space="preserve">: el 9,3 % anual del caso base es menos que el 16,1 % de 2016-2025, no exige ganar cuota (6,5 % hoy, 6,4 % en 2030e) y lo respalda una cartera de nube que crece al 25 % [9]. El foso es estrecho: las bajas de la nube subieron al 3,2 % y la retención neta bajó al 113 % en 2025 [1].</w:t>
      </w:r>
    </w:p>
    <w:p>
      <w:pPr>
        <w:spacing w:after="100"/>
      </w:pPr>
      <w:r>
        <w:rPr>
          <w:b/>
        </w:rPr>
        <w:t xml:space="preserve">Finanzas.</w:t>
      </w:r>
      <w:r>
        <w:t xml:space="preserve"> Caja neta de 116 M EUR y una conversión del beneficio en caja del 110 % en diez años. El flujo libre de los últimos doce meses está inflado por el calendario fiscal (4,6 M de impuestos pagados en el 1S26 frente a 23,3 M un año antes) [9]. Las comisiones activadas crecieron un 56 % en 2025, hasta 11,4 M; en el DCF van como inversión [1].</w:t>
      </w:r>
    </w:p>
    <w:p>
      <w:pPr>
        <w:spacing w:after="100"/>
      </w:pPr>
      <w:r>
        <w:rPr>
          <w:b/>
        </w:rPr>
        <w:t xml:space="preserve">Equipo y gobierno.</w:t>
      </w:r>
      <w:r>
        <w:t xml:space="preserve"> Resta algo. El fundador (23,9 %) y General Atlantic (21,6 %) controlan de hecho la junta, y la mayoría del capital libre votó contra la remuneración en 2025 y 2026, cuyo variable a largo plazo no mide rentabilidad ni caja [31, 32]. El 1-ene-2027 el COO Krishnamoorthy sustituye a Obereder, que pasa al Aufsichtsrat [37]. A favor: Obereder compró 28,6 M EUR en bolsa entre nov-2025 y feb-2026 [38, 39, 40, 41, 42, 43, 44, 45, 46, 47, 48].</w:t>
      </w:r>
    </w:p>
    <w:p>
      <w:pPr>
        <w:spacing w:after="100"/>
      </w:pPr>
      <w:r>
        <w:rPr>
          <w:b/>
        </w:rPr>
        <w:t xml:space="preserve">Valoración.</w:t>
      </w:r>
      <w:r>
        <w:t xml:space="preserve"> El DCF da 80,58 EUR; los comparables, 76,23 EUR por EV/EBITDA y 90,61 EUR por PER; las transacciones, 93,04 EUR. </w:t>
      </w:r>
      <w:r>
        <w:rPr>
          <w:b/>
        </w:rPr>
        <w:t xml:space="preserve">El DCF inverso dice que el precio descuenta un crecimiento del 10,3 % anual en 2027e-2035e, frente al 8,9 % de nuestro caso base</w:t>
      </w:r>
      <w:r>
        <w:t xml:space="preserve">, y una rentabilidad implícita del 9,2 %, entre nuestro WACC (9,81 %) y el del mercado (8,44 %). Cotiza a 14,3 veces el EBITDA de los próximos doce meses (comparables: 12,4x) y a 16,3 veces el pasado, un 36 % por debajo de su media de diez años, inflada por los tipos cero.</w:t>
      </w:r>
    </w:p>
    <w:p>
      <w:pPr>
        <w:spacing w:after="100"/>
      </w:pPr>
      <w:r>
        <w:rPr>
          <w:b/>
        </w:rPr>
        <w:t xml:space="preserve">Riesgos y catalizadores.</w:t>
      </w:r>
      <w:r>
        <w:t xml:space="preserve"> El riesgo dominante es que la IA y las suites de RR. HH. frenen las altas: es el bajista (−38,0 %) y explica la caída de 124 a 65 EUR entre enero y junio [63]. Le siguen un crecimiento 2 puntos menor por la economía alemana (−11 %) y la posible venta de General Atlantic cuando venza su restricción, a mediados de 2027. Catalizadores: el 3T26 (23-oct) y la guía de 2027 a finales de enero. En los foros domina el miedo a la IA y se especula con una opa, que exigiría el acuerdo de los dos grandes accionistas [84, 87].</w:t>
      </w:r>
    </w:p>
    <w:p>
      <w:pPr>
        <w:spacing w:after="100"/>
      </w:pPr>
      <w:r>
        <w:rPr>
          <w:b/>
        </w:rPr>
        <w:t xml:space="preserve">Qué cambiaría la decisión.</w:t>
      </w:r>
      <w:r>
        <w:t xml:space="preserve"> Compraríamos por debajo de 79,19 EUR y venderíamos por encima de 101,11 EUR. Pasaríamos a Comprar si la cartera de nube crece más del 25 % y la retención neta vuelve al 116 %; a Vender, si la guía de 2027 baja de 235 M EUR o la retención cae por debajo del 110 %.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80,89 EUR</w:t>
      </w:r>
      <w:r>
        <w:t xml:space="preserve"> (-7,3 % sobre 87,30; rentabilidad total esperada -4,7 %) · con la prima implícita del mercado: 94,95 (+8,8 %)</w:t>
      </w:r>
    </w:p>
    <w:p>
      <w:pPr>
        <w:spacing w:after="100"/>
      </w:pPr>
      <w:r>
        <w:t xml:space="preserve">ATOSS es el especialista alemán en gestión de personal por turnos: planifica la jornada de cajeros, enfermeras o tripulaciones de unos 21.100 clientes como ALDI SÜD, Deutsche Bahn o Lufthansa [1]. Ha crecido un 16,1 % anual en diez años sin una sola compra, con un margen EBIT del 36 %, sin deuda y repartiendo el 75 % del beneficio [1]. La nube ya es el 54 % de las ventas y lo recurrente, el 72 % [9].</w:t>
      </w:r>
    </w:p>
    <w:p>
      <w:pPr>
        <w:spacing w:after="100"/>
      </w:pPr>
      <w:r>
        <w:t xml:space="preserve">El precio, 87,30 EUR, descuenta un crecimiento anual del 10,3 % hasta 2035, frente al 8,9 % de nuestro caso base, y una rentabilidad implícita del 9,2 %. Cotiza a 14,3 veces el EBITDA de los próximos doce meses y 23,7 veces el beneficio, con prima frente a los comparables en EV/EBITDA (12,4x); sobre el EBITDA pasado (16,3x), un 36 % por debajo de su media de diez años [58, 76, 77, 78, 79, 80, 81, 82, 83].</w:t>
      </w:r>
    </w:p>
    <w:p>
      <w:pPr>
        <w:spacing w:after="100"/>
      </w:pPr>
      <w:r>
        <w:t xml:space="preserve">El mercado acierta, en nuestra opinión, al no pagar ya los múltiplos de 2020-2021: el crecimiento se ha moderado al 11-13 % y la retención empeora, mientras la IA abre una duda real sobre el número de altas futuras [1, 9]. Pero tampoco hay que creer en algo extraordinario para mantenerla: basta con que cumpla la guía de 2027 (235-245 M EUR, margen EBIT del 35 %) y que la nube siga por encima del 20 % [10]. Para comprar habría que creer que la IA eleva el precio por empleado, algo que todavía no se ve en las cifras.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-38,0 %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9,8 %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frente a 11,9 %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(9,3 %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79,19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79,19 y 101,11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101,11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79,19 EUR sin cambios en las cifras, pasaríamos a Comprar.</w:t>
      </w:r>
    </w:p>
    <w:p>
      <w:pPr>
        <w:pStyle w:val="ListParagraph"/>
        <w:numPr>
          <w:ilvl w:val="0"/>
          <w:numId w:val="2"/>
        </w:numPr>
        <w:spacing w:after="60"/>
      </w:pPr>
      <w:r>
        <w:t xml:space="preserve">Si la cartera de nube a doce meses crece más del 25 % interanual en el 3T26 y el 4T26 y la retención neta de 2026 vuelve al 116 %, pasaríamos a Comprar.</w:t>
      </w:r>
    </w:p>
    <w:p>
      <w:pPr>
        <w:pStyle w:val="ListParagraph"/>
        <w:numPr>
          <w:ilvl w:val="0"/>
          <w:numId w:val="2"/>
        </w:numPr>
        <w:spacing w:after="60"/>
      </w:pPr>
      <w:r>
        <w:t xml:space="preserve">Si la guía de 2027 baja de 235 M EUR de ventas o del 35 % de margen EBIT a finales de enero, pasaríamos a Vender.</w:t>
      </w:r>
    </w:p>
    <w:p>
      <w:pPr>
        <w:pStyle w:val="ListParagraph"/>
        <w:numPr>
          <w:ilvl w:val="0"/>
          <w:numId w:val="2"/>
        </w:numPr>
        <w:spacing w:after="60"/>
      </w:pPr>
      <w:r>
        <w:t xml:space="preserve">Si la retención neta de 2026 cae por debajo del 110 % o las bajas de la nube superan el 4 %, pasaríamos a Vender.</w:t>
      </w:r>
    </w:p>
    <w:p>
      <w:pPr>
        <w:pStyle w:val="ListParagraph"/>
        <w:numPr>
          <w:ilvl w:val="0"/>
          <w:numId w:val="2"/>
        </w:numPr>
        <w:spacing w:after="60"/>
      </w:pPr>
      <w:r>
        <w:t xml:space="preserve">Si el precio supera 101,11 EUR sin mejora de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anual del 10,3 % durante nueve años con nuestro margen (39,5 %), o un margen del 42,9 % con nuestro crecimiento; es decir, que ATOSS sigue ganando terreno pese a la IA y a las suites de RR. HH. Los analistas van más lejos: precio objetivo medio de 120,78 EUR y consenso de 275,5 M EUR de ventas en 2028e [58, 59].</w:t>
      </w:r>
    </w:p>
    <w:p>
      <w:pPr>
        <w:keepNext/>
        <w:spacing w:after="100"/>
      </w:pPr>
      <w:r>
        <w:rPr>
          <w:b/>
          <w:bCs/>
        </w:rPr>
        <w:t xml:space="preserve">Lo que creemos nosotros.</w:t>
      </w:r>
    </w:p>
    <w:p>
      <w:pPr>
        <w:spacing w:after="100"/>
      </w:pPr>
      <w:r>
        <w:t xml:space="preserve">Un crecimiento del 12-12,5 % hasta 2028 y una moderación hasta el 5 % en 2035e, con un margen EBITDA del 39,5 %: unas cifras un 1-3 % por debajo del consenso que, con un WACC del 9,81 %, valen 80,58 EUR. No vemos un error del mercado, sino un precio que ya recoge un buen escenario.</w:t>
      </w:r>
    </w:p>
    <w:p>
      <w:pPr>
        <w:keepNext/>
        <w:spacing w:after="100"/>
      </w:pPr>
      <w:r>
        <w:rPr>
          <w:b/>
          <w:bCs/>
        </w:rPr>
        <w:t xml:space="preserve">Por qué podemos tener razón.</w:t>
      </w:r>
    </w:p>
    <w:p>
      <w:pPr>
        <w:spacing w:after="100"/>
      </w:pPr>
      <w:r>
        <w:t xml:space="preserve">La diferencia es pequeña y la explica sobre todo la tasa de descuento: con la prima de riesgo del mercado (4,2 %), nuestras cifras valen 98,51 EUR. Donde sí discrepamos es en la confianza en el volumen: las bajas de la nube (3,2 %) y la retención neta (113 %) empeoraron en 2025, y las comisiones activadas crecen cinco veces más deprisa que las ventas, es decir, captar clientes cuesta cada vez más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Negocio recurrente y visible</w:t>
      </w:r>
      <w:r>
        <w:t xml:space="preserve">: el 72 % de las ventas es recurrente y la cartera de nube a doce meses crece al 25 % (120,7 M EUR) [9].</w:t>
      </w:r>
    </w:p>
    <w:p>
      <w:pPr>
        <w:pStyle w:val="ListParagraph"/>
        <w:numPr>
          <w:ilvl w:val="0"/>
          <w:numId w:val="2"/>
        </w:numPr>
        <w:spacing w:after="60"/>
      </w:pPr>
      <w:r>
        <w:rPr>
          <w:b/>
        </w:rPr>
        <w:t xml:space="preserve">Márgenes de élite sin capital</w:t>
      </w:r>
      <w:r>
        <w:t xml:space="preserve">: margen EBIT del 36 % y ROIC del 553,7 %, sin deuda y con 116 M EUR de caja neta [1].</w:t>
      </w:r>
    </w:p>
    <w:p>
      <w:pPr>
        <w:pStyle w:val="ListParagraph"/>
        <w:numPr>
          <w:ilvl w:val="0"/>
          <w:numId w:val="2"/>
        </w:numPr>
        <w:spacing w:after="60"/>
      </w:pPr>
      <w:r>
        <w:rPr>
          <w:b/>
        </w:rPr>
        <w:t xml:space="preserve">Dirección que cumple</w:t>
      </w:r>
      <w:r>
        <w:t xml:space="preserve">: la guía de margen se ha batido entre 2 y 7 puntos cada año desde 2022 [1].</w:t>
      </w:r>
    </w:p>
    <w:p>
      <w:pPr>
        <w:pStyle w:val="ListParagraph"/>
        <w:numPr>
          <w:ilvl w:val="0"/>
          <w:numId w:val="2"/>
        </w:numPr>
        <w:spacing w:after="60"/>
      </w:pPr>
      <w:r>
        <w:rPr>
          <w:b/>
        </w:rPr>
        <w:t xml:space="preserve">El fundador compra</w:t>
      </w:r>
      <w:r>
        <w:t xml:space="preserve">: 28,6 M EUR en bolsa entre nov-2025 y feb-2026, a 81-114 EUR por acción [38, 39, 40, 41, 42, 43, 44, 45, 46, 47, 48].</w:t>
      </w:r>
    </w:p>
    <w:p>
      <w:pPr>
        <w:pStyle w:val="ListParagraph"/>
        <w:numPr>
          <w:ilvl w:val="0"/>
          <w:numId w:val="2"/>
        </w:numPr>
        <w:spacing w:after="60"/>
      </w:pPr>
      <w:r>
        <w:rPr>
          <w:b/>
        </w:rPr>
        <w:t xml:space="preserve">Valoración ya comprimida</w:t>
      </w:r>
      <w:r>
        <w:t xml:space="preserve">: EV/EBITDA de 16,3x, en el percentil 20 de su historia de diez años.</w:t>
      </w:r>
    </w:p>
    <w:p>
      <w:pPr>
        <w:pStyle w:val="Heading2"/>
      </w:pPr>
      <w:r>
        <w:t xml:space="preserve">En contra</w:t>
      </w:r>
    </w:p>
    <w:p>
      <w:pPr>
        <w:pStyle w:val="ListParagraph"/>
        <w:numPr>
          <w:ilvl w:val="0"/>
          <w:numId w:val="2"/>
        </w:numPr>
        <w:spacing w:after="60"/>
      </w:pPr>
      <w:r>
        <w:rPr>
          <w:b/>
        </w:rPr>
        <w:t xml:space="preserve">Rentabilidad negativa con nuestro WACC</w:t>
      </w:r>
      <w:r>
        <w:t xml:space="preserve">: valor objetivo de 80,89 EUR, un 7,3 % por debajo del precio, y asimetría de 0,30 veces.</w:t>
      </w:r>
    </w:p>
    <w:p>
      <w:pPr>
        <w:pStyle w:val="ListParagraph"/>
        <w:numPr>
          <w:ilvl w:val="0"/>
          <w:numId w:val="2"/>
        </w:numPr>
        <w:spacing w:after="60"/>
      </w:pPr>
      <w:r>
        <w:rPr>
          <w:b/>
        </w:rPr>
        <w:t xml:space="preserve">El precio pide más crecimiento que nosotros</w:t>
      </w:r>
      <w:r>
        <w:t xml:space="preserve">: 10,3 % anual frente al 8,9 % del caso base.</w:t>
      </w:r>
    </w:p>
    <w:p>
      <w:pPr>
        <w:pStyle w:val="ListParagraph"/>
        <w:numPr>
          <w:ilvl w:val="0"/>
          <w:numId w:val="2"/>
        </w:numPr>
        <w:spacing w:after="60"/>
      </w:pPr>
      <w:r>
        <w:rPr>
          <w:b/>
        </w:rPr>
        <w:t xml:space="preserve">Retención a la baja</w:t>
      </w:r>
      <w:r>
        <w:t xml:space="preserve">: bajas de la nube del 3,2 % (objetivo &lt; 2 %) y retención neta del 113 % (116 % en 2024) [1].</w:t>
      </w:r>
    </w:p>
    <w:p>
      <w:pPr>
        <w:pStyle w:val="ListParagraph"/>
        <w:numPr>
          <w:ilvl w:val="0"/>
          <w:numId w:val="2"/>
        </w:numPr>
        <w:spacing w:after="60"/>
      </w:pPr>
      <w:r>
        <w:rPr>
          <w:b/>
        </w:rPr>
        <w:t xml:space="preserve">Concentración</w:t>
      </w:r>
      <w:r>
        <w:t xml:space="preserve">: el 84,5 % de las ventas en Alemania, con un PIB que creció un 0,2 % en 2025 [1].</w:t>
      </w:r>
    </w:p>
    <w:p>
      <w:pPr>
        <w:pStyle w:val="ListParagraph"/>
        <w:numPr>
          <w:ilvl w:val="0"/>
          <w:numId w:val="2"/>
        </w:numPr>
        <w:spacing w:after="60"/>
      </w:pPr>
      <w:r>
        <w:rPr>
          <w:b/>
        </w:rPr>
        <w:t xml:space="preserve">Gobierno mejorable</w:t>
      </w:r>
      <w:r>
        <w:t xml:space="preserve">: la mayoría del capital libre votó en contra de la remuneración en 2025 y 2026 [32].</w:t>
      </w:r>
    </w:p>
    <w:p>
      <w:pPr>
        <w:pStyle w:val="ListParagraph"/>
        <w:numPr>
          <w:ilvl w:val="0"/>
          <w:numId w:val="2"/>
        </w:numPr>
        <w:spacing w:after="60"/>
      </w:pPr>
      <w:r>
        <w:rPr>
          <w:b/>
        </w:rPr>
        <w:t xml:space="preserve">Relevo y papel</w:t>
      </w:r>
      <w:r>
        <w:t xml:space="preserve">: nuevo CEO el 1-ene-2027 y vencimiento de la restricción de venta de General Atlantic (21,6 %) a mediados de 2027 [1, 37].</w:t>
      </w:r>
    </w:p>
    <w:p>
      <w:pPr>
        <w:pStyle w:val="Heading2"/>
      </w:pPr>
      <w:r>
        <w:t xml:space="preserve">Qué tiene que pasar para que la tesis funcione</w:t>
      </w:r>
    </w:p>
    <w:p>
      <w:pPr>
        <w:spacing w:after="100"/>
      </w:pPr>
      <w:r>
        <w:t xml:space="preserve">La tesis depende de que los clientes no se vayan a las suites ni a la IA de otros: la cartera de nube debe seguir creciendo por encima del 20 % y la retención neta por encima del 110 %. La señal de que no se cumple sería un New ACV plano dos trimestres seguidos, como el del 1T26, junto con una subida de las bajas de la nube por encima del 4 % en el informe anual de 2026 [1, 13].</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nube a doce meses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(120,7 M EUR,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nube del año siguiente [9].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de ingresos (NRR)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clientes actuales gastan más o se van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bajas de la nube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la amenaza de la IA y las suites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2 EUR por acción [9].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las 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descuenta un 10,3 % anual [9].</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16,3x / 14,3x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27,2x / 23,7x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ATOSS nace en Múnich en 1987, fundada por Andreas Obereder, que la sigue dirigiendo 38 años después [1, 17]. Sale a bolsa en Fráncfort el 21 de marzo de 2000 a 7,50 EUR por acción y sobrevive a la burbuja puntocom: solo una cuarta parte de las 142 salidas a bolsa de 2000 sigue cotizando [1]. En 2015 sus tres suites (ASES, ASE y ATC) pasan a ofrecerse en la nube y en 2016 crea ATOSS Aloud para desarrollar Crewmeister, producto en la nube para pymes [1]. En junio de 2023 General Atlantic compra en torno al 20 % al holding del fundador [17]; en septiembre de 2024 ambos colocan un 6,81 % a 120 EUR para ampliar el flotante y General Atlantic queda con el 21,58 % [18]. En 2025 encadena su vigésimo año récord, con el 49 % de las ventas ya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Andreas Obereder funda ATOSS en Múnich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Fráncfort el 21 de marzo a 7,50 EUR por acción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tres suites (ATOSS Staff Efficiency Suite, Startup Edition y Time Control) pasan a ofrecerse en la nube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 ATOSS Aloud GmbH para desarrollar Crewmeister, solución en la nube para pymes y departamentos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Atlantic compra en torno al 20 % al holding del fundador (AOB Invest), con opción sobre otro 5 %; ATOSS tenía unos 15.000 clientes en más de 50 países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Colocación acelerada de 1.083.334 acciones (6,81 %) a 120 EUR por AOB Invest y General Atlantic: el fundador queda con el 21,59 % y General Atlantic con el 21,58 % [18]. Ampliación con cargo a reservas y emisión de acciones gratuitas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Vigésimo año récord seguido: ventas de 189,3 M EUR (+11 %), nube del 49 % de las ventas, unos 21.100 clientes y filial nueva en Gurugram (India)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nube llega al 54 % de las ventas y lo recurrente al 72 % en el 1S26; ventas de 103,2 M EUR (+12 %)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ATOSS vende software y consultoría de gestión de plantillas (workforce management) a empresas: control de presencia y tiempos, planificación de turnos y personal según la demanda, y planificación estratégica de capacidad [1]. Tiene cuatro productos: ATOSS Staff Efficiency Suite (ASES) para empresas grandes y complejas, ATOSS Startup Edition (ASE) y ATOSS Time Control (ATC) para medianas, y Crewmeister para pymes y departamentos, todos disponibles en la nube o instalados en el cliente [1]. Vende sobre todo de forma directa, organizada por sectores (comercio, logística, sanidad e industria) [1]. Entre sus clientes figuran ALDI SÜD, Deutsche Bahn, Douglas, Edeka, Lufthansa, el Ayuntamiento de Múnich, el LMU Klinikum, OBI, el Hospital Universitario de Fráncfort y W.L. Gore [1]. Tiene sede en Múnich, oficinas en seis ciudades alemanas y en Bruselas, París, Estocolmo y Utrecht, y filiales en Austria, Suiza, Rumanía (desarrollo) e India [1]. El 85 % de las ventas de 2025 se hizo en Alemania [1].</w:t>
      </w:r>
    </w:p>
    <w:p>
      <w:pPr>
        <w:pStyle w:val="Heading2"/>
      </w:pPr>
      <w:r>
        <w:t xml:space="preserve">Cómo gana dinero</w:t>
      </w:r>
    </w:p>
    <w:p>
      <w:pPr>
        <w:spacing w:after="100"/>
      </w:pPr>
      <w:r>
        <w:t xml:space="preserve">En 2025, el 70 % de las ventas fue recurrente: nube y suscripciones 92,7 M EUR (49 %, +28 %) y mantenimiento 39,2 M EUR (21 %, +1 %) [1]. Las licencias, que se cobran una vez, caen al 5 % (8,8 M, −35 %) porque los clientes migran a la nube, y la consultoría aporta el 21 % (39,6 M) [1]. En el 1S26 la nube ya pesa el 54 % y lo recurrente el 72 % [9]. La I+D, unos 28,6 M EUR (15 % de las ventas), se lleva entera a gastos, sin activar [1]. El margen depende sobre todo del coste de personal y de la mezcla: la nube sustituye licencias cobradas de una vez por cuotas anuales, lo que frena las ventas al principio pero aumenta su valor a lo largo del contrato. La cartera de nube a doce meses llegó a 109,1 M EUR a finales de 2025 (+27 %) y a 120,7 M EUR a junio de 2026 [1, 9]. Pese a la transición, el margen EBIT fue del 36 % en 2025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Cloud &amp; Subscriptions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Hardware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Cloud &amp; Subscriptions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Consultoría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Hardware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diversificada: unos 21.100 clientes en 2025, frente a unos 15.000 en junio de 2023 [1, 17]. El informe anual no da el peso del primer cliente ni de los diez primeros, y la empresa señala como factor de mitigación del riesgo la diversificación de su cartera de clientes [1]. Lo recurrente se retiene bien, aunque con algo más de bajas: la tasa de bajas de la nube (MRR perdido en doce meses, sin Crewmeister) subió al 3,2 % en 2025 desde el 2,9 %, por encima del objetivo de menos del 2 %; la de mantenimiento, al 3,0 % desde el 2,1 % [1]. La retención neta de ingresos (NRR) fue del 113 % (116 % en 2024; objetivo ≥ 110 %) y el NPS de 13 [1]. Poder de precios: los contratos recurrentes (nube, mantenimiento y soporte) llevan cláusulas de revisión de precios para proteger el margen frente a la inflación [1], y la NRR por encima del 100 % muestra que los clientes actuales gastan más cada año. El margen EBIT se mantuvo en el 36-37 % en 2024-2025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Cloud &amp; Subscriptions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 (dic-25); 113,8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en 2025; +25 %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las cuotas de nube vigentes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nube a 12 meses (Cloud &amp; Subscriptions Order Backlog,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 (dic-25); 120,7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en 2025; +25 %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Cuotas de nube contratadas para los próximos 12 meses; incluye el ARR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Order Backlog total, nube + mantenimiento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 (dic-25); 157,9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en 2025; +17 %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dic-24 la empresa publicó un ARR total de 118,4 M con otra definición [2]; la serie no es homogénea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(nube + mantenimiento) /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(2025); 72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Recurrentes 131,9 M en 2025 (+18 %) y 74,8 M en 1S26 (+17 %)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la nube en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(2025); 54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Cloud &amp; Subscriptions 92,7 M en 2025 (+28 %) [1,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 ACV (contratos nuevos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 en cifra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plano; 1S26 claramente por encima del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cifra publicada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lo describe cualitativamente [9,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 Retention Rate (sin Crewmeister,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&gt; 110; churn de nube 3,2 % en 2025 (objetivo &lt; 2 %) y churn de mantenimiento 3,0 %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(fin de periodo)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(dic-25); 861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unos 21.100 en el informe 2025 frente a 18.300 en el de 2024 [1, 2,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Tasa de bajas de la nube (MRR)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menos del 2 % incumplido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gestión de plantillas (workforce management, WFM): control de presencia, gestión del tiempo, planificación de turnos y de la demanda de personal, y analítica de la fuerza de trabajo. Se vende como módulo dentro de suites de RR. HH. y nóminas (SAP, Workday, UKG, Dayforce) o como solución especializada (ATOSS, Quinyx, GFOS, Interflex). El perímetro útil para ATOSS es Europa, con Alemania como núcleo (85 % de sus ventas) [1]. Como no hay serie pública en euros de Europa ni de DACH, la serie es una estimación propia: el mercado mundial de Grand View Research (8.100 M USD en 2022, con un crecimiento anual compuesto del 11,7 % en 2023-2030) por la cuota de Europa en 2022 (29,2 %), convertido a euros al tipo medio del BCE de cada año y, en la previsión, al del 9-oct-2026 (1,1206) [19, 29]. MarketsandMarkets da un tamaño mundial menor (10.600 M USD en 2026) y crecimiento del 10,1 % [20]; Technavio, un crecimiento del 6,8 % anual en 2024-2029 para Alemania, Francia, Italia y Reino Unido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2.900 M EUR en Europa en 2025 (estimación propia a partir de Grand View Research [19, 29]); mercado mundial de 12.400 M USD en 2026 según Grand View [19] y de 10.600 M USD según MarketsandMarkets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Europa;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Obligación de registrar la jornada (TJUE 2019, BAG 2022, reforma de la ley alemana de jornada)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BAG obliga desde el 13-sep-2022 a todo empleador a tener un sistema de registro de jornada; el proyecto de reforma de junio de 2026 exige el registro electrónico como norma general, salvo empleadores de hasta diez trabajadores [14,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personal y presión sobre los costes laborales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vende reducción de costes de personal, de absentismo y de rotación, y de exceso o falta de personal en los turnos [1]; su base de clientes pasó de unos 15.000 en 2023 a unos 21.100 en 2025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la nube y sustitución de sistemas antiguos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nube y las suscripciones de ATOSS crecieron un 28 % en 2025, hasta el 49 % de sus ventas, y un 26 % en el 1S26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software en Alemania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Bitkom estima que el software creció un 9,5 % en Alemania en 2025, con un PIB que solo avanzó un 0,2 %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económica y decisiones de compra más lentas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2025 de ATOSS mejoró en el segundo semestre, pero en el conjunto del año quedó al nivel de 2024; los controles de seguridad de la nube alargan los ciclos de venta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 en previsión y planificación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considera un riesgo material que la competencia integre funciones de IA más deprisa y gane cuota y poder de precios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con suites mundiales de RR. HH. (SAP, Workday, UKG, Dayforce) y especialistas locales; la empresa dice que la competencia es mucho más intensa en soluciones sencillas que en las complejas para grandes clientes [1]. Aun así, ATOSS mantiene un margen EBIT del 36 %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21.100 clientes sin concentración relevante [1]; el cambio de proveedor obliga a reintegrar convenios, nóminas y comités de empresa, lo que se refleja en una NRR del 113 % y en bajas de la nube del 3,2 %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clave son el personal (ATOSS cita la competencia por el talento, con una rotación del 19,9 % en 2025) y los centros de datos; la empresa negocia precios fijos a largo plazo con sus proveedores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bajas en pymes (Crewmeister, Planday o Personio compiten en solución sencilla) y altas en grandes cuentas, donde pesan las referencias, la solidez financiera (61 % de fondos propios) y la experiencia en implantaciones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módulos de jornada de las suites de RR. HH. y ERP (SAP, Workday) y, cada vez más, los agentes de IA; ATOSS se integra con SAP y Workday en vez de competir en nóminas [1].</w:t>
            </w:r>
          </w:p>
        </w:tc>
      </w:tr>
    </w:tbl>
    <w:p>
      <w:pPr>
        <w:spacing w:after="160" w:before="0"/>
      </w:pPr>
    </w:p>
    <w:p>
      <w:pPr>
        <w:pStyle w:val="Heading2"/>
      </w:pPr>
      <w:r>
        <w:t xml:space="preserve">Ciclo</w:t>
      </w:r>
    </w:p>
    <w:p>
      <w:pPr>
        <w:spacing w:after="100"/>
      </w:pPr>
      <w:r>
        <w:t xml:space="preserve">El software sigue creciendo pese a la economía: en 2025, el software en Alemania creció un 9,5 % según Bitkom, con el PIB en +0,2 % [1], y ATOSS creció un 11 % en 2025 y un 12 % en el 1S26 [1, 9]. Ni en la crisis financiera ni en la pandemia ni en 2022 encadenó caídas: 2025 fue su vigésimo año récord seguido, de modo que sus ventas crecieron también en 2008-09, 2020 y 2022 [1]. La parte cíclica son las licencias, la consultoría y el hardware, que dependen de que los clientes inicien proyectos; lo recurrente, el 72 % de las ventas, apenas sigue al ciclo [9].</w:t>
      </w:r>
    </w:p>
    <w:p>
      <w:pPr>
        <w:pStyle w:val="Heading2"/>
      </w:pPr>
      <w:r>
        <w:t xml:space="preserve">Regulación</w:t>
      </w:r>
    </w:p>
    <w:p>
      <w:pPr>
        <w:spacing w:after="100"/>
      </w:pPr>
      <w:r>
        <w:t xml:space="preserve">La sentencia del TJUE de 14-may-2019 (C-55/18, CCOO) obliga a los Estados a exigir un sistema objetivo, fiable y accesible de registro de la jornada diaria [15]. En Alemania, el BAG declaró el 13-sep-2022 (1 ABR 22/21) que el empleador ya está obligado por la ley de prevención de riesgos laborales (art. 3.2.1 ArbSchG) a implantar un sistema de registro de jornada, aunque no necesariamente electrónico [14, 15]. El proyecto de reforma de la ley de jornada (ArbZG), conocido el 18-jun-2026, exige el registro electrónico como norma general, con excepciones para empleadores de hasta diez trabajadores o por convenio colectivo, y permite un límite semanal en lugar del diario solo mediante convenio [15]. A 11-oct-2026 no hay constancia de su aprobación.</w:t>
      </w:r>
    </w:p>
    <w:p>
      <w:pPr>
        <w:pStyle w:val="Heading2"/>
      </w:pPr>
      <w:r>
        <w:t xml:space="preserve">Tendencias y disrupción</w:t>
      </w:r>
    </w:p>
    <w:p>
      <w:pPr>
        <w:spacing w:after="100"/>
      </w:pPr>
      <w:r>
        <w:t xml:space="preserve">Tres cambios dominan el sector. Primero, la nube: ATOSS ya ingresa el 54 % de sus ventas por la nube y las licencias caen [9]. Segundo, la IA: previsión de la demanda, propuestas automáticas de turnos y agentes que simulan escenarios; ATOSS la incorpora a sus suites, pero reconoce como riesgo que otros la integren antes y le quiten cuota y poder de precios [1]. Tercero, las suites de RR. HH.: Workday, SAP SuccessFactors, UKG y Dayforce ofrecen WFM dentro de una plataforma única, y el capital riesgo concentra el sector (Thoma Bravo se quedó con Dayforce en febrero de 2026 [24]). ATOSS responde integrándose con SAP y Workday y con Crewmeister para pymes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Especialista europeo en WFM y n.º 1 entre los proveedores europeos de WFM por inversión en I+D según el EU Industrial R&amp;D Investment Scoreboard 2025 [1]. Gartner la cita como proveedor representativo del mercado europeo [1]. Estimación propia: sus 189,3 M EUR de ventas serían en torno al 6,5 % del mercado europeo de 2025 (≈ 2.900 M EUR) y menos del 2 % del mundial [1, 19, 29]. En Alemania, su mercado principal, no hay cuotas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 (SuccessFactors y SAP HCM)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ERP y suite de RR. HH.; no desglosa SuccessFactors. Socio y competidor a la vez: ATOSS se integra con SAP HCM. Cifras del grupo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Suite de RR. HH. y finanzas en la nube con módulo de WFM. Ejercicio hasta el 31-ene-2026: 9.552 M USD de ventas y 721 M USD de resultado de explotación; convertido al tipo medio del BCE de 2025 [22,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Dayforce (antes Ceridian)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nóminas, RR. HH. y WFM; excluida de bolsa tras la compra de Thoma Bravo, cerrada el 4-feb-2026 [24]. Último ejercicio publicado, 2024: 1.760,0 M USD de ventas y 104,1 M USD de beneficio de explotación [23,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 (Planday)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Zelanda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XRO.AX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contabilidad para pymes; su filial Planday (turnos para pymes europeas) no se desglosa. Ejercicio hasta el 31-mar-2026: 2.753,1 M NZD de ventas y 316,1 M NZD de resultado de explotación (afectado por los costes de la compra de Melio) [26,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UKG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en WFM, no cotiza y no publica cuentas; Grand View y MarketsandMarkets la sitúan entre los principales jugadores [19,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ERP sectorial con WFM; filial de Koch Industries, no publica cuentas propias [19,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de uso interno, sin red entre clientes; solo ayudan las referencias sectoriales (ALDI SÜD, Deutsche Bahn, Lufthansa) en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se integra con nóminas, convenios y acuerdos con el comité de empresa; la NRR es del 113 % y las bajas de la nube, del 3,2 % de los ingresos recurrentes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Veinte años récord seguidos, I+D del 15 % de las ventas (n.º 1 europeo en WFM por inversión en I+D) y conocimiento de la normativa laboral alemana; la empresa no destaca patentes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36 % frente al 7,5 % de Workday, el 5,9 % de Dayforce o el 26,1 % de SAP [1, 9, 10, 12], pero se debe más a la especialización y a la falta de adquisiciones que a costes unitarios menores; desarrolla en Rumanía y ahora en India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grandes clientes de habla alemana con requisitos complejos de jornada, donde la competencia es menor que en soluciones sencillas [1]; el 85 % de las ventas está en Alemania [1].</w:t>
            </w:r>
          </w:p>
        </w:tc>
      </w:tr>
    </w:tbl>
    <w:p>
      <w:pPr>
        <w:spacing w:after="160" w:before="0"/>
      </w:pPr>
    </w:p>
    <w:p>
      <w:pPr>
        <w:pStyle w:val="Heading2"/>
      </w:pPr>
      <w:r>
        <w:t xml:space="preserve">Amenazas</w:t>
      </w:r>
    </w:p>
    <w:p>
      <w:pPr>
        <w:spacing w:after="100"/>
      </w:pPr>
      <w:r>
        <w:t xml:space="preserve">La principal amenaza es que las suites de RR. HH. (Workday, SAP SuccessFactors, UKG, Dayforce) ofrezcan WFM suficiente dentro de su plataforma y los clientes prefieran un único proveedor; el capital riesgo concentra el sector y da más recursos a UKG y Dayforce [24]. La segunda es la IA: ATOSS la cataloga como riesgo material, por posibles bajas y pérdida de poder de precios si se queda atrás [1]. La tercera es la retención: las bajas de la nube subieron al 3,2 % y la NRR bajó del 116 % al 113 % en 2025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2016-2025: ingresos </w:t>
      </w:r>
      <w:r>
        <w:rPr>
          <w:b/>
          <w:bCs/>
        </w:rPr>
        <w:t xml:space="preserve">16,1 %</w:t>
      </w:r>
      <w:r>
        <w:t xml:space="preserve">, EBITDA </w:t>
      </w:r>
      <w:r>
        <w:rPr>
          <w:b/>
          <w:bCs/>
        </w:rPr>
        <w:t xml:space="preserve">19,9 %</w:t>
      </w:r>
      <w:r>
        <w:t xml:space="preserve">, BPA </w:t>
      </w:r>
      <w:r>
        <w:rPr>
          <w:b/>
          <w:bCs/>
        </w:rPr>
        <w:t xml:space="preserve">20,1 %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ATOSS no ha hecho adquisiciones en el periodo [1, 2, 3, 4, 5, 6, 7, 8]. Las ventas pasaron de 49,5 M en 2016 a 189,3 M en 2025, con 20 ejercicios seguidos de récord [1, 8]. El salto de 2023 (+33 %, a 151,2 M) combinó nube (+55 %), licencias (+56 %) y consultoría (+18 %) [3]. El margen EBIT se movió entre el 27 % y el 30 % hasta 2022 y saltó al 34,3 % en 2023 y al 37,2 % en 2024; en 2025 bajó al 36,0 % porque los gastos de venta (+19 %) y de administración (+23 %) crecieron más que las ventas (+11 %), mientras el margen bruto subió del 77,1 % al 78,4 % [1, 2]. En el 1S26 el margen EBIT fue del 35,1 % (33,6 % en el 1S25) [9]. La cuenta se presenta por función (coste de ventas, ventas, administración, I+D). El EBITDA de la empresa coincide con EBIT más amortizaciones en todos los años revisados (2025: 68,1 + 4,8 = 72,9 M) [1]. Los resultados financieros proceden de depósitos, oro y fondos: +3,8 M en 2025 y −1,5 M en 2022 por la caída de valor de un fondo (1,8 M) [1, 4].</w:t>
      </w:r>
    </w:p>
    <w:p>
      <w:pPr>
        <w:pStyle w:val="Heading2"/>
      </w:pPr>
      <w:r>
        <w:t xml:space="preserve">Ajustes y partidas no recurrentes</w:t>
      </w:r>
    </w:p>
    <w:p>
      <w:pPr>
        <w:spacing w:after="100"/>
      </w:pPr>
      <w:r>
        <w:t xml:space="preserve">Se usan las cifras publicadas, sin ajustes. Las cifras por acción están en la base actual de 15,906 M de acciones: la empresa hizo dos ampliaciones con cargo a reservas de una acción nueva por cada antigua, en junio de 2020 (de 3,98 a 7,95 M) y en 2024 (de 7,95 a 15,9 M); por eso el BPA de 2016-2019 se divide por cuatro y el de 2020-2023 por dos, como hace la propia empresa en sus series [1, 2, 6]. No hay partidas no recurrentes dentro del EBITDA. Los dividendos extraordinarios (0,65 EUR ajustados del ejercicio 2018 y 0,50 EUR del 2022) van en dpa_extraordinario [3, 7]. El LTM a jun-26 suma 2025 + 1S26 − 1S25 [1, 9].</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(24-abr-26).</w:t>
      </w:r>
      <w:r>
        <w:t xml:space="preserve"> Ventas +11 % a 51,4 M y margen EBIT del 35 %; la dirección subió la guía de margen EBIT de 2026 de al menos el 32 % a al menos el 34 % y mantuvo unas ventas de unos 215 M [13, 14]. El New ACV quedó plano, en 21,5 M según NuWays, con los clientes nuevos en torno al 50 % de los contratos; en la conferencia la dirección dijo que ese nivel estaba presupuestado y que el alargamiento de los ciclos de venta por la coyuntura podría dar margen al alza si cede [13]. Anunció dos lanzamientos de IA: el asistente agéntico de ATC en el 2T26 y dos agentes para ASES en el 4T26 [13].</w:t>
      </w:r>
    </w:p>
    <w:p>
      <w:pPr>
        <w:spacing w:after="100"/>
      </w:pPr>
      <w:r>
        <w:rPr>
          <w:b/>
        </w:rPr>
        <w:t xml:space="preserve">2T26 (24-jul-26).</w:t>
      </w:r>
      <w:r>
        <w:t xml:space="preserve"> Ventas +13 % a 51,8 M y EBIT de 18,1 M (34,9 %); el New ACV repuntó en el trimestre y el semestre cerró claramente por encima del 1S25 [10, 15]. La cartera de nube a 12 meses sumó 6,4 M en el trimestre, un 56 % más que un año antes [15]. La guía de ventas de 2026 pasó a expresarse como 210-215 M, con margen de al menos el 34 %, y la de 2027 a 235-245 M con margen de al menos el 35 % (antes, unos 245 M y al menos el 33 %) [10, 11, 15]. Según NuWays, en la conferencia la dirección dijo ver el margen de 2026 más cerca del 35 %, pero sin subir la guía [15]. </w:t>
      </w:r>
      <w:r>
        <w:rPr>
          <w:b/>
        </w:rPr>
        <w:t xml:space="preserve">Cambio de discurso</w:t>
      </w:r>
      <w:r>
        <w:t xml:space="preserve">: del New ACV plano y los ciclos largos del 1T al repunte de pedidos del 2T. No hay transcripción pública: el contenido de las conferencias procede de las notas de NuWays [13,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y la caja ha subido de 14,8 M en 2016 a 91,2 M en 2025, pese a repartir 33,9 M en dividendos en 2025 [1, 8]. Los pasivos de contrato al cierre son pequeños (3,3 M a dic-25, 1,7 % de las ventas) porque la facturación anticipada de cuotas se concentra a principio de año: a jun-26 eran 10,7 M [1, 9]. Los activos de la NIIF 15 son los costes de contrato activados (comisiones), que han pasado de 1,7 M en 2021 a 11,4 M en 2025 y 12,1 M a jun-26; la empresa no registra activos de contrato aparte [1, 5, 9]. Los clientes suben de 9,3 M a 11,0 M en 2025, frente a un crecimiento de las ventas del 11 % [1]. El pasivo circulante incluye 16,9 M de sueldos y comisiones y 13,6 M de impuestos, que explican el circulante negativo [1]. Desde 2019 la NIIF 16 añade arrendamientos (oficinas) que han bajado de 11,4 M a 6,8 M [1,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251</w:t>
      </w:r>
      <w:r>
        <w:t xml:space="preserve">, conversión </w:t>
      </w:r>
      <w:r>
        <w:rPr>
          <w:b/>
          <w:bCs/>
        </w:rPr>
        <w:t xml:space="preserve">110 %</w:t>
      </w:r>
      <w:r>
        <w:t xml:space="preserve"> del beneficio neto; adquisiciones 0, dividendos 157, recompras 0.</w:t>
      </w:r>
    </w:p>
    <w:p>
      <w:pPr>
        <w:spacing w:after="100"/>
      </w:pPr>
      <w:r>
        <w:t xml:space="preserve">La conversión del beneficio en caja es alta y el capex, mínimo: entre 0,7 y 1,9 M al año (0,5 % de las ventas en 2025), porque la I+D no se activa [1, 2, 3, 4, 5, 6, 7, 8]. Con capex, arrendamientos e intereses de arrendamiento, el flujo libre fue de unos 42,6 M en 2025 frente a 55,2 M en 2024 (estimación propia con las partidas del estado de flujos). La caída de 2025 se debe sobre todo a los impuestos pagados: 28,4 M frente a 9,8 M en 2024, cuando se acumuló el pasivo fiscal (18,9 M a dic-24) [1, 2]. En el 1S26 ocurrió lo contrario: el flujo operativo fue de 37,1 M (14,7 M en el 1S25) con solo 4,6 M de impuestos pagados (23,3 M en el 1S25), por lo que el LTM a jun-26 está inflado por el calendario fiscal [9]. Los costes de contrato activados (comisiones) restaron 4,2 M al flujo operativo de 2025 [1]. El estacionalidad es fuerte: el flujo operativo es muy positivo en el primer y el tercer trimestre y negativo en el segundo y el cuarto [1, 9]. La empresa no separa el capex de mantenimiento y el de crecimiento; por su tamaño, casi todo es de reposición de equipos (estimación propia).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Wirtschaftsprüfungsgesellschaft (Múnich)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las cuentas consolidadas sin interrupción desde 2019 (antes, Ernst &amp; Young) y firmó la opinión de 2025 sin salvedades el 27-feb-2026 [1, 7]. La única cuestión clave de auditoría es el reconocimiento de ingresos (189,3 M de diversas modalidades contractuales) [1]. La I+D se lleva entera a gasto [9]. Lo que sí se activa son los costes de obtención de contratos (comisiones, NIIF 15): 11,4 M a dic-25, con un aumento de 4,2 M en el año, frente a 1,7 M en 2021 [1, 5]. Los pagos en acciones liquidados con acciones fueron de 2,05 M en 2025 (un 4 % del beneficio neto) y de 2,61 M en el 1S26; el Vorstand recibió en 2025 concesiones en acciones valoradas en 6,5 M [1, 9]. El tipo efectivo (32,8 %) está en línea con el teórico (32,5 %) [1]. Los pagos de impuestos van con desfase respecto al gasto, lo que deforma el flujo operativo de un año a otro [1, 2, 9]. No hay deterioros, fondo de comercio ni cambios de criterio, salvo la reclasificación del balance de 2024 en otros pasivos financieros [1]. El informe semestral de 2026 no ha tenido revisión limitada del auditor [9].</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contrato activados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activadas: 1,7 M (2021), 4,9 M (2022), 5,3 M (2023), 7,3 M (2024), 11,4 M (2025) y 12,1 M (jun-26); crecen mucho más que las ventas y retrasan gasto de ventas [1, 2, 3, 4, 5,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desacompasados del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Impuestos pagados de 9,8 M en 2024, 28,4 M en 2025 y 4,6 M en el 1S26, frente a un gasto de 21,5 M, 23,6 M y 12,0 M; el flujo operativo de cada año y del LTM no es comparable [1, 2,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crecientes al Vorstand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M de concesiones en acciones en 2025 y gasto contable de 2,05 M; pequeño frente a un beneficio de 48,4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de tesorería en oro y fondos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con riesgo de mercado de 6,0 M y fondos de 5,3 M a jun-26; mueven el resultado financiero (−1,8 M por un fondo en 2022, +2,1 M por el oro en 2025) [1, 4,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Informe semestral sin revisión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informe del 1S26 no se sometió a revisión limitada [9].</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616,7 % · </w:t>
      </w:r>
      <w:r>
        <w:rPr>
          <w:b/>
          <w:bCs/>
        </w:rPr>
        <w:t xml:space="preserve">WACC</w:t>
      </w:r>
      <w:r>
        <w:t xml:space="preserve">: 9,8 %.</w:t>
      </w:r>
    </w:p>
    <w:p>
      <w:pPr>
        <w:spacing w:after="100"/>
      </w:pPr>
      <w:r>
        <w:t xml:space="preserve">ATOSS crea valor con holgura y desde siempre: sin fondo de comercio, sin deuda y con un capital operativo de unos 8 M EUR en 2025 (inmovilizado de 3,9 M, derechos de uso y comisiones activadas, menos el circulante negativo de la facturación anticipada), el ROIC fue del 553,7 % frente a un WACC del 9,81 % [1]. La cifra es tan alta porque el denominador casi no existe: la I+D (15 % de las ventas) va a gasto y los clientes pagan por adelantado [1]. Lo relevante es el margen: el NOPAT pasó de 20 a 46 M EUR entre 2022 y 2025 sin capital nuevo, de ahí un ROIC incremental del 616,7 %. El ROE, del 54,6 %, lo diluye la caja (91,2 M en efectivo a dic-25 más depósitos y oro). Frente a los competidores, el margen EBIT del 36 % supera al 26,1 % de SAP y al 7,5 % de Workday [22, 25]. El riesgo para el ROIC no es el capital sino el margen: cada punto de margen EBITDA vale unos 2 EUR por acción.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91,2 M a dic-25 (89,7 M a jun-26) más 32,5 M de otros activos financieros (depósitos a plazo, oro y fondos): liquidez de 123,2 M según la empresa a dic-25 y 121,3 M a jun-26, sin deuda bancaria [1, 9]. Pasivos por arrendamiento de 6,8 M a dic-25 (5,5 M a jun-26) [1, 9]. Sin rating.</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ni covenants [1]. Provisión por pensiones: 1,0 M a dic-25 (1,8 M en 2024; 6,8 M en 2020) [1, 6]. Sueldos y comisiones pendientes de pago: 16,9 M, sobre todo retribución variable que se paga al año siguiente [1]. Impuestos a pagar: 13,6 M a dic-25 y 21,3 M a jun-26 [1, 9]. Provisiones a largo plazo por pagos en acciones liquidados en efectivo (RSU y opciones virtuales) a empleados y al Vorstand: 0,7 M a dic-25 y 1,2 M a jun-26 [1, 9]. Otros pasivos financieros a largo plazo de 4,4 M; la empresa reexpresó su presentación en el balance de 2024 (nota 33) [1]. Riesgo de mercado en fondos de inversión de 5,3 M y en oro de 6,0 M a jun-26 [9]. No hay pagos aplazados de adquisiciones, opciones de venta de minoritarios ni factoring.</w:t>
      </w:r>
    </w:p>
    <w:p>
      <w:pPr>
        <w:pStyle w:val="Heading1"/>
      </w:pPr>
      <w:r>
        <w:t xml:space="preserve">12. Asignación de capital</w:t>
      </w:r>
    </w:p>
    <w:p>
      <w:pPr>
        <w:pStyle w:val="Confianza"/>
        <w:spacing w:after="100"/>
      </w:pPr>
      <w:r>
        <w:t xml:space="preserve">Confianza: Alta</w:t>
      </w:r>
    </w:p>
    <w:p>
      <w:pPr>
        <w:spacing w:after="100"/>
      </w:pPr>
      <w:r>
        <w:t xml:space="preserve">ATOSS reparte alrededor del 75 % del beneficio por acción consolidado desde la decisión del Vorstand de enero de 2020 (antes, el 50 %), con el principio de no bajar el dividendo del año anterior [1, 9]. Ha pagado dividendos extraordinarios en 2006, 2013, 2016, 2019 y 2023 (0,65 EUR ajustados por acción en 2019 y 0,50 EUR en 2023) [1, 3, 7]. El dividendo de 2025, de 2,28 EUR (36,3 M), se pagó el 6-may-26 y equivale al 75 % del BPA de 3,04 EUR [1, 9]. No ha hecho recompras ni adquisiciones: la caja se destina a dividendos y a crecimiento orgánico (I+D e IA) [1, 9]. En 2020 y en 2024 amplió capital con cargo a reservas (una acción nueva por cada antigua) [2,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Hechos: en 2016-2025 la empresa generó 284 M de flujo operativo, invirtió 12 M en capex y repartió 157 M en dividendos, sin deuda ni compras (estimación propia con los estados de flujos) [1, 2, 3, 4, 5, 6, 7, 8]. El número de acciones solo ha cambiado por las ampliaciones gratuitas: no hay dilución económica [1, 6]. La liquidez ha subido a 123 M a dic-25, el 65 % de las ventas [1]. En 2023 el Aufsichtsrat trató la entrada de General Atlantic como accionista minoritario, ligada a un acuerdo de inversión con la empresa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F. J. Obereder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presidente del Vorstand (CEO); pasará al Aufsichtsrat en el cambio de año 2026/2027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de ATOSS y primer ejecutivo; controla el 23,90 % del capital (3.801.214 acciones) a través de AOB Portfolio One GmbH &amp; Co. KG [9]. Bajo su dirección el grupo encadenó 20 ejercicios récord seguidos y pasó de 97,1 M de ventas y 27,2 M de EBIT en 2021 a 189,3 M y 68,1 M en 2025 [31]. Su contrato vence el 31-dic-2026 y su pensión vitalicia arranca el 1-ene-2027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Pritim Kumar Krishnamoorthy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Vorstand (COO); CEO designado desde el cambio de año 2026/2027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ATOSS desde 2020 y en el Vorstand desde el 1-jul-2021; responsable de innovación y desarrollo, consultoría, servicios y soporte y Crewmeister [1, 37]. La empresa le atribuye la transformación a la nube, la estrategia de IA y producto y el negocio de servicios profesionales [37]. Contrato renovado hasta el 30-jun-2030 con 39.838 RSU liquidables en acciones (tope 10 M EUR) [31]; 6.644 acciones tras las entregas de 2026 [9, 51].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Christof Leiber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Vorstand (CFO): finanzas, relación con inversores, legal, administración y M&amp;A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Jurista; en el Vorstand desde el 1-jul-2021 (contrato del 24-jun-2021), renovado hasta el 30-jun-2028 [1, 31]. En 2024 recibió un pago extraordinario de 1,21 M EUR del vehículo de Obereder (AOB Invest), no de la sociedad [1, 31]. Compró 2.500 acciones en bolsa el 13-feb-2026 (0,22 M EUR) y suma 5.414 acciones tras las entregas de RSU [9, 49, 50, 52].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Moritz Zimmermann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Aufsichtsrat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2019 y presidente; antes CTO de SAP Customer Experience (2017-2020) y desde 2021 General Partner de 42CAP (capital riesgo) [35]. Tiene 21.856 acciones y el Aufsichtsrat lo considera independiente [9, 35]. Reelegido en 2026 con el 81,53 % a favor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110 M (elevada desde 106 M en enero de 2022) y margen EBIT de al menos el 25 %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113,9 M y margen EBIT del 27 %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135 M y margen EBIT de al menos el 27 % (publicada en enero-febrero de 2023) [54,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151,2 M y EBIT 51,8 M (34 %)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170 M y margen EBIT del 30 % (febrero de 2024) [53,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170,6 M y EBIT 63,4 M (37 %)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al menos 190 M y margen EBIT de al menos el 31 % (enero de 2025) [1,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189,3 M y EBIT 68,1 M (36 %); la propia empresa dice que la previsión de ventas se «casi alcanzó»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2023-2025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190 M en 2025 y margen EBIT de al menos el 30 % en 2025 (plan elevado en enero de 2023)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189,3 M y margen EBIT del 36 % en 2025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tres miembros del Vorstand desde julio de 2021, tras la salida del co-CEO Dirk Häußermann el 31-mar-2024 [1, 31]. La guía de ventas se cumplió o superó en 2022-2024 y se quedó a 0,7 M en 2025, mientras el margen EBIT superó siempre la guía en 2 a 7 puntos [1, 53, 54, 55]. El relevo se anunció como información privilegiada el 30-abr-2026: Obereder deja de ser CEO en el cambio de año 2026/2027 y pasa al Aufsichtsrat; Krishnamoorthy será CEO y el Vorstand quedará en dos personas (CEO y CFO) [37]. La guía 2026 (ventas 210-215 M, margen EBIT de al menos el 34 %) y la de 2027 (235-245 M, al menos el 35 %) se mantuvieron en agosto de 2026 [9].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Moritz Zimmermann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Rolf Baron Vielhauer von Hohenhau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Aufsichtsrat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Klaus Bauer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la comisión de auditoría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 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Christian Osterland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nombrado por AOB por derecho estatutario a instrucción de General Atlantic (Principal de General Atlantic DACH)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auditoría (vocal)</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Rolf Baron Vielhauer von Hohenhau</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29,20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Obereder (AOB Portfolio One GmbH &amp; Co. KG, antes AOB Invest GmbH)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21,59 % (sep-2024) al 22,49 % a 31-dic-2025 y al 23,90 % (3.801.214 acciones) en feb-2026, con compras de 366.307 acciones entre sep-2025 y feb-2026; el 1-may-2026 traspasó el paquete a AOB Portfolio One dentro de su grupo [1, 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Atlantic Chronos GmbH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riesgo de crecimiento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~20 % a AOB en jun-2023, ejecutó su opción hasta el 24,99 % (19,99 % en acciones) y en sep-2024 vendió 541.667 acciones en una colocación y recibió ~5 % de AOB por un contrato a plazo: 21,59 % desde el 11-sep-2024, sin cambios después [1, 9,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institucional por encima del 3 % según las notificaciones de voto a 31-dic-2025; sin notificaciones en el 1S26 [1, 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Familiares cercanos de Obereder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Ursula (55.452), Christopher (77.200) y Nicola Obereder (55.344 acciones) a 31-dic-2025, sin cambios en el año; estimación propia del porcentaje: 187.996 / 15.906.272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derecho de voto en suspenso por acciones propias a la convocatoria de 2026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Christof Leiber (CFO),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Pritim Kumar Krishnamoorthy (COO),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19.305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Christof Leiber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Andreas Obereder (AOB Invest GmbH)</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Pritim Kumar Krishnamoorthy (COO),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Christof Leiber (CFO), entrega de RSU</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(STI) depende a partes iguales de las ventas y del EBIT del grupo frente al plan, con un modificador por el NPS interno y un tope del 200 % [31]. El variable plurianual mide objetivos operativos o estratégicos individuales a tres años, y las RSU de Krishnamoorthy (39.838, tope 10 M EUR) y Leiber (tope 4 M EUR) consolidan por tiempo, sin métricas de ROIC, TSR ni flujo de caja [31]. El CEO cobró 1,13 M EUR en 2025: 84 % fijo (0,69 M de sueldo y 0,26 M de prestaciones) y solo 0,18 M variable [31]; con el 23,9 % del capital, su incentivo es patrimonial. Hay malus y reducción por incumplimiento grave, sin clawback propiamente dicho; la indemnización no puede pasar de dos años de remuneración ni de la vida restante del contrato, y la remuneración máxima anual del CEO es de 7 M EUR [31]. El sistema de remuneración de 2025 obtuvo solo el 67,96 % a favor y los informes de 2024 y 2025, el 70,10 % y el 71,58 % [32, 33].</w:t>
      </w:r>
    </w:p>
    <w:p>
      <w:pPr>
        <w:pStyle w:val="Heading2"/>
      </w:pPr>
      <w:r>
        <w:t xml:space="preserve">Operaciones vinculadas, estructura de control y defensas</w:t>
      </w:r>
    </w:p>
    <w:p>
      <w:pPr>
        <w:spacing w:after="100"/>
      </w:pPr>
      <w:r>
        <w:t xml:space="preserve">Una sola clase de acciones al portador, un voto por acción, sin límites de voto ni acciones con derechos especiales según la empresa [1]. Obereder (23,9 %) y General Atlantic (21,6 %) suman el 45,5 % del capital; con una asistencia del 76,6 % en 2026, representan el 31,2 % y el 28,2 % del capital presente, el 59,4 % juntos [9, 32]. Desde jun-2023 los une una restricción de cuatro años: ninguno puede vender la mayoría de su paquete sin permiso del otro [1, 18]. Los estatutos dan a AOB el derecho a nombrar a uno de los cuatro consejeros, que ejerce por instrucción de General Atlantic: hoy Christian Osterland, de General Atlantic, con mandato hasta 2030 [35, 36]. Obereder pasará del Vorstand al Aufsichtsrat [37]. El informe de remuneraciones salió adelante con mayoría de los minoritarios en contra. Las operaciones vinculadas son pequeñas: subarriendo a ATOSS Global Ventures (0,06 M EUR) y empleo de su hija (0,01 M EUR) [1].</w:t>
      </w:r>
    </w:p>
    <w:p>
      <w:pPr>
        <w:pStyle w:val="Heading2"/>
      </w:pPr>
      <w:r>
        <w:t xml:space="preserve">Señales de alerta</w:t>
      </w:r>
    </w:p>
    <w:p>
      <w:pPr>
        <w:pStyle w:val="ListParagraph"/>
        <w:numPr>
          <w:ilvl w:val="0"/>
          <w:numId w:val="2"/>
        </w:numPr>
        <w:spacing w:after="60"/>
      </w:pPr>
      <w:r>
        <w:t xml:space="preserve">Rechazo de los minoritarios a la remuneración: el sistema de 2025 obtuvo el 67,96 % a favor y el 32,04 % en contra. Si los votos de Obereder fueron a favor, en contra votó el 44,4 % del capital libre presente; si también votó a favor General Atlantic, el 72,4 % [33].</w:t>
      </w:r>
    </w:p>
    <w:p>
      <w:pPr>
        <w:pStyle w:val="ListParagraph"/>
        <w:numPr>
          <w:ilvl w:val="0"/>
          <w:numId w:val="2"/>
        </w:numPr>
        <w:spacing w:after="60"/>
      </w:pPr>
      <w:r>
        <w:t xml:space="preserve">El informe de remuneraciones de 2025 se aprobó en la junta de 2026 con el 71,58 % y un 28,42 % en contra: el 41,6 % del capital libre presente sin Obereder, o el 71,7 % sin Obereder ni General Atlantic [32].</w:t>
      </w:r>
    </w:p>
    <w:p>
      <w:pPr>
        <w:pStyle w:val="ListParagraph"/>
        <w:numPr>
          <w:ilvl w:val="0"/>
          <w:numId w:val="2"/>
        </w:numPr>
        <w:spacing w:after="60"/>
      </w:pPr>
      <w:r>
        <w:t xml:space="preserve">Bajo apoyo a los consejeros: en 2026, Bauer obtuvo el 76,98 % a favor, Vielhauer el 79,21 % y Zimmermann el 81,53 %; en 2025 Bauer se quedó en el 70,82 % [32, 33].</w:t>
      </w:r>
    </w:p>
    <w:p>
      <w:pPr>
        <w:pStyle w:val="ListParagraph"/>
        <w:numPr>
          <w:ilvl w:val="0"/>
          <w:numId w:val="2"/>
        </w:numPr>
        <w:spacing w:after="60"/>
      </w:pPr>
      <w:r>
        <w:t xml:space="preserve">La junta de 2026 rechazó la autorización para emitir bonos convertibles o con warrants: 70,32 % a favor, por debajo de la mayoría cualificada necesaria [32].</w:t>
      </w:r>
    </w:p>
    <w:p>
      <w:pPr>
        <w:pStyle w:val="ListParagraph"/>
        <w:numPr>
          <w:ilvl w:val="0"/>
          <w:numId w:val="2"/>
        </w:numPr>
        <w:spacing w:after="60"/>
      </w:pPr>
      <w:r>
        <w:t xml:space="preserve">El fundador y CEO pasará al Aufsichtsrat en 2027 y General Atlantic tiene un consejero propio: el órgano de supervisión quedará con dos de cuatro miembros ligados a los dos grandes accionistas [35, 37].</w:t>
      </w:r>
    </w:p>
    <w:p>
      <w:pPr>
        <w:pStyle w:val="ListParagraph"/>
        <w:numPr>
          <w:ilvl w:val="0"/>
          <w:numId w:val="2"/>
        </w:numPr>
        <w:spacing w:after="60"/>
      </w:pPr>
      <w:r>
        <w:t xml:space="preserve">Vielhauer von Hohenhau está en el Aufsichtsrat desde 2001 (25 años) y el consejo lo sigue calificando de independiente [35].</w:t>
      </w:r>
    </w:p>
    <w:p>
      <w:pPr>
        <w:pStyle w:val="ListParagraph"/>
        <w:numPr>
          <w:ilvl w:val="0"/>
          <w:numId w:val="2"/>
        </w:numPr>
        <w:spacing w:after="60"/>
      </w:pPr>
      <w:r>
        <w:t xml:space="preserve">Pago de 1,21 M EUR de AOB Invest (vehículo de Obereder) al CFO Leiber en 2024, al margen de la remuneración de la sociedad [1, 31].</w:t>
      </w:r>
    </w:p>
    <w:p>
      <w:pPr>
        <w:pStyle w:val="ListParagraph"/>
        <w:numPr>
          <w:ilvl w:val="0"/>
          <w:numId w:val="2"/>
        </w:numPr>
        <w:spacing w:after="60"/>
      </w:pPr>
      <w:r>
        <w:t xml:space="preserve">La restricción de venta de cuatro años entre AOB y General Atlantic, firmada en jun-2023, vence hacia mediados de 2027: posible salida de papel de General Atlantic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empresa espera ventas de 210-215 M EUR y un margen EBIT de al menos el 34 %; el Vorstand lo confirmó el 24-jul-2026 con el segundo trimestre y en el informe semestral del 11-ago-2026, pese a la incertidumbre macroeconómica y geopolítica [9, 10]. Para 2027 mantiene ventas de 235-245 M EUR y eleva el margen EBIT esperado a al menos el 35 % [10]. En el primer semestre facturó 103,2 M EUR (+12 %) con un margen EBIT del 35 % [10]: el punto medio de la guía exige 109,3 M EUR en el segundo semestre, un 12 % más que los 97,2 M del segundo semestre de 2025 (estimación propia con los 189,3 M del año y los 92,1 M del primer semestre de 2025) [1,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9 analistas [58]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9 analistas [58]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91,00 – 157,00</w:t>
            </w:r>
          </w:p>
        </w:tc>
      </w:tr>
    </w:tbl>
    <w:p>
      <w:pPr>
        <w:spacing w:after="160" w:before="0"/>
      </w:pPr>
    </w:p>
    <w:p>
      <w:pPr>
        <w:pStyle w:val="Heading2"/>
      </w:pPr>
      <w:r>
        <w:t xml:space="preserve">Revisiones de estimaciones</w:t>
      </w:r>
    </w:p>
    <w:p>
      <w:pPr>
        <w:spacing w:after="100"/>
      </w:pPr>
      <w:r>
        <w:t xml:space="preserve">MarketScreener muestra la evolución de las estimaciones solo en gráficos, sin cifras, así que no hay un cambio cuantificado del BPA ni del EBITDA a 3 y 12 meses [59]. Los precios objetivo sí bajaron: Berenberg pasó de 150 a 135 EUR el 8-jul-2026 y Deutsche Bank Research de 110 a 100 EUR el 14-jul-2026, ambos con Comprar [62]; UBS inició cobertura con Neutral y 100 EUR el 21-sep [59]. El objetivo medio pasó de «gut 125» EUR (LYNX, 3-jun) a 121,50 EUR (31-ago, con 6 de 8 analistas en Comprar) y a «gut 120» EUR (28-sep) [61]; MarketScreener da 120,78 EUR con 9 analistas a 9-oct [59]. La media de 2026e (213,6 M EUR de ventas y margen EBIT del 34,9 %) cae en la parte alta de la guía, y la de 2027e (243,1 M EUR y 35,5 %) también [10, 58].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La acción pierde un 22,1 % en 2026 y un 17,8 % en doce meses, frente a subidas del 10,2 % y del 15,5 % del SDAX, con dividendos [63]. No lo explican las cifras, que se cumplieron (1S26: ventas +12 % y margen EBIT del 35 % [9]), sino el castigo al software por la IA: del máximo de 124,0 EUR del 13-ene-2026 al mínimo de 65,0 EUR del 26-jun, con caídas diarias del 8,1 % el 3-feb y del 7,6 % el 25-sep [63, 87]. La caída máxima de cinco años llega al 52,4 % y la volatilidad, al 44,4 %, mucho más que la de un negocio con el 72 % de ingresos recurrentes [9, 63]. A diez años sigue siendo una de las mejores del mercado alemán: 22,5 % anual frente al 7,6 % del SDAX [63]. No hay posiciones cortas publicadas por encima del 0,5 %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16,3 veces el EBITDA y 27,2 veces el beneficio de los últimos doce meses, ATOSS cotiza un 36 % y un 34 % por debajo de su media de diez años (25,4x y 41,1x), en el percentil 20 y 10 de su historia. La media está inflada por 2019-2021, con tipos cero y el Bund en negativo; hoy el Bund rinde un 3,53 % [64], así que una parte del descuento es estructural y no una oportunidad. La otra parte es el miedo a la IA: el múltiplo se ha comprimido mientras el crecimiento (11-13 % trimestral) y el margen se mantenían [9]. El mínimo de la serie, 13,6x, es el de 2016, cuando ATOSS facturaba 50 M EUR y su margen EBITDA era del 29 %: un suelo razonable para el caso bajista.</w:t>
      </w:r>
    </w:p>
    <w:p>
      <w:pPr>
        <w:pStyle w:val="Heading1"/>
      </w:pPr>
      <w:r>
        <w:t xml:space="preserve">18. Comparables cotizados</w:t>
      </w:r>
    </w:p>
    <w:p>
      <w:pPr>
        <w:pStyle w:val="Confianza"/>
        <w:spacing w:after="100"/>
      </w:pPr>
      <w:r>
        <w:t xml:space="preserve">Confianza: Media</w:t>
      </w:r>
    </w:p>
    <w:p>
      <w:pPr>
        <w:spacing w:after="100"/>
      </w:pPr>
      <w:r>
        <w:t xml:space="preserve">Software de gestión de personal y nóminas (Workday, Paycom, Paylocity, Paychex), software europeo de calidad con alto peso recurrente (SAP, Nemetschek, Sage) y Xero como software en la nube para pymes. Dayforce dejó de cotizar tras su compra por Thoma Bravo (cierre el 4-feb-2026) [24] y Personio no cotiza. Todas las cifras son de MarketScreener a 9-oct-2026 [76, 77, 78, 79, 80, 81, 82, 83], con capitalización en millones de EUR al cambio del BCE de ese día [74]. Doce meses pasados y próximos: ponderación por meses de los ejercicios (hasta sep-2026 y de oct-2026 a sep-2027).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ATOSS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Xero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 / 12,3x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13,8x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 / 24,6x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4,5x / 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10,9 + 0,12 × crecimiento; R² = 0,17. El crecimiento explica poco los múltiplos de estos comparables (R² &lt; 0,3): la regresión no se usa en la valoración.</w:t>
      </w:r>
    </w:p>
    <w:p>
      <w:pPr>
        <w:spacing w:after="100"/>
      </w:pPr>
      <w:r>
        <w:t xml:space="preserve">ATOSS cotiza a 14,3 veces el EBITDA de los próximos doce meses, por encima de la mediana de 12,4x de los ocho comparables, y a 23,7 veces el beneficio, algo por debajo de la mediana de 24,6x [76, 77, 78, 79, 80, 81, 82, 83]. La prima en EV/EBITDA se justifica a medias: crece en línea con la mediana (13,8 % frente al 10 %), tiene el mayor margen EBITDA (39 % frente al 32,6 %) después de Paychex y Paycom, y caja neta; pero es unas 160 veces más pequeña que SAP y depende de Alemania. Ojo con la base: el EBITDA de Workday, Paycom y Paylocity excluye los pagos en acciones, así que sus múltiplos parecen más baratos de lo que son; sin Workday la mediana apenas cambia (12,5x). La regresión múltiplo-crecimiento no explica nada (R² 0,17) y no se usa. El valor implícito, 76,23 EUR por EV/EBITDA y 90,61 EUR por PER, deja el precio en medio.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 (software de RR. HH., nóminas y gestión de tiempos)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 (con ADIA como minoritario)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12.300 M USD y 70 USD por acción; prima del 32 % sobre el cierre no afectado del 15-ago-2025 [73]. Múltiplos sobre ventas de 2024 (1.760,0 M USD) y EBITDA ajustado de 2024 (501,5 M USD) [23]. Cierre el 4-feb-2026 [24]. Cambio de 1,1639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 (software de RR. HH. y nóminas para pymes)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4.100 M USD y 22,50 USD por acción; prima del 19 % sobre la media ponderada de 30 días [70]. EV/ventas sobre ingresos del ejercicio a junio de 2024 (602,4 M USD) [71]. Cambio de 1,0393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WorkForce Software (gestión de tiempos, turnos y ausencias para grandes empresas)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unos 1.200 M USD en efectivo, cerrado el 15-oct-2024; ADP no publicó ventas ni EBITDA de la comprada [72]. Es el competidor directo más parecido a ATOSS en gestión de plantillas. Cambio de 1,0903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Cornerstone OnDemand (software de talento y formación)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 (con Vector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5.200 M USD y 57,50 USD por acción; prima del 31 % sobre el cierre no afectado del 1-jun-2021 [67, 68]. EV/ventas sobre los ingresos de los doce meses a junio de 2021 (830,0 M USD, suma de trimestres) [69]. Cambio de 1,185 USD por EUR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(colocación de 6,81 % del capital)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Inversores institucionales (venden AOB Invest y General Atlantic)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Colocación acelerada de 1.083.334 acciones a 120,00 EUR (unos 130 M EUR), sin prima de control; a la vez General Atlantic compró a AOB Invest un 5 % adicional a un precio pactado en 2023 que no se publicó [18]. General Atlantic entró con cerca del 20 % en junio de 2023, sin precio publicado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89,58 – 94,18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software de personal se pagaron a 6,3-7,0 veces las ventas: Dayforce (Thoma Bravo, 6,99x y 24,5x el EBITDA, con una prima del 32 %), Paycor (Paychex, 6,81x) y Cornerstone (Clearlake, 6,26x) [68, 70, 73]. Aplicado a ATOSS da 93,04 EUR por acción, solo un 6,6 % sobre el precio: con márgenes del 38 % frente al 20-25 % de esos objetivos, ATOSS ya cotiza en bolsa a casi el múltiplo de ventas de una compra. Una opa exige el acuerdo de Obereder (23,9 %) y General Atlantic (21,6 %), cuya restricción mutua de venta vence hacia mediados de 2027 [1, 17]. Es una opción, no la tesis: pesa un 5 %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crece un 12,5 % (213 M EUR), en la mitad alta de la guía de 210-215 M confirmada el 24-jul y el 11-ago [9, 10] y en línea con el 12 % del 1S26; el consenso espera 213,6 M [58]. 2027e repite el 12,5 % (240 M), dentro de la guía de 235-245 M y un 1,3 % por debajo del consenso; 2028e, un 12 % (268 M), un 2,7 % por debajo [58]. La base es la cartera de nube a doce meses, que crece al 25 % (120,7 M a jun-26) [9]. Desde 2029 el crecimiento baja un punto al año hasta el 5 % de 2035e: por debajo del 16,1 % anual de 2016-2025 y del 11,9 % anual previsto para el mercado europeo [19, 20, 21].</w:t>
      </w:r>
    </w:p>
    <w:p>
      <w:pPr>
        <w:keepNext/>
        <w:spacing w:after="100"/>
      </w:pPr>
      <w:r>
        <w:rPr>
          <w:b/>
          <w:bCs/>
        </w:rPr>
        <w:t xml:space="preserve">Márgenes.</w:t>
      </w:r>
    </w:p>
    <w:p>
      <w:pPr>
        <w:spacing w:after="100"/>
      </w:pPr>
      <w:r>
        <w:t xml:space="preserve">Margen EBITDA del 37,5 % en 2026e y 2027e, que con amortizaciones del 2,4 % equivale a un margen EBIT del 35 %, el de la guía de 2027 (al menos el 35 %) y el del 1S26 [9, 10]. Sube medio punto al año hasta el 39,5 % en 2031e por la escala de la nube, ya alcanzado en 2024 (39,8 %) y por debajo del 42,5 % del 4T25 [1]. No suponemos la vuelta al máximo: la inversión en IA y en el centro de desarrollo de India pesa en el margen [1]. El consenso pide un 38,1 % en 2028e, por encima de nuestro 38 % [58].</w:t>
      </w:r>
    </w:p>
    <w:p>
      <w:pPr>
        <w:keepNext/>
        <w:spacing w:after="100"/>
      </w:pPr>
      <w:r>
        <w:rPr>
          <w:b/>
          <w:bCs/>
        </w:rPr>
        <w:t xml:space="preserve">Inversión y circulante.</w:t>
      </w:r>
    </w:p>
    <w:p>
      <w:pPr>
        <w:spacing w:after="100"/>
      </w:pPr>
      <w:r>
        <w:t xml:space="preserve">Capex del 2,9 % de las ventas hasta 2028e, que baja al 2,6 %: el 0,5-1,2 % de capex de caja de 2021-2025, los pagos de arrendamiento (≈ 1,8 %, NIIF 16) y el aumento de las comisiones activadas por contratos nuevos (de 7,3 a 11,4 M en 2025, ≈ 6 % de las ventas), que no pasan por el EBITDA ni por el circulante [1]. Amortización del 2,4 %. Circulante del 2,5 % de las ventas (2,4-2,7 % en 2023-2025), con los pasivos de contrato incluidos: al cierre son pequeños (3,3 M) porque se factura en enero, pero llegan a 10,7 M a junio [1, 9]. Impuestos del 32,5 % (32,1-32,9 % en 2022-2025).</w:t>
      </w:r>
    </w:p>
    <w:p>
      <w:pPr>
        <w:keepNext/>
        <w:spacing w:after="100"/>
      </w:pPr>
      <w:r>
        <w:rPr>
          <w:b/>
          <w:bCs/>
        </w:rPr>
        <w:t xml:space="preserve">Coste del capital.</w:t>
      </w:r>
    </w:p>
    <w:p>
      <w:pPr>
        <w:spacing w:after="100"/>
      </w:pPr>
      <w:r>
        <w:t xml:space="preserve">Tasa libre del 3,53 %, el Bund a diez años del 9-oct-2026 [64]. Beta de 1,05: entre la ajustada de la acción frente al SDAX (1,18; 1,27 sin ajustar y 1,03 semanal) [63] y la sectorial de Damodaran para software europeo (0,96 corregida por caja) [66]. Prima de mercado del 5,5 % y prima adicional de 0,5 puntos por tamaño (1.389 M de capitalización), por el 84,5 % de las ventas en Alemania y por el relevo del fundador [1, 37]. Sin deuda financiera: el WACC es el coste de los fondos propios, 9,81 %. Con la prima implícita del mercado (4,2 % [65]) sería del 8,44 %.</w:t>
      </w:r>
    </w:p>
    <w:p>
      <w:pPr>
        <w:keepNext/>
        <w:spacing w:after="100"/>
      </w:pPr>
      <w:r>
        <w:rPr>
          <w:b/>
          <w:bCs/>
        </w:rPr>
        <w:t xml:space="preserve">Valor terminal.</w:t>
      </w:r>
    </w:p>
    <w:p>
      <w:pPr>
        <w:spacing w:after="100"/>
      </w:pPr>
      <w:r>
        <w:t xml:space="preserve">Crecimiento a perpetuidad del 2,5 %: inflación del euro cerca del 2 % y medio punto real, por debajo del Bund menos medio punto (3,03 %). Con el WACC del 9,81 %, el valor terminal equivale a 8,8 veces el EBITDA de 2035e, por debajo del 12,4x de los comparables hoy y del mínimo histórico de ATOSS (13,6x). Un múltiplo de salida de 14x implicaría un crecimiento perpetuo del 5,11 %, incompatible con un negocio maduro. Usamos Gordon: el múltiplo de hoy refleja todavía el crecimiento del 12 %. El valor terminal pesa el 58 %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(hoy: 6,5 %)</w:t>
            </w:r>
          </w:p>
        </w:tc>
      </w:tr>
    </w:tbl>
    <w:p>
      <w:pPr>
        <w:spacing w:after="160" w:before="0"/>
      </w:pPr>
    </w:p>
    <w:p>
      <w:pPr>
        <w:spacing w:after="100"/>
      </w:pPr>
      <w:r>
        <w:t xml:space="preserve">La proyección apenas necesita inversión neta de la amortización (reinversión acumulada de 20 M, el 2 % del NOPAT, con un capex bruto medio del 2,7 % de las ventas). En un negocio de activos ligeros, el crecimiento medio del 9,3 % tiene que salir de subir precios y de ganar volumen sin capital nuevo, y la prueba es el poder de precios y la cuota (6,4 % del mercado en 2030e, frente al 6,5 %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clientes nuevos (la mitad de los contratos firmados) y migración a la nube, con la cartera de nube +25 % [9, 13]. Precio: cláusulas de revisión en los contratos recurrentes, cerca de la inflación (estimación propia) [1]. Otros: mezcla de nube frente a licencias.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235-245 M [10]. El volumen sale de la cartera de nube y del repunte del New ACV del 2T26 [15]; el precio, de las revisiones anuales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del 113 % (objetivo ≥ 110 %) [1]: los clientes actuales aportan unos 3 puntos por precio y ampliaciones; el resto, clientes nuevos.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migraciones pendientes y precio en línea con la inflación (estimación propia).</w:t>
            </w:r>
          </w:p>
        </w:tc>
      </w:tr>
    </w:tbl>
    <w:p>
      <w:pPr>
        <w:spacing w:after="160" w:before="0"/>
      </w:pPr>
    </w:p>
    <w:p>
      <w:pPr>
        <w:spacing w:after="100"/>
      </w:pPr>
      <w:r>
        <w:t xml:space="preserve">La calidad sostiene el crecimiento del caso base, que pide menos de lo que ATOSS ha hecho. Proyectamos un 9,3 % anual, frente al 16,1 % de 2016-2025, con la cuota del mercado europeo casi estable (del 6,5 % al 6,4 % en 2030e, con un mercado que crece al 11,9 % [19, 20, 21]). No hace falta capital: la reinversión neta es de 20 M EUR en diez años (el 2 % del NOPAT), porque el crecimiento sale de vender más software sobre la misma estructura. El precio aporta unos 3 puntos al año con cláusulas de revisión [1], y los costes de cambio son altos (integración con nóminas y convenios). Lo que podría fallar es el volumen: las bajas de la nube subieron al 3,2 % y la retención neta bajó al 113 % en 2025 [1]. Por eso el caso base queda un 1-3 % por debajo del consenso.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(base: 8,9 %)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 (base: 39,5 %)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9,8 %)</w:t>
            </w:r>
          </w:p>
        </w:tc>
      </w:tr>
    </w:tbl>
    <w:p>
      <w:pPr>
        <w:spacing w:after="160" w:before="0"/>
      </w:pPr>
    </w:p>
    <w:p>
      <w:pPr>
        <w:spacing w:after="100"/>
      </w:pPr>
      <w:r>
        <w:t xml:space="preserve">El DCF da 80,58 EUR por acción, un 7,7 % por debajo del precio de 87,30 EUR, con un WACC del 9,81 % y el valor terminal en el 58 % del valor empresa. </w:t>
      </w:r>
      <w:r>
        <w:rPr>
          <w:b/>
        </w:rPr>
        <w:t xml:space="preserve">El DCF inverso dice que el precio descuenta un crecimiento anual del 10,3 % en 2027e-2035e, frente al 8,9 % de nuestro caso base</w:t>
      </w:r>
      <w:r>
        <w:t xml:space="preserve">: 1,4 puntos más al año durante nueve años. Con nuestro margen, el precio equivale a una rentabilidad anual implícita del 9,2 %, por debajo de nuestro WACC del 9,81 % y por encima del 8,44 % que pide hoy el mercado. Por tanto, el precio no es exigente frente a la historia (16,1 % anual en 2016-2025) pero sí frente a un crecimiento que ya se ha moderado al 11-13 % trimestral y una retención que empeora. Todo cabe en la sensibilidad: con el WACC del 8,8 % el DCF da 92,95 EUR y con el 10,8 %, 71,25 EUR. La valoración depende más de la tasa de descuento que de las cifras, que coinciden con el consenso con diferencias del 1-3 %: ATOSS está bien valorada si se acepta el coste de capital que hoy pide el mercado y algo cara con el nuestro.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las suites de RR. HH. (Workday, SAP, UKG) frenan las altas y suben las bajas, como el New ACV plano del 1T26 prolongado: el crecimiento cae 4 puntos (cerca del 8 % en 2027e) y el margen EBITDA 3 puntos, hasta un margen EBIT del 32 %, el suelo de la guía inicial de 2026. El mercado exige medio punto más de WACC a un software «en riesgo», como entre febrero y junio de 2026, cuando la acción pasó de 124 a 65 EUR.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cumple la guía de 2026 y 2027 (213 y 240 M EUR, margen EBIT del 35 %), la nube sigue creciendo por encima del 20 % y el crecimiento se modera un punto al año hasta el 5 % de 2035e, con el margen EBITDA en el 39,5 % desde 2031e.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una palanca de precio (agentes de ATC y ASES desde el 4T26) y la expansión fuera de los países de habla alemana funciona: 2,5 puntos más de crecimiento y el margen de 2024 (EBITDA cerca del 41 % al final), con la cartera de nube creciendo al 25 % como hoy.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78,12 EUR (-10,5 %).</w:t>
      </w:r>
    </w:p>
    <w:p>
      <w:pPr>
        <w:spacing w:after="100"/>
      </w:pPr>
      <w:r>
        <w:t xml:space="preserve">La asimetría es desfavorable con nuestro WACC: el alcista da 97,18 EUR (+11,3 %) y el bajista 54,15 EUR (−38,0 %), una relación de 0,30 veces. Con la prima implícita del mercado mejora a 1,37 veces (119,89 frente a 63,46 EUR). El bajista no es cosmético: es el precio de junio de 2026 (65 EUR) con algo más de deterioro, y supone unas 9,3 veces el EBITDA de 2026e, cerca de las 9,1 veces de Paycom hoy [80]. El alcista necesita que la IA sume precio en vez de restar clientes, algo que los datos aún no muestran (retención neta del 113 %, a la baja [1]). Con probabilidades del 25-50-25 %, el valor ponderado queda por debajo del precio: no compensa comprar hoy.</w:t>
      </w:r>
    </w:p>
    <w:p>
      <w:pPr>
        <w:pStyle w:val="Heading1"/>
      </w:pPr>
      <w:r>
        <w:t xml:space="preserve">22. Suma de partes</w:t>
      </w:r>
    </w:p>
    <w:p>
      <w:pPr>
        <w:pStyle w:val="Confianza"/>
        <w:spacing w:after="100"/>
      </w:pPr>
      <w:r>
        <w:t xml:space="preserve">Confianza: Alta</w:t>
      </w:r>
    </w:p>
    <w:p>
      <w:pPr>
        <w:spacing w:after="100"/>
      </w:pPr>
      <w:r>
        <w:t xml:space="preserve">ATOSS tiene un único segmento (NIIF 8): nube, mantenimiento, licencias y consultoría se venden juntos a los mismos clientes y no tienen comparables separados [1]. No aplica.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80,89 EUR (-7,3 % sobre 87,30).</w:t>
      </w:r>
    </w:p>
    <w:p>
      <w:pPr>
        <w:spacing w:after="100"/>
      </w:pPr>
      <w:r>
        <w:t xml:space="preserve">El DCF pesa el 50 % porque ATOSS es un negocio estable, sin deuda y con una proyección que coincide con la guía y el consenso; los escenarios, un 30 %, para recoger la asimetría del riesgo de la IA. Los comparables pesan un 15 %: el grupo es heterogéneo (software europeo y nóminas de EE. UU. con EBITDA sin pagos en acciones) y la regresión no explica nada. Las transacciones, un 5 %, porque exigen el acuerdo del fundador y de General Atlantic. Los métodos van de 76,23 EUR (EV/EBITDA de comparables) a 93,04 EUR (transacciones), y el DCF con la prima del mercado da 98,51 EUR: la dispersión la explica casi entera la tasa de descuento. El puente es el balance del 30-jun-2026: 121,3 M EUR de liquidez (efectivo, depósitos y oro) y 5,5 M de arrendamientos, tras pagar el dividendo de 36,3 M en mayo [9]. Esa caja incluye 7,4 M más de facturación anticipada que al cierre del año (10,7 M de pasivos de contrato frente a 3,3 M), que se consumirán en el segundo semestre; lo compensa la caja del tercer trimestre, que el puente no recoge [9].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repunte del New ACV del 2T26 y de la cartera de nube; el punto medio de la guía exige ventas del 2S26 un 12 % por encima del 2S25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los agentes de IA de ASES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 si la IA suma precio y ventas cruzadas o solo defiende la base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Krishnamoorthy, CEO; Obereder pasa al Aufsichtsrat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relevo del fundador desde 1987; el Vorstand queda en dos personas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o rebaja de la guía de 235-245 M EUR y margen EBIT ≥ 35 % con el nuevo CEO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 75 % del BPA, unos 2,4 EUR según el consenso) y nueva votación de la remuneración, rechazada por la mayoría del capital libre en 2025 y 2026 [32, 58].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la restricción mutua de venta entre AOB y General Atlantic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General Atlantic (21,6 %) podría colocar acciones o pactar una venta con prima [1,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Aprobación de la reforma de la ley de jornada (ArbZG)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registro electrónico obligatorio ampliaría la demanda en las empresas medianas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las suites de RR. HH. erosionan las altas y la retención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altos (integración con nóminas y convenios); agentes de IA propios en 2026 [1,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por debajo del 110 % o bajas de la nube por encima del 4 %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los contratos nuevos por la economía alemana (84,5 % de las ventas en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−11 % (2 puntos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72 % de las ventas es recurrente y la cartera de nube a doce meses suma 120,7 M EUR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nube creciendo por debajo del 15 % interanual [9].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del fundador y CEO el 1-ene-2027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punto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sucesor es el COO desde 2021 y Obereder sigue en el Aufsichtsrat con el 23,9 %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2027 o salida del CFO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Colocación del paquete de General Atlantic (21,6 %) al vencer la restricción de venta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Presión temporal sobre el precio, sin efecto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Obereder compró 28,6 M EUR en bolsa entre nov-2025 y feb-2026 y puede absorber papel [38, 39, 40, 41, 42, 43, 44, 45, 46, 47, 48].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 voto de General Atlantic o colocación acelerada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por debajo de la guía por la inversión en IA y el centro de India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(2 puntos menos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 superó la guía en 2 a 7 puntos cada año desde 2022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trimestral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del coste de capital del software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(WACC un punto mayor)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y con 121,3 M EUR de liquidez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diez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remuneración rechazada por los minoritarios y control conjunto del 45,5 %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limita la protección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acción, un voto; operaciones vinculadas mínimas (0,07 M EUR)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por encima del 30 % del capital presente en 2027 [32].</w:t>
            </w:r>
          </w:p>
        </w:tc>
      </w:tr>
    </w:tbl>
    <w:p>
      <w:pPr>
        <w:spacing w:after="160" w:before="0"/>
      </w:pPr>
    </w:p>
    <w:p>
      <w:pPr>
        <w:pStyle w:val="Heading2"/>
      </w:pPr>
      <w:r>
        <w:t xml:space="preserve">Pre-mortem</w:t>
      </w:r>
    </w:p>
    <w:p>
      <w:pPr>
        <w:spacing w:after="100"/>
      </w:pPr>
      <w:r>
        <w:t xml:space="preserve">Es octubre de 2029 y la acción vale 52 EUR. En 2027 el nuevo CEO mantuvo la guía, pero los contratos nuevos siguieron planos: los grandes clientes alemanes aplazaron la renovación de su planificación de turnos a la espera de los módulos de IA de SAP y Workday, y los clientes de la nube que renovaban negociaron precios a la baja con la amenaza de cambiar. La retención neta cayó del 113 % al 104 % y las bajas de la nube subieron al 5 %. El crecimiento bajó al 7 % en 2028 y la dirección mantuvo el margen recortando la consultoría, lo que frenó aún más las altas. General Atlantic vendió su 21,6 % en dos colocaciones con descuento en 2027 y 2028, y sin un comprador natural el múltiplo cayó a 10 veces el EBITDA, el de las nóminas de EE. UU. Las señales estaban ahí desde 2025: la retención neta bajaba (116 % a 113 %), las bajas de la nube subían (2,9 % a 3,2 %) y las comisiones activadas crecían mucho más que las ventas (de 7,3 a 11,4 M EUR), es decir, cada euro de venta nueva costaba más de captar [1]. El indicador que lo habría anticipado es la retención neta por debajo del 110 % en el informe anual de 2026.</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bronce (entre el 35 % mejor valorado)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 (decil 4;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Para una empresa de software los asuntos materiales son tres. Primero, la seguridad de la información y la protección de los datos de los empleados de sus clientes: ATOSS tiene un sistema de gestión certificado según ISO/IEC 27001:2022, recertificado en 2025, y un centro de datos de respaldo [1]. Segundo, el talento: la rotación fue del 19,9 % en 2025 (20,9 % en 2024), que la empresa atribuye a la mayor competencia internacional por el personal [16]. Tercero, el clima tiene poco peso: emisiones de 3.511 t de CO₂e (según mercado) en 2025, frente a 3.142 t del año base 2023 y un objetivo intermedio de 2.982 t para 2025 que no se cumplió; el objetivo es reducirlas un 90 % para 2045 [16]. El 0 % de sus ventas es elegible para la taxonomía europea [16]. Es su primer informe con el estándar voluntario para pymes (VSME) [1]. ISS ESG la califica con C (decil 4, con estatus Prime) [30], y EcoVadis le dio la medalla de bronce en 2025 [1].</w:t>
      </w:r>
    </w:p>
    <w:p>
      <w:pPr>
        <w:pStyle w:val="Heading2"/>
      </w:pPr>
      <w:r>
        <w:t xml:space="preserve">Controversias</w:t>
      </w:r>
    </w:p>
    <w:p>
      <w:pPr>
        <w:spacing w:after="100"/>
      </w:pPr>
      <w:r>
        <w:t xml:space="preserve">El informe anual y el informe de sostenibilidad de 2025 no recogen sanciones, litigios relevantes ni incidentes de seguridad de datos [1, 16]. No se han encontrado controversias en 2023-2026 en las fuentes consultadas.</w:t>
      </w:r>
    </w:p>
    <w:p>
      <w:pPr>
        <w:pStyle w:val="Heading1"/>
      </w:pPr>
      <w:r>
        <w:t xml:space="preserve">27. Preguntas abiertas para la dirección y la due diligence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clientes de la nube ha contratado los módulos de IA y a qué precio adicional por empleado?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el alcista (más precio) o el bajista (bajas); hoy no se publica [13].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subieron las bajas de la nube al 3,2 % y la de mantenimiento al 3,0 % en 2025, y a qué competidor se fueron esos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primera señal de la tesis bajista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 ACV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New ACV del 1S26 en cifra y qué parte vino de clientes nuevos frente a migraciones?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se describe cualitativamente; mide el crecimiento de 2027-2028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activadas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crecieron las comisiones activadas un 56 % en 2025 frente a un 11 % de las ventas, y en cuántos años se amortizan?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Encarecen la captación de clientes y no aparecen en 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cambia en la estrategia con Krishnamoorthy, y qué papel tendrá Obereder desde el Aufsichtsrat?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dirige la empresa desde 1987 y su paso al órgano de control reduce la independencia [37].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Atlantic</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General Atlantic intención de vender al vencer la restricción de 2027, y ha habido interés de compradores por el conjunto?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21,6 % del capital que puede salir al mercado o abrir una opa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espera la dirección una vez completado el centro de India, y a qué plazo vuelve el 37 % de 2024?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2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no incorpora el variable a largo plazo métricas de rentabilidad o de flujo de caja, pese al rechazo de la mayoría del capital libre?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al nuevo CEO, que no tiene el incentivo patrimonial del fundador [31, 32].</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finanzen.ch / ariva («Atoss kaufen, dieser Chart lädt dazu ein»), últimas páginas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desde julio: los particulares celebran que la empresa «ha vuelto a cumplir» en el 2T26 y comparten noticias de rebote; ninguna voz bajista en el hilo, pero tampoco argumentos nuevos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finanzen.ch / ariva, enero-mayo de 2026 (contraste de tendencia)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giró en torno a las compras del fundador en plena caída «por la IA», a si ATOSS es candidata a una opa con una capitalización de unos 1.300 M y a un PER que ven barato frente a su historia; algún forero la considera cara aún con un BPA de 3 EUR [85].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Comunidad de getquin (ATOSS)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la compra del consejero delegado de febrero como señal de confianza y la acción entre las peores de las carteras en enero [88].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aktienwelt360 (artículo de opinión tras 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que un PER de unos 22 es barato para un crecimiento rentable del 12 % sin deuda, y señala como frenos la caída de licencias y la lentitud de decisión de los grandes clientes [86].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LYNX (análisis técnico y de sentimiento)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Gráfico roto: hombro-cabeza-hombro completado y precio bajo la media de 200 sesiones; recomienda mirar y no comprar hasta recuperar unos 95,7 EUR, pese a reconocer que los fundamentales acompañan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DER AKTIONÄR (artículo con la tesis de la caída por 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el relato «la IA se come el software» como causa de la caída y la réplica de la dirección (la IA mejora el software crítico); la revista tiene la acción en su cartera modelo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al software de plantillas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 caída que más se repite. Los datos aún no la muestran: ventas +12 % y cartera de nube +25 % en el 1S26, pero la retención neta bajó del 116 % al 113 % y las bajas de la nube subieron al 3,2 % en 2025 [86, 87].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del fundador en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hecho registrado: Obereder compró en bolsa unos 306.000 títulos por cerca de 28,6 M EUR entre noviembre de 2025 y febrero de 2026, a 81-114 EUR [85, 88].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Candidata a opa (General Atlantic y el fundador)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Especulación sin anuncio. Con el 45,5 % entre fundador y General Atlantic, una opa exige su acuerdo; la restricción de venta de General Atlantic vence hacia mediados de 2027 y también puede traer papel al mercado [85].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y la prensa comparan un PER de 20-27 con una media histórica de 45; el múltiplo histórico estaba inflado por tipos bajos y no es por sí solo una referencia de valor [86, 87].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Tendencia del precio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análisis técnico ve el gráfico roto tras la caída de finales de septiembre; la acción pierde un 22 % en el año frente a un SDAX que gana un 10 % [61].</w:t>
            </w:r>
          </w:p>
        </w:tc>
      </w:tr>
    </w:tbl>
    <w:p>
      <w:pPr>
        <w:spacing w:after="160" w:before="0"/>
      </w:pPr>
    </w:p>
    <w:p>
      <w:pPr>
        <w:spacing w:after="100"/>
      </w:pPr>
      <w:r>
        <w:t xml:space="preserve">El sentimiento de los particulares no es extremo: pasó de la capitulación de febrero-marzo, cuando la acción perdió un 40 % «por la IA», a un optimismo moderado tras el 1S26, y la caída de finales de septiembre volvió a enfriarlo. Los foros alemanes tienen poco debate y se apoyan en dos ideas: que el fundador compra y que el PER es bajo frente a su historia. No anticipan riesgos que el informe no recoja; el que más pesa en el precio, la sustitución por IA, sigue sin dato que lo confirme o lo descarte, y la primera prueba será la retención neta y el New ACV del 3T26 (23-oct). El sentimiento coincide con el de los analistas, mayoritariamente compradores.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88 (58 primarias); citas distintas en el texto: 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6,4 % en 2030e frente al 6,5 %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2,5 % frente a 2,7 %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0,17: el crecimiento no explica los múltiplos de estos comparables; no uses el valor de la regresión. Explicación: Con ocho comparables el crecimiento explica poco el EV/EBITDA (R² 0,17): mezcla software europeo de márgenes medios con nóminas de EE. UU. muy rentables y poco crecimiento. La regresión no entra en la síntesis; se usan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88 fuentes (58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12,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(3T24-4T25)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de la empresa (no publican consenso); 2) búsqueda de notas de analistas por trimestre: solo NuWays para 1T26 y 2T26; 3) búsqueda de consenso trimestral en prensa: sin datos de libre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conferencias de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(403, antibot); 2) búsqueda de transcripción o webcast: no hay transcripción pública; 3) notas de NuWays con lo dicho en la conferencia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ACV del 2T26 y del 1S26 en cifra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1S26 (solo cualitativo); 2) comunicado del 2T26 (solo cualitativo); 3) nota de NuWays del 2T26 (sin cifra de New ACV)</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Resumen público de Grand View Research (solo lista de empresas, sin cuotas); 2) MarketsandMarkets (solo lista de jugadores); 3) Technavio Europa (proveedores sin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(tamaño de Europa en euros)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Horizon, Europa y Alemania (páginas sin datos); 2) Technavio Europa (solo incremento 2024-2029); 3) Grand View mundial por la cuota de Europa de 2022, convertido a euros al tipo del BCE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clientes (primer cliente,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informe de gestión y riesgos; 2) informe semestral 1S26; 3) nota de NIIF 8 e información de segmentos del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UKG, Infor, Personio, Quinyx, GFOS, Interflex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cuentas propias (no cotizan o son filiales sin desglose: Interflex en Allegion); 2) Grand View y MarketsandMarkets (solo nombres); 3) Technavio Europa (solo nombres)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de Sustainalytics y de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ATOSS Software SE (no muestra la puntuación sin JavaScript); 2) página de ATOSS Software AG (igual); 3) Deutsche Börse (solo ISS ESG)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2019-2021 (guía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Jahresabschluss 2021 descargado: solo trae la guía de la sociedad individual HGB (ventas +13 % ± 3; margen antes de impuestos del 25 % ± 3); 2) comunicado de resultados de 2021 (31-ene-2022): da la guía de 2022, no la inicial de 2021; 3) búsqueda web de la guía del grupo de 2019-2021 sin documento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posiciones cortas netas (Bundesanzeiger, umbral del 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Bundesanzeiger Leerverkaufsregister filtrado por el ISIN DE0005104400: la página muestra otros emisores; 2) descarga en CSV del registro: redirige a la página sin datos; 3) sin otra fuente gratuita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importe de la entrega de RSU a Krishnamoorthy del 6-feb-2026 (2.610 acciones)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el número de acciones; 2) espejo de terceros de la notificación EQS (financialfilings.com): 403; 3) búsqueda web: solo resumen del buscador, no válido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recomendaciones.comprar / mantener / 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el reparto solo está en un gráfico sin cifras; 2) finanzen.net (403) y onvista (sin resumen de analistas); 3) LYNX: 6 de 8 analistas en Comprar a 31-ago-2026, sin reparto a la fecha de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gráfico; 2) MarketScreener, finanzas: sin tabla de revisiones; 3) prensa y LYNX: solo cambios de precio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de cada comparable: solo ROE y ROA; 2) MarketScreener, página de valoración: sin ROIC; 3) cálculo propio: exigiría el balance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la entrada de General Atlantic en ATOSS (2023) y del contrato a plazo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ATOSS de 15-jun-2023: no da precio; 2) Nota de la colocación de 6-sep-2024: «pre-agreed price» sin cifra; 3) informe anual 2025: sin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Geschäftsbericht 2025 (informe anual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https://www.hauptversammlung.de/fileadmin/public/user_upload/Atoss_GB25.pdf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Geschäftsbericht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https://backend.atoss.com/sites/default/files/2025-03/atoss-geschaeftsbericht-2024.pdf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https://backend.atoss.com/sites/default/files/2024-03/atoss-geschaeftsbericht-2023.pdf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https://backend.atoss.com/sites/default/files/2023-03/atoss-geschaeftsbericht-2022.pdf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https://backend.atoss.com/sites/default/files/2022-03/atoss-geschaeftsbericht-2021.pdf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https://irpages2.eqs.com/Download/Companies/atoss/Annual%20Reports/DE0005104400-JA-2020-EQ-E-00.pdf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https://irpages2.eqs.com/Download/Companies/atoss/Annual%20Reports/DE0005104400-JA-2019-EQ-E-00.pdf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https://irpages2.eqs.com/Download/Companies/atoss/Annual%20Reports/DE0005104400-JA-2017-EQ-E-00.pdf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Halbjahresbericht 2026 (informe semestral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https://backend.atoss.com/sites/default/files/2026-08/atoss-halbjahresbericht-2026.pdf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Q2 2026 (comunicado de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https://backend.atoss.com/sites/default/files/2026-07/atoss-quarterly-statement-q2-2026.pdf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Geschäftsjahr 2025 (resultados preliminares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https://backend.atoss.com/sites/default/files/2026-01/atoss-pi-geschaefstjahr-2025-30012026.pdf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https://backend.atoss.com/sites/default/files/2025-10/atoss-quarterly-statement-q3-2025.pdf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Original-Research: ATOSS Software SE (NuWays AG): BUY, nota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NuWays AG vía dpa-AFX (BörsenNEWS)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https://www.boersennews.de/nachrichten/artikel/dpa-afx/original-research-atoss-software-se-von-nuways-ag-buy/5121909/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Quarterly statement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https://backend.atoss.com/sites/default/files/2026-04/quarterly-statement-q1-2026.pdf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Original-Research: ATOSS Software SE (NuWays AG): BUY, nota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NuWays AG vía dpa-AFX (Börse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https://www.boerse-online.de/dpa-afx/original-research-atoss-software-se-von-nuways-ag-buy-540571.html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Konzern-Nachhaltigkeitsbericht 2025 (VSME)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https://backend.atoss.com/sites/default/files/2026-03/atoss-nachhaltigkeitsbericht-2025.pdf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Atlantic invests in ATOSS Software AG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https://backend.atoss.com/sites/default/files/2023-06/atoss-pr-general-atlantic-invests-in-atoss.pdf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Private placement of ATOSS shares by AOB Invest and General Atlantic successfully completed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https://backend.atoss.com/sites/default/files/2024-09/atoss-pr-private-placement-06-09-24.pdf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Workforce Management Market Size, Share &amp; Trends Analysis Report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https://www.grandviewresearch.com/industry-analysis/workforce-management-market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Workforce Management Market - Global Forecast to 2031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https://www.marketsandmarkets.com/Market-Reports/workforce-management-market-35602998.html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Workforce Management Software Market in Europe 2025-2029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Technavio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https://technavio.com/report/workforce-management-software-market-in-europe-industry-analysis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Form 10-K, ejercicio terminado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https://www.sec.gov/Archives/edgar/data/1327811/000132781126000014/wday-20260131.htm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Form 10-K,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https://www.sec.gov/Archives/edgar/data/1725057/000095017025029980/day-20241231.htm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Form 8-K (cierre de la fusión con Thoma Bravo)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https://www.sec.gov/Archives/edgar/data/1725057/000114036126003628/ef20064744_8k.htm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SE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https://www.sec.gov/Archives/edgar/data/1000184/000110465926020058/sap-20251231x20f.htm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delivers strong FY26 results (ASX market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https://brandfolder.xero.com/NE531UQB/as/nvrr7wvj8fpp7rkgf9ww7w/Xero_FY26_ASX_Release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35/22: Einführung elektronischer Zeiterfassung, Initiativrecht des Betriebsrats (1 ABR 22/21)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Bundesarbeitsgericht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https://www.bundesarbeitsgericht.de/presse/einfuehrung-elektronischer-zeiterfassung-initiativrecht-des-betriebsrats/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Entwurf eines Gesetzes zur Änderung des Arbeitszeitgesetzes: angedachte Regelungen und Auswirkungen in der Praxis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Verlag Dr. Otto Schmidt, Arbeitsrecht-Blog (W. Kleinebrink)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https://www.otto-schmidt.de/blog/arbeitsrecht-blog/entwurf-eines-gesetzes-zur-anderung-des-arbeitszeitgesetzes-angedachte-regelungen-und-auswirkungen-in-der-praxis-ARBLOG0008798.html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anual y diario, NZD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https://data-api.ecb.europa.eu/service/data/EXR/A.USD.EUR.SP00.A?startPeriod=2020&amp;format=csvdata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Nachhaltigkeit (calificaciones de ISS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Börse (live.deutsche-boerse.com)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https://live.deutsche-boerse.com/equity/atoss-software-se/sustainability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Vergütungsbericht 2025 (informe de remuneraciones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https://backend.atoss.com/sites/default/files/2026-03/2026-hv-verguetungsbericht.pdf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der ordentlichen Hauptversammlung am 30.04.2026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https://backend.atoss.com/sites/default/files/2026-05/abstimmungsergebnis-ordentliche-atoss-hv-2026.pdf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Abstimmungsergebnisse der ordentlichen Hauptversammlung am 30.04.2025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https://www.hauptversammlung.de/fileadmin/public/user_upload/atoss_Ergebnisse25.pdf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Abstimmungsergebnis der ordentlichen Hauptversammlung am 30.04.2024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https://www.hauptversammlung.de/fileadmin/public/user_upload/ATOS_Ergebnisse2024.pdf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ordentlichen Hauptversammlung 2026 (convocatoria y orden del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https://backend.atoss.com/sites/default/files/2026-03/inhalt-der-einberfung-zur-hauptversammlung-2026.pdf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außerordentlichen Hauptversammlung am 15.09.2023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https://hauptversammlung.de/fileadmin/public/user_upload/Einberufung_aoHV.pdf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EQS-Adhoc: Planned change in executive leadership effective at year-end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https://live.deutsche-boerse.com/news/EQS-Adhoc-ATOSS-Software-SE-Planned-change-in-executive-leadership-effective-at-yearend-2026-2027-b4e5127d-cbe8-4dd4-92c5-13035f499df6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(27.11.2025)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https://www.boerse-online.de/dpa-afx/eqs-dd-atoss-software-se-deutsch-487663.html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(28.11.2025)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https://www.boerse-online.de/dpa-afx/eqs-dd-atoss-software-se-deutsch-487802.html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https://www.boerse-online.de/dpa-afx/eqs-dd-atoss-software-se-deutsch-487799.html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(02.12.2025)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https://www.boerse-online.de/dpa-afx/eqs-dd-atoss-software-se-deutsch-487797.html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(05.02.2026)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https://www.boerse-online.de/dpa-afx/eqs-dd-atoss-software-se-deutsch-501569.html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https://www.boerse-online.de/dpa-afx/eqs-dd-atoss-software-se-deutsch-501574.html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(09.02.2026)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https://www.boerse-online.de/dpa-afx/eqs-dd-atoss-software-se-deutsch-501765.html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(10.02.2026)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https://www.boerse-online.de/dpa-afx/eqs-dd-atoss-software-se-deutsch-501766.html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(23.02.2026)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https://www.boerse-online.de/dpa-afx/eqs-dd-atoss-software-se-deutsch-504897.html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(24.02.2026)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https://www.boerse-online.de/dpa-afx/eqs-dd-atoss-software-se-deutsch-504898.html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AOB Invest GmbH, Kauf (25.02.2026)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https://www.boerse-online.de/dpa-afx/eqs-dd-atoss-software-se-deutsch-505066.html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Christof Leiber, Erwerb von 1.745 Aktien (RSU, 06.02.2026)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https://www.boerse-online.de/dpa-afx/eqs-dd-atoss-software-se-deutsch-501267.html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Christof Leiber, Kauf (13.02.2026)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https://www.boerse-online.de/dpa-afx/eqs-dd-atoss-software-se-deutsch-502719.html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Pritim Kumar Krishnamoorthy, Erwerb von 1.754 Aktien (RSU, 10.08.2026)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https://www.boerse-online.de/dpa-afx/eqs-dd-atoss-software-se-deutsch-544029.html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EQS-DD: Christof Leiber, Erwerb von 1.169 Aktien (RSU, 10.08.2026)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 boerse-online.de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https://www.boerse-online.de/dpa-afx/eqs-dd-atoss-software-se-deutsch-544028.html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Konzernabschluss und zusammengefasster Lagebericht 2024 (con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https://backend.atoss.com/sites/default/files/2025-03/testat-atoss-software-se-ka-2024.pdf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2023 (informe anual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https://backend.atoss.com/sites/default/files/2024-03/atoss-geschaeftsbericht-2023_0.pdf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vorläufige Ergebnisse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https://backend.atoss.com/sites/default/files/2023-01/atoss-pi-vorl-ergebnisse-2022.pdf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Pressemitteilung Geschäftsjahr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https://backend.atoss.com/sites/default/files/2022-01/ATOSS-IR-Pressemitteilung-Geschaeftsjahr-2021.pdf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Jahresabschluss und Lagebericht der ATOSS Software AG 2021 (HGB)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https://backend.atoss.com/sites/default/files/2024-03/financial-statements-and-management-report-atoss-december-31-2021.pdf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Finances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https://www.marketscreener.com/quote/stock/ATOSS-SOFTWARE-SE-435665/finances/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https://www.marketscreener.com/quote/stock/ATOSS-SOFTWARE-SE-435665/consensus/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SE: Company (accionistas,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https://www.marketscreener.com/quote/stock/ATOSS-SOFTWARE-SE-435665/company/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Analyse (artículos de 3-jun, 31-ago y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LYNX Broker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https://www.lynxbroker.de/boerse/boerse-kurse/aktien/atoss-software-aktie/atoss-software-analyse/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Analysten senken Kursziele trotz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https://goldesel.de/aktien/news/atoss-software-analysten-senken-kursziele-trotz-buy-aktie-bei-7160-weiter-unter-druck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AOF.DE, EXSE.DE (SDAX) y EXS2.DE (TecDAX),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https://finance.yahoo.com/quote/AOF.DE/history/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Zinsstrukturkurve börsennotierter Bundeswertpapiere, Restlaufzeit 10 Jahre, Tageswerte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(betaEurope.xls)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https://pages.stern.nyu.edu/~adamodar/pc/datasets/betaEurope.xls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resultados del 2T21 (Exhibit 99.1, 8-K de 5-ago-2021)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https://www.sec.gov/Archives/edgar/data/1401680/000119312521238137/d135195dex991.htm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to be acquired by Clearlake Capital Group in $5.2 Billion Transaction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https://www.sec.gov/Archives/edgar/data/1401680/000119312521238137/d135195dex992.htm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Cornerstone OnDemand: ingresos trimestrales y anuales (XBRL, RevenueFromContractWithCustomer)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https://data.sec.gov/api/xbrl/companyconcept/CIK0001401680/us-gaap/RevenueFromContractWithCustomerExcludingAssessedTax.json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Enters into Definitive Agreement to Acquire Paycor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ingresos anuales (XBRL, RevenueFromContractWithCustomer)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https://data.sec.gov/api/xbrl/companyconcept/CIK0001839439/us-gaap/RevenueFromContractWithCustomerExcludingAssessedTax.json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resultados del primer trimestre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https://www.sec.gov/Archives/edgar/data/8670/000000867024000026/q1fy25exhibit99.htm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US$12.3 Billion Definitive Agreement with Thoma Bravo to Become a Private Company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(EXR, diarios: USD, GBP, AUD, NZD)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https://data-api.ecb.europa.eu/service/data/EXR/D.USD+GBP+AUD+NZD.EUR.SP00.A?startPeriod=2026-10-08&amp;endPeriod=2026-10-09&amp;format=csvdata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Netto-Leerverkaufspositionen (búsqueda por ISIN DE0005104400)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https://www.bundesanzeiger.de/pub/de/nlp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SAP: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https://www.marketscreener.com/quote/stock/SAP-SE-436555/finances/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Sage Group: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https://www.marketscreener.com/quote/stock/SAGE-GROUP-PLC-13421569/finances/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https://www.marketscreener.com/quote/stock/PAYLOCITY-HOLDING-CORPORA-16043784/finances/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Finances (estimaciones, deuda neta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https://www.marketscreener.com/quote/stock/XERO-LIMITED-11900043/finances/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«Atoss kaufen, dieser Chart lädt dazu ein», página 18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 / 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https://forum.finanzen.ch/forum/Atoss_Software-t271657?page=17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«Atoss kaufen, dieser Chart lädt dazu ein», página 17 (ene-may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 / 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https://forum.finanzen.ch/forum/Atoss_Software-t271657?page=16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Atoss-Aktie: Dieses KGV wäre jetzt fair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aktienwelt360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https://www.aktienwelt360.de/2026/07/30/atoss-aktie-dieses-kgv-waere-jetzt-fair/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 Kursrutsch nach KI-Sorgen: Das spricht hier jetzt für ein Comeback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 AKTIONÄR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https://www.deraktionaer.de/artikel/aktien/30-kursrutsch-nach-ki-sorgen-das-spricht-hier-jetzt-fuer-ein-comeback-20396287.html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Atoss Software (AOF): foro y diskussion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https://app.getquin.com/de/aktie/DE0005104400/atoss-software/forum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88,4 %</w:t>
      </w:r>
      <w:r>
        <w:t xml:space="preserve"> · Secciones con menos del 60 % de campos cubiertos: </w:t>
      </w:r>
      <w:r>
        <w:rPr>
          <w:b/>
          <w:bCs/>
        </w:rPr>
        <w:t xml:space="preserve">capital</w:t>
      </w:r>
      <w:r>
        <w:t xml:space="preserve"> · Generado el 12 oct 2026.</w:t>
      </w:r>
    </w:p>
    <w:p>
      <w:pPr>
        <w:pStyle w:val="Nota"/>
        <w:spacing w:after="100"/>
      </w:pPr>
      <w:r>
        <w:t xml:space="preserve">Precio de cierre del viernes 9-oct-2026 (87,30 EUR), porque el corte cae en domingo [63]. Acciones: 15,906 M, sin autocartera ni instrumentos dilusivos relevantes (las RSU del Vorstand se liquidan con acciones compradas en bolsa) [9]. Las cifras por acción de 2016-2023 están ajustadas por las dos ampliaciones gratuitas 1:1 de 2020 y 2024 [1, 6]. ATOSS reporta un único segmento (NIIF 8): la tabla de negocio usa sus líneas de ingresos, sin resultado por línea [1]. La cuenta se presenta por función; el EBITDA es el EBIT más las amortizaciones, la misma definición que el consenso [1, 58]. Los pasivos de contrato (facturación anticipada de nube y mantenimiento) se incluyen en el circulante; son pequeños al cierre del año (3,3 M en 2025) porque la facturación anual se concentra en enero [1, 9]. El último ejercicio auditado es 2025 y el último intermedio, el 1S26 (sin revisión limitada del auditor) [9]. No hay transcripciones públicas de las conferencias; su contenido sale de notas de analistas [13, 15]. El tamaño del mercado europeo en euros es una estimación propia a partir de proveedores privados [19, 20, 21].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ATOSS Software SE (AOF)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Hoja1!$B$2:$B$10</c:f>
              <c:numCache>
                <c:formatCode>#,##0</c:formatCode>
                <c:ptCount val="9"/>
                <c:pt idx="0">
                  <c:v>65</c:v>
                </c:pt>
                <c:pt idx="1">
                  <c:v>91</c:v>
                </c:pt>
                <c:pt idx="2">
                  <c:v>68.69</c:v>
                </c:pt>
                <c:pt idx="3">
                  <c:v>74.83</c:v>
                </c:pt>
                <c:pt idx="4">
                  <c:v>89.58</c:v>
                </c:pt>
                <c:pt idx="5">
                  <c:v>73.15</c:v>
                </c:pt>
                <c:pt idx="6">
                  <c:v>54.15</c:v>
                </c:pt>
                <c:pt idx="7">
                  <c:v>91.05</c:v>
                </c:pt>
                <c:pt idx="8">
                  <c:v>86.86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Hoja1!$C$2:$C$10</c:f>
              <c:numCache>
                <c:formatCode>#,##0</c:formatCode>
                <c:ptCount val="9"/>
                <c:pt idx="0">
                  <c:v>59</c:v>
                </c:pt>
                <c:pt idx="1">
                  <c:v>66</c:v>
                </c:pt>
                <c:pt idx="2">
                  <c:v>14.240000000000009</c:v>
                </c:pt>
                <c:pt idx="3">
                  <c:v>27.960000000000008</c:v>
                </c:pt>
                <c:pt idx="4">
                  <c:v>4.6000000000000085</c:v>
                </c:pt>
                <c:pt idx="5">
                  <c:v>17.14999999999999</c:v>
                </c:pt>
                <c:pt idx="6">
                  <c:v>43.03000000000001</c:v>
                </c:pt>
                <c:pt idx="7">
                  <c:v>16.320000000000007</c:v>
                </c:pt>
                <c:pt idx="8">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Cloud &amp; Subscriptions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19.86</c:v>
                </c:pt>
                <c:pt idx="1">
                  <c:v>34.154</c:v>
                </c:pt>
                <c:pt idx="2">
                  <c:v>52.918</c:v>
                </c:pt>
                <c:pt idx="3">
                  <c:v>72.353</c:v>
                </c:pt>
                <c:pt idx="4">
                  <c:v>92.684</c:v>
                </c:pt>
              </c:numCache>
            </c:numRef>
          </c:val>
        </c:ser>
        <c:ser>
          <c:idx val="1"/>
          <c:order val="1"/>
          <c:tx>
            <c:strRef>
              <c:f>Hoja1!$C$1</c:f>
              <c:strCache>
                <c:ptCount val="1"/>
                <c:pt idx="0">
                  <c:v>Mantenimiento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28.934</c:v>
                </c:pt>
                <c:pt idx="1">
                  <c:v>31.632</c:v>
                </c:pt>
                <c:pt idx="2">
                  <c:v>35.669</c:v>
                </c:pt>
                <c:pt idx="3">
                  <c:v>38.963</c:v>
                </c:pt>
                <c:pt idx="4">
                  <c:v>39.211</c:v>
                </c:pt>
              </c:numCache>
            </c:numRef>
          </c:val>
        </c:ser>
        <c:ser>
          <c:idx val="2"/>
          <c:order val="2"/>
          <c:tx>
            <c:strRef>
              <c:f>Hoja1!$D$1</c:f>
              <c:strCache>
                <c:ptCount val="1"/>
                <c:pt idx="0">
                  <c:v>Licencias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17.177</c:v>
                </c:pt>
                <c:pt idx="1">
                  <c:v>12.607</c:v>
                </c:pt>
                <c:pt idx="2">
                  <c:v>19.61</c:v>
                </c:pt>
                <c:pt idx="3">
                  <c:v>13.54</c:v>
                </c:pt>
                <c:pt idx="4">
                  <c:v>8.785</c:v>
                </c:pt>
              </c:numCache>
            </c:numRef>
          </c:val>
        </c:ser>
        <c:ser>
          <c:idx val="3"/>
          <c:order val="3"/>
          <c:tx>
            <c:strRef>
              <c:f>Hoja1!$E$1</c:f>
              <c:strCache>
                <c:ptCount val="1"/>
                <c:pt idx="0">
                  <c:v>Consultoría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25.243</c:v>
                </c:pt>
                <c:pt idx="1">
                  <c:v>28.115</c:v>
                </c:pt>
                <c:pt idx="2">
                  <c:v>33.229</c:v>
                </c:pt>
                <c:pt idx="3">
                  <c:v>35.943</c:v>
                </c:pt>
                <c:pt idx="4">
                  <c:v>39.628</c:v>
                </c:pt>
              </c:numCache>
            </c:numRef>
          </c:val>
        </c:ser>
        <c:ser>
          <c:idx val="4"/>
          <c:order val="4"/>
          <c:tx>
            <c:strRef>
              <c:f>Hoja1!$F$1</c:f>
              <c:strCache>
                <c:ptCount val="1"/>
                <c:pt idx="0">
                  <c:v>Hardware</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4.373</c:v>
                </c:pt>
                <c:pt idx="1">
                  <c:v>4.476</c:v>
                </c:pt>
                <c:pt idx="2">
                  <c:v>6.084</c:v>
                </c:pt>
                <c:pt idx="3">
                  <c:v>5.801</c:v>
                </c:pt>
                <c:pt idx="4">
                  <c:v>3.679</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1.481</c:v>
                </c:pt>
                <c:pt idx="1">
                  <c:v>2.932</c:v>
                </c:pt>
                <c:pt idx="2">
                  <c:v>3.688</c:v>
                </c:pt>
                <c:pt idx="3">
                  <c:v>4.025</c:v>
                </c:pt>
                <c:pt idx="4">
                  <c:v>5.271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Cloud &amp; Subscriptions</c:v>
                </c:pt>
                <c:pt idx="1">
                  <c:v>Mantenimiento</c:v>
                </c:pt>
                <c:pt idx="2">
                  <c:v>Licencias</c:v>
                </c:pt>
                <c:pt idx="3">
                  <c:v>Consultoría</c:v>
                </c:pt>
                <c:pt idx="4">
                  <c:v>Hardware</c:v>
                </c:pt>
                <c:pt idx="5">
                  <c:v>Otros</c:v>
                </c:pt>
              </c:strCache>
            </c:strRef>
          </c:cat>
          <c:val>
            <c:numRef>
              <c:f>Hoja1!$B$2:$B$7</c:f>
              <c:numCache>
                <c:formatCode>General</c:formatCode>
                <c:ptCount val="6"/>
                <c:pt idx="0">
                  <c:v>49</c:v>
                </c:pt>
                <c:pt idx="1">
                  <c:v>20.7</c:v>
                </c:pt>
                <c:pt idx="2">
                  <c:v>4.6</c:v>
                </c:pt>
                <c:pt idx="3">
                  <c:v>20.9</c:v>
                </c:pt>
                <c:pt idx="4">
                  <c:v>1.9</c:v>
                </c:pt>
                <c:pt idx="5">
                  <c:v>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Alemania</c:v>
                </c:pt>
                <c:pt idx="1">
                  <c:v>Austria</c:v>
                </c:pt>
                <c:pt idx="2">
                  <c:v>Suiza</c:v>
                </c:pt>
                <c:pt idx="3">
                  <c:v>Otros</c:v>
                </c:pt>
              </c:strCache>
            </c:strRef>
          </c:cat>
          <c:val>
            <c:numRef>
              <c:f>Hoja1!$B$2:$B$5</c:f>
              <c:numCache>
                <c:formatCode>0"%"</c:formatCode>
                <c:ptCount val="4"/>
                <c:pt idx="0">
                  <c:v>84.5</c:v>
                </c:pt>
                <c:pt idx="1">
                  <c:v>5.4</c:v>
                </c:pt>
                <c:pt idx="2">
                  <c:v>4</c:v>
                </c:pt>
                <c:pt idx="3">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(Europa;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2022</c:v>
                </c:pt>
                <c:pt idx="1">
                  <c:v>2023</c:v>
                </c:pt>
                <c:pt idx="2">
                  <c:v>2024</c:v>
                </c:pt>
                <c:pt idx="3">
                  <c:v>2025</c:v>
                </c:pt>
                <c:pt idx="4">
                  <c:v>2026e</c:v>
                </c:pt>
                <c:pt idx="5">
                  <c:v>2027e</c:v>
                </c:pt>
                <c:pt idx="6">
                  <c:v>2028e</c:v>
                </c:pt>
                <c:pt idx="7">
                  <c:v>2029e</c:v>
                </c:pt>
                <c:pt idx="8">
                  <c:v>2030e</c:v>
                </c:pt>
              </c:strCache>
            </c:strRef>
          </c:cat>
          <c:val>
            <c:numRef>
              <c:f>Hoja1!$B$2:$B$10</c:f>
              <c:numCache>
                <c:formatCode>#,##0</c:formatCode>
                <c:ptCount val="9"/>
                <c:pt idx="0">
                  <c:v>2246</c:v>
                </c:pt>
                <c:pt idx="1">
                  <c:v>2443</c:v>
                </c:pt>
                <c:pt idx="2">
                  <c:v>2726</c:v>
                </c:pt>
                <c:pt idx="3">
                  <c:v>2917</c:v>
                </c:pt>
                <c:pt idx="4">
                  <c:v>3286</c:v>
                </c:pt>
                <c:pt idx="5">
                  <c:v>3670</c:v>
                </c:pt>
                <c:pt idx="6">
                  <c:v>4100</c:v>
                </c:pt>
                <c:pt idx="7">
                  <c:v>4579</c:v>
                </c:pt>
                <c:pt idx="8">
                  <c:v>5115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ATOSS</c:v>
                </c:pt>
                <c:pt idx="1">
                  <c:v>SAP (SuccessFactors y SAP HCM)</c:v>
                </c:pt>
                <c:pt idx="2">
                  <c:v>Workday</c:v>
                </c:pt>
                <c:pt idx="3">
                  <c:v>Dayforce (antes Ceridian)</c:v>
                </c:pt>
                <c:pt idx="4">
                  <c:v>Xero (Planday)</c:v>
                </c:pt>
                <c:pt idx="5">
                  <c:v>UKG</c:v>
                </c:pt>
                <c:pt idx="6">
                  <c:v>Infor</c:v>
                </c:pt>
              </c:strCache>
            </c:strRef>
          </c:cat>
          <c:val>
            <c:numRef>
              <c:f>Hoja1!$B$2:$B$8</c:f>
              <c:numCache>
                <c:formatCode>0.0"%"</c:formatCode>
                <c:ptCount val="7"/>
                <c:pt idx="0">
                  <c:v>36</c:v>
                </c:pt>
                <c:pt idx="1">
                  <c:v>26.1</c:v>
                </c:pt>
                <c:pt idx="2">
                  <c:v>7.5</c:v>
                </c:pt>
                <c:pt idx="3">
                  <c:v>5.9</c:v>
                </c:pt>
                <c:pt idx="4">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49.544</c:v>
                </c:pt>
                <c:pt idx="1">
                  <c:v>54.607</c:v>
                </c:pt>
                <c:pt idx="2">
                  <c:v>62.611</c:v>
                </c:pt>
                <c:pt idx="3">
                  <c:v>71.392</c:v>
                </c:pt>
                <c:pt idx="4">
                  <c:v>86.053</c:v>
                </c:pt>
                <c:pt idx="5">
                  <c:v>97.066</c:v>
                </c:pt>
                <c:pt idx="6">
                  <c:v>113.916</c:v>
                </c:pt>
                <c:pt idx="7">
                  <c:v>151.198</c:v>
                </c:pt>
                <c:pt idx="8">
                  <c:v>170.625</c:v>
                </c:pt>
                <c:pt idx="9">
                  <c:v>189.258</c:v>
                </c:pt>
                <c:pt idx="10">
                  <c:v>213</c:v>
                </c:pt>
                <c:pt idx="11">
                  <c:v>240</c:v>
                </c:pt>
                <c:pt idx="12">
                  <c:v>268</c:v>
                </c:pt>
                <c:pt idx="13">
                  <c:v>298</c:v>
                </c:pt>
                <c:pt idx="14">
                  <c:v>328</c:v>
                </c:pt>
                <c:pt idx="15">
                  <c:v>357</c:v>
                </c:pt>
                <c:pt idx="16">
                  <c:v>386</c:v>
                </c:pt>
                <c:pt idx="17">
                  <c:v>413</c:v>
                </c:pt>
                <c:pt idx="18">
                  <c:v>437</c:v>
                </c:pt>
                <c:pt idx="19">
                  <c:v>459</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14.277</c:v>
                </c:pt>
                <c:pt idx="1">
                  <c:v>14.879</c:v>
                </c:pt>
                <c:pt idx="2">
                  <c:v>17.994</c:v>
                </c:pt>
                <c:pt idx="3">
                  <c:v>22.506</c:v>
                </c:pt>
                <c:pt idx="4">
                  <c:v>29.759</c:v>
                </c:pt>
                <c:pt idx="5">
                  <c:v>31.352</c:v>
                </c:pt>
                <c:pt idx="6">
                  <c:v>34.707</c:v>
                </c:pt>
                <c:pt idx="7">
                  <c:v>55.865</c:v>
                </c:pt>
                <c:pt idx="8">
                  <c:v>67.829</c:v>
                </c:pt>
                <c:pt idx="9">
                  <c:v>72.883</c:v>
                </c:pt>
                <c:pt idx="10">
                  <c:v>80</c:v>
                </c:pt>
                <c:pt idx="11">
                  <c:v>90</c:v>
                </c:pt>
                <c:pt idx="12">
                  <c:v>102</c:v>
                </c:pt>
                <c:pt idx="13">
                  <c:v>115</c:v>
                </c:pt>
                <c:pt idx="14">
                  <c:v>128</c:v>
                </c:pt>
                <c:pt idx="15">
                  <c:v>141</c:v>
                </c:pt>
                <c:pt idx="16">
                  <c:v>152</c:v>
                </c:pt>
                <c:pt idx="17">
                  <c:v>163</c:v>
                </c:pt>
                <c:pt idx="18">
                  <c:v>173</c:v>
                </c:pt>
                <c:pt idx="19">
                  <c:v>181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69.9</c:v>
                </c:pt>
                <c:pt idx="1">
                  <c:v>70.3</c:v>
                </c:pt>
                <c:pt idx="2">
                  <c:v>70.5</c:v>
                </c:pt>
                <c:pt idx="3">
                  <c:v>70.3</c:v>
                </c:pt>
                <c:pt idx="4">
                  <c:v>72.4</c:v>
                </c:pt>
                <c:pt idx="5">
                  <c:v>73</c:v>
                </c:pt>
                <c:pt idx="6">
                  <c:v>72.6</c:v>
                </c:pt>
                <c:pt idx="7">
                  <c:v>77.1</c:v>
                </c:pt>
                <c:pt idx="8">
                  <c:v>77.1</c:v>
                </c:pt>
                <c:pt idx="9">
                  <c:v>78.4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28.8</c:v>
                </c:pt>
                <c:pt idx="1">
                  <c:v>27.2</c:v>
                </c:pt>
                <c:pt idx="2">
                  <c:v>28.7</c:v>
                </c:pt>
                <c:pt idx="3">
                  <c:v>31.5</c:v>
                </c:pt>
                <c:pt idx="4">
                  <c:v>34.6</c:v>
                </c:pt>
                <c:pt idx="5">
                  <c:v>32.3</c:v>
                </c:pt>
                <c:pt idx="6">
                  <c:v>30.5</c:v>
                </c:pt>
                <c:pt idx="7">
                  <c:v>36.9</c:v>
                </c:pt>
                <c:pt idx="8">
                  <c:v>39.8</c:v>
                </c:pt>
                <c:pt idx="9">
                  <c:v>38.5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27.4</c:v>
                </c:pt>
                <c:pt idx="1">
                  <c:v>25.9</c:v>
                </c:pt>
                <c:pt idx="2">
                  <c:v>27</c:v>
                </c:pt>
                <c:pt idx="3">
                  <c:v>27</c:v>
                </c:pt>
                <c:pt idx="4">
                  <c:v>30.4</c:v>
                </c:pt>
                <c:pt idx="5">
                  <c:v>28.1</c:v>
                </c:pt>
                <c:pt idx="6">
                  <c:v>27</c:v>
                </c:pt>
                <c:pt idx="7">
                  <c:v>34.3</c:v>
                </c:pt>
                <c:pt idx="8">
                  <c:v>37.2</c:v>
                </c:pt>
                <c:pt idx="9">
                  <c:v>36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18.7</c:v>
                </c:pt>
                <c:pt idx="1">
                  <c:v>17.1</c:v>
                </c:pt>
                <c:pt idx="2">
                  <c:v>17.9</c:v>
                </c:pt>
                <c:pt idx="3">
                  <c:v>19</c:v>
                </c:pt>
                <c:pt idx="4">
                  <c:v>20.6</c:v>
                </c:pt>
                <c:pt idx="5">
                  <c:v>19.9</c:v>
                </c:pt>
                <c:pt idx="6">
                  <c:v>17</c:v>
                </c:pt>
                <c:pt idx="7">
                  <c:v>23.7</c:v>
                </c:pt>
                <c:pt idx="8">
                  <c:v>26.6</c:v>
                </c:pt>
                <c:pt idx="9">
                  <c:v>25.6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13.7</c:v>
                </c:pt>
                <c:pt idx="1">
                  <c:v>9.3</c:v>
                </c:pt>
                <c:pt idx="2">
                  <c:v>10.5</c:v>
                </c:pt>
                <c:pt idx="3">
                  <c:v>9.2</c:v>
                </c:pt>
                <c:pt idx="4">
                  <c:v>12.2</c:v>
                </c:pt>
                <c:pt idx="5">
                  <c:v>11.6</c:v>
                </c:pt>
                <c:pt idx="6">
                  <c:v>11.2</c:v>
                </c:pt>
                <c:pt idx="7">
                  <c:v>13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13.7</c:v>
                </c:pt>
                <c:pt idx="1">
                  <c:v>9.3</c:v>
                </c:pt>
                <c:pt idx="2">
                  <c:v>10.5</c:v>
                </c:pt>
                <c:pt idx="3">
                  <c:v>9.2</c:v>
                </c:pt>
                <c:pt idx="4">
                  <c:v>12.2</c:v>
                </c:pt>
                <c:pt idx="5">
                  <c:v>11.6</c:v>
                </c:pt>
                <c:pt idx="6">
                  <c:v>11.2</c:v>
                </c:pt>
                <c:pt idx="7">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34</c:v>
                </c:pt>
                <c:pt idx="2">
                  <c:v>36</c:v>
                </c:pt>
                <c:pt idx="3">
                  <c:v>39</c:v>
                </c:pt>
                <c:pt idx="4">
                  <c:v>38</c:v>
                </c:pt>
                <c:pt idx="5">
                  <c:v>45</c:v>
                </c:pt>
                <c:pt idx="6">
                  <c:v>32</c:v>
                </c:pt>
                <c:pt idx="7">
                  <c:v>25</c:v>
                </c:pt>
                <c:pt idx="8">
                  <c:v>20</c:v>
                </c:pt>
                <c:pt idx="9">
                  <c:v>21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15</c:v>
                </c:pt>
                <c:pt idx="1">
                  <c:v>10</c:v>
                </c:pt>
                <c:pt idx="2">
                  <c:v>10</c:v>
                </c:pt>
                <c:pt idx="3">
                  <c:v>16</c:v>
                </c:pt>
                <c:pt idx="4">
                  <c:v>8</c:v>
                </c:pt>
                <c:pt idx="5">
                  <c:v>15</c:v>
                </c:pt>
                <c:pt idx="6">
                  <c:v>20</c:v>
                </c:pt>
                <c:pt idx="7">
                  <c:v>25</c:v>
                </c:pt>
                <c:pt idx="8">
                  <c:v>18</c:v>
                </c:pt>
                <c:pt idx="9">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11.123000000000001</c:v>
                </c:pt>
                <c:pt idx="1">
                  <c:v>7.372999999999999</c:v>
                </c:pt>
                <c:pt idx="2">
                  <c:v>10.501999999999999</c:v>
                </c:pt>
                <c:pt idx="3">
                  <c:v>12.145999999999999</c:v>
                </c:pt>
                <c:pt idx="4">
                  <c:v>19.875</c:v>
                </c:pt>
                <c:pt idx="5">
                  <c:v>22.378999999999998</c:v>
                </c:pt>
                <c:pt idx="6">
                  <c:v>22.348999999999997</c:v>
                </c:pt>
                <c:pt idx="7">
                  <c:v>47.785000000000004</c:v>
                </c:pt>
                <c:pt idx="8">
                  <c:v>55.244</c:v>
                </c:pt>
                <c:pt idx="9">
                  <c:v>42.61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9.288</c:v>
                </c:pt>
                <c:pt idx="1">
                  <c:v>9.344</c:v>
                </c:pt>
                <c:pt idx="2">
                  <c:v>11.206</c:v>
                </c:pt>
                <c:pt idx="3">
                  <c:v>13.541</c:v>
                </c:pt>
                <c:pt idx="4">
                  <c:v>17.714</c:v>
                </c:pt>
                <c:pt idx="5">
                  <c:v>19.343</c:v>
                </c:pt>
                <c:pt idx="6">
                  <c:v>19.377</c:v>
                </c:pt>
                <c:pt idx="7">
                  <c:v>35.773</c:v>
                </c:pt>
                <c:pt idx="8">
                  <c:v>45.451</c:v>
                </c:pt>
                <c:pt idx="9">
                  <c:v>48.367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436.7</c:v>
                </c:pt>
                <c:pt idx="1">
                  <c:v>220.8</c:v>
                </c:pt>
                <c:pt idx="2">
                  <c:v>166.5</c:v>
                </c:pt>
                <c:pt idx="3">
                  <c:v>101.5</c:v>
                </c:pt>
                <c:pt idx="4">
                  <c:v>93.7</c:v>
                </c:pt>
                <c:pt idx="5">
                  <c:v>78</c:v>
                </c:pt>
                <c:pt idx="6">
                  <c:v>67.1</c:v>
                </c:pt>
                <c:pt idx="7">
                  <c:v>187.6</c:v>
                </c:pt>
                <c:pt idx="8">
                  <c:v>872</c:v>
                </c:pt>
                <c:pt idx="9">
                  <c:v>553.7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9.8</c:v>
                </c:pt>
                <c:pt idx="1">
                  <c:v>9.8</c:v>
                </c:pt>
                <c:pt idx="2">
                  <c:v>9.8</c:v>
                </c:pt>
                <c:pt idx="3">
                  <c:v>9.8</c:v>
                </c:pt>
                <c:pt idx="4">
                  <c:v>9.8</c:v>
                </c:pt>
                <c:pt idx="5">
                  <c:v>9.8</c:v>
                </c:pt>
                <c:pt idx="6">
                  <c:v>9.8</c:v>
                </c:pt>
                <c:pt idx="7">
                  <c:v>9.8</c:v>
                </c:pt>
                <c:pt idx="8">
                  <c:v>9.8</c:v>
                </c:pt>
                <c:pt idx="9">
                  <c:v>9.8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55</c:v>
                </c:pt>
                <c:pt idx="1">
                  <c:v>48.2</c:v>
                </c:pt>
                <c:pt idx="2">
                  <c:v>44.5</c:v>
                </c:pt>
                <c:pt idx="3">
                  <c:v>50.8</c:v>
                </c:pt>
                <c:pt idx="4">
                  <c:v>61.9</c:v>
                </c:pt>
                <c:pt idx="5">
                  <c:v>53.8</c:v>
                </c:pt>
                <c:pt idx="6">
                  <c:v>44.4</c:v>
                </c:pt>
                <c:pt idx="7">
                  <c:v>65.3</c:v>
                </c:pt>
                <c:pt idx="8">
                  <c:v>64</c:v>
                </c:pt>
                <c:pt idx="9">
                  <c:v>54.6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-1.03</c:v>
                </c:pt>
                <c:pt idx="1">
                  <c:v>-1.04</c:v>
                </c:pt>
                <c:pt idx="2">
                  <c:v>-1.18</c:v>
                </c:pt>
                <c:pt idx="3">
                  <c:v>-0.27</c:v>
                </c:pt>
                <c:pt idx="4">
                  <c:v>-0.44</c:v>
                </c:pt>
                <c:pt idx="5">
                  <c:v>-0.31</c:v>
                </c:pt>
                <c:pt idx="6">
                  <c:v>-0.48</c:v>
                </c:pt>
                <c:pt idx="7">
                  <c:v>-1</c:v>
                </c:pt>
                <c:pt idx="8">
                  <c:v>-1.12</c:v>
                </c:pt>
                <c:pt idx="9">
                  <c:v>-1.16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11.134</c:v>
                </c:pt>
                <c:pt idx="1">
                  <c:v>4.613</c:v>
                </c:pt>
                <c:pt idx="2">
                  <c:v>4.653</c:v>
                </c:pt>
                <c:pt idx="3">
                  <c:v>15.906</c:v>
                </c:pt>
                <c:pt idx="4">
                  <c:v>10.14</c:v>
                </c:pt>
                <c:pt idx="5">
                  <c:v>13.282</c:v>
                </c:pt>
                <c:pt idx="6">
                  <c:v>14.475</c:v>
                </c:pt>
                <c:pt idx="7">
                  <c:v>22.507</c:v>
                </c:pt>
                <c:pt idx="8">
                  <c:v>26.802</c:v>
                </c:pt>
                <c:pt idx="9">
                  <c:v>33.88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Otro externo</c:v>
                </c:pt>
                <c:pt idx="2">
                  <c:v>Dominical</c:v>
                </c:pt>
              </c:strCache>
            </c:strRef>
          </c:cat>
          <c:val>
            <c:numRef>
              <c:f>Hoja1!$B$2:$B$4</c:f>
              <c:numCache>
                <c:formatCode>0</c:formatCode>
                <c:ptCount val="3"/>
                <c:pt idx="0">
                  <c:v>2</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Andreas Obereder (AOB Portfolio One GmbH &amp; Co. KG, antes AOB Invest GmbH)</c:v>
                </c:pt>
                <c:pt idx="1">
                  <c:v>General Atlantic Chronos GmbH</c:v>
                </c:pt>
                <c:pt idx="2">
                  <c:v>Capital flotante</c:v>
                </c:pt>
                <c:pt idx="3">
                  <c:v>Familiares cercanos de Obereder</c:v>
                </c:pt>
                <c:pt idx="4">
                  <c:v>Autocartera</c:v>
                </c:pt>
              </c:strCache>
            </c:strRef>
          </c:cat>
          <c:val>
            <c:numRef>
              <c:f>Hoja1!$B$2:$B$6</c:f>
              <c:numCache>
                <c:formatCode>0.0"%"</c:formatCode>
                <c:ptCount val="5"/>
                <c:pt idx="0">
                  <c:v>23.9</c:v>
                </c:pt>
                <c:pt idx="1">
                  <c:v>21.59</c:v>
                </c:pt>
                <c:pt idx="2">
                  <c:v>54.51</c:v>
                </c:pt>
                <c:pt idx="3">
                  <c:v>1.18</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-20.6</c:v>
                </c:pt>
                <c:pt idx="1">
                  <c:v>43.5</c:v>
                </c:pt>
                <c:pt idx="2">
                  <c:v>7.6</c:v>
                </c:pt>
                <c:pt idx="3">
                  <c:v>89.5</c:v>
                </c:pt>
                <c:pt idx="4">
                  <c:v>123.4</c:v>
                </c:pt>
                <c:pt idx="5">
                  <c:v>38.6</c:v>
                </c:pt>
                <c:pt idx="6">
                  <c:v>-35</c:v>
                </c:pt>
                <c:pt idx="7">
                  <c:v>52.5</c:v>
                </c:pt>
                <c:pt idx="8">
                  <c:v>10.8</c:v>
                </c:pt>
                <c:pt idx="9">
                  <c:v>2.7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c:v>
                </c:pt>
                <c:pt idx="1">
                  <c:v>17.9</c:v>
                </c:pt>
                <c:pt idx="2">
                  <c:v>-13.6</c:v>
                </c:pt>
                <c:pt idx="3">
                  <c:v>30.9</c:v>
                </c:pt>
                <c:pt idx="4">
                  <c:v>4.5</c:v>
                </c:pt>
                <c:pt idx="5">
                  <c:v>22.3</c:v>
                </c:pt>
                <c:pt idx="6">
                  <c:v>-23.8</c:v>
                </c:pt>
                <c:pt idx="7">
                  <c:v>12.4</c:v>
                </c:pt>
                <c:pt idx="8">
                  <c:v>3.1</c:v>
                </c:pt>
                <c:pt idx="9">
                  <c:v>18.6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13.6</c:v>
                </c:pt>
                <c:pt idx="1">
                  <c:v>18.7</c:v>
                </c:pt>
                <c:pt idx="2">
                  <c:v>16.2</c:v>
                </c:pt>
                <c:pt idx="3">
                  <c:v>25.1</c:v>
                </c:pt>
                <c:pt idx="4">
                  <c:v>41.8</c:v>
                </c:pt>
                <c:pt idx="5">
                  <c:v>54.7</c:v>
                </c:pt>
                <c:pt idx="6">
                  <c:v>31.4</c:v>
                </c:pt>
                <c:pt idx="7">
                  <c:v>28.8</c:v>
                </c:pt>
                <c:pt idx="8">
                  <c:v>25.7</c:v>
                </c:pt>
                <c:pt idx="9">
                  <c:v>24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25.4</c:v>
                </c:pt>
                <c:pt idx="1">
                  <c:v>25.4</c:v>
                </c:pt>
                <c:pt idx="2">
                  <c:v>25.4</c:v>
                </c:pt>
                <c:pt idx="3">
                  <c:v>25.4</c:v>
                </c:pt>
                <c:pt idx="4">
                  <c:v>25.4</c:v>
                </c:pt>
                <c:pt idx="5">
                  <c:v>25.4</c:v>
                </c:pt>
                <c:pt idx="6">
                  <c:v>25.4</c:v>
                </c:pt>
                <c:pt idx="7">
                  <c:v>25.4</c:v>
                </c:pt>
                <c:pt idx="8">
                  <c:v>25.4</c:v>
                </c:pt>
                <c:pt idx="9">
                  <c:v>25.4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ATOSS</c:v>
                </c:pt>
                <c:pt idx="1">
                  <c:v>SAP</c:v>
                </c:pt>
                <c:pt idx="2">
                  <c:v>Nemetschek</c:v>
                </c:pt>
                <c:pt idx="3">
                  <c:v>Sage Group</c:v>
                </c:pt>
                <c:pt idx="4">
                  <c:v>Workday</c:v>
                </c:pt>
                <c:pt idx="5">
                  <c:v>Paycom</c:v>
                </c:pt>
                <c:pt idx="6">
                  <c:v>Paylocity</c:v>
                </c:pt>
                <c:pt idx="7">
                  <c:v>Paychex</c:v>
                </c:pt>
                <c:pt idx="8">
                  <c:v>Xero</c:v>
                </c:pt>
              </c:strCache>
            </c:strRef>
          </c:cat>
          <c:val>
            <c:numRef>
              <c:f>Hoja1!$B$2:$B$10</c:f>
              <c:numCache>
                <c:formatCode>0.0"x"</c:formatCode>
                <c:ptCount val="9"/>
                <c:pt idx="0">
                  <c:v>14.3</c:v>
                </c:pt>
                <c:pt idx="1">
                  <c:v>15.3</c:v>
                </c:pt>
                <c:pt idx="2">
                  <c:v>14.9</c:v>
                </c:pt>
                <c:pt idx="3">
                  <c:v>13.1</c:v>
                </c:pt>
                <c:pt idx="4">
                  <c:v>10.7</c:v>
                </c:pt>
                <c:pt idx="5">
                  <c:v>9.1</c:v>
                </c:pt>
                <c:pt idx="6">
                  <c:v>11.1</c:v>
                </c:pt>
                <c:pt idx="7">
                  <c:v>12.2</c:v>
                </c:pt>
                <c:pt idx="8">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ATOSS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13.8</c:v>
                </c:pt>
              </c:numCache>
            </c:numRef>
          </c:xVal>
          <c:yVal>
            <c:numRef>
              <c:f>Hoja1!$C$2</c:f>
              <c:numCache>
                <c:formatCode>0.0"x"</c:formatCode>
                <c:ptCount val="1"/>
                <c:pt idx="0">
                  <c:v>14.3</c:v>
                </c:pt>
              </c:numCache>
            </c:numRef>
          </c:yVal>
          <c:smooth val="0"/>
        </c:ser>
        <c:ser>
          <c:idx val="1"/>
          <c:order val="1"/>
          <c:tx>
            <c:strRef>
              <c:f>Hoja1!$A$3</c:f>
              <c:strCache>
                <c:ptCount val="1"/>
                <c:pt idx="0">
                  <c:v>SAP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11.2</c:v>
                </c:pt>
              </c:numCache>
            </c:numRef>
          </c:xVal>
          <c:yVal>
            <c:numRef>
              <c:f>Hoja1!$C$3</c:f>
              <c:numCache>
                <c:formatCode>0.0"x"</c:formatCode>
                <c:ptCount val="1"/>
                <c:pt idx="0">
                  <c:v>15.3</c:v>
                </c:pt>
              </c:numCache>
            </c:numRef>
          </c:yVal>
          <c:smooth val="0"/>
        </c:ser>
        <c:ser>
          <c:idx val="2"/>
          <c:order val="2"/>
          <c:tx>
            <c:strRef>
              <c:f>Hoja1!$A$4</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20.9</c:v>
                </c:pt>
              </c:numCache>
            </c:numRef>
          </c:xVal>
          <c:yVal>
            <c:numRef>
              <c:f>Hoja1!$C$4</c:f>
              <c:numCache>
                <c:formatCode>0.0"x"</c:formatCode>
                <c:ptCount val="1"/>
                <c:pt idx="0">
                  <c:v>14.9</c:v>
                </c:pt>
              </c:numCache>
            </c:numRef>
          </c:yVal>
          <c:smooth val="0"/>
        </c:ser>
        <c:ser>
          <c:idx val="3"/>
          <c:order val="3"/>
          <c:tx>
            <c:strRef>
              <c:f>Hoja1!$A$5</c:f>
              <c:strCache>
                <c:ptCount val="1"/>
                <c:pt idx="0">
                  <c:v>Sage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9.2</c:v>
                </c:pt>
              </c:numCache>
            </c:numRef>
          </c:xVal>
          <c:yVal>
            <c:numRef>
              <c:f>Hoja1!$C$5</c:f>
              <c:numCache>
                <c:formatCode>0.0"x"</c:formatCode>
                <c:ptCount val="1"/>
                <c:pt idx="0">
                  <c:v>13.1</c:v>
                </c:pt>
              </c:numCache>
            </c:numRef>
          </c:yVal>
          <c:smooth val="0"/>
        </c:ser>
        <c:ser>
          <c:idx val="4"/>
          <c:order val="4"/>
          <c:tx>
            <c:strRef>
              <c:f>Hoja1!$A$6</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10.8</c:v>
                </c:pt>
              </c:numCache>
            </c:numRef>
          </c:xVal>
          <c:yVal>
            <c:numRef>
              <c:f>Hoja1!$C$6</c:f>
              <c:numCache>
                <c:formatCode>0.0"x"</c:formatCode>
                <c:ptCount val="1"/>
                <c:pt idx="0">
                  <c:v>10.7</c:v>
                </c:pt>
              </c:numCache>
            </c:numRef>
          </c:yVal>
          <c:smooth val="0"/>
        </c:ser>
        <c:ser>
          <c:idx val="5"/>
          <c:order val="5"/>
          <c:tx>
            <c:strRef>
              <c:f>Hoja1!$A$7</c:f>
              <c:strCache>
                <c:ptCount val="1"/>
                <c:pt idx="0">
                  <c:v>Paycom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7.5</c:v>
                </c:pt>
              </c:numCache>
            </c:numRef>
          </c:xVal>
          <c:yVal>
            <c:numRef>
              <c:f>Hoja1!$C$7</c:f>
              <c:numCache>
                <c:formatCode>0.0"x"</c:formatCode>
                <c:ptCount val="1"/>
                <c:pt idx="0">
                  <c:v>9.1</c:v>
                </c:pt>
              </c:numCache>
            </c:numRef>
          </c:yVal>
          <c:smooth val="0"/>
        </c:ser>
        <c:ser>
          <c:idx val="6"/>
          <c:order val="6"/>
          <c:tx>
            <c:strRef>
              <c:f>Hoja1!$A$8</c:f>
              <c:strCache>
                <c:ptCount val="1"/>
                <c:pt idx="0">
                  <c:v>Paylocity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7.2</c:v>
                </c:pt>
              </c:numCache>
            </c:numRef>
          </c:xVal>
          <c:yVal>
            <c:numRef>
              <c:f>Hoja1!$C$8</c:f>
              <c:numCache>
                <c:formatCode>0.0"x"</c:formatCode>
                <c:ptCount val="1"/>
                <c:pt idx="0">
                  <c:v>11.1</c:v>
                </c:pt>
              </c:numCache>
            </c:numRef>
          </c:yVal>
          <c:smooth val="0"/>
        </c:ser>
        <c:ser>
          <c:idx val="7"/>
          <c:order val="7"/>
          <c:tx>
            <c:strRef>
              <c:f>Hoja1!$A$9</c:f>
              <c:strCache>
                <c:ptCount val="1"/>
                <c:pt idx="0">
                  <c:v>Paychex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5.4</c:v>
                </c:pt>
              </c:numCache>
            </c:numRef>
          </c:xVal>
          <c:yVal>
            <c:numRef>
              <c:f>Hoja1!$C$9</c:f>
              <c:numCache>
                <c:formatCode>0.0"x"</c:formatCode>
                <c:ptCount val="1"/>
                <c:pt idx="0">
                  <c:v>12.2</c:v>
                </c:pt>
              </c:numCache>
            </c:numRef>
          </c:yVal>
          <c:smooth val="0"/>
        </c:ser>
        <c:ser>
          <c:idx val="8"/>
          <c:order val="8"/>
          <c:tx>
            <c:strRef>
              <c:f>Hoja1!$A$10</c:f>
              <c:strCache>
                <c:ptCount val="1"/>
                <c:pt idx="0">
                  <c:v>Xero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26.3</c:v>
                </c:pt>
              </c:numCache>
            </c:numRef>
          </c:xVal>
          <c:yVal>
            <c:numRef>
              <c:f>Hoja1!$C$10</c:f>
              <c:numCache>
                <c:formatCode>0.0"x"</c:formatCode>
                <c:ptCount val="1"/>
                <c:pt idx="0">
                  <c:v>12.5</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Dayforce (software de RR. HH., nóminas y gestión de tiempos)</c:v>
                </c:pt>
                <c:pt idx="1">
                  <c:v>Paycor HCM (software de RR. HH. y nóminas para pymes)</c:v>
                </c:pt>
                <c:pt idx="2">
                  <c:v>WorkForce Software (gestión de tiempos, turnos y ausencias para grandes empresas)</c:v>
                </c:pt>
                <c:pt idx="3">
                  <c:v>Cornerstone OnDemand (software de talento y formación)</c:v>
                </c:pt>
                <c:pt idx="4">
                  <c:v>ATOSS Software (colocación de 6,81 % del capital)</c:v>
                </c:pt>
              </c:strCache>
            </c:strRef>
          </c:cat>
          <c:val>
            <c:numRef>
              <c:f>Hoja1!$B$2:$B$6</c:f>
              <c:numCache>
                <c:formatCode>0.0"x"</c:formatCode>
                <c:ptCount val="5"/>
                <c:pt idx="0">
                  <c:v>24.5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49</c:v>
                </c:pt>
                <c:pt idx="1">
                  <c:v>55</c:v>
                </c:pt>
                <c:pt idx="2">
                  <c:v>62</c:v>
                </c:pt>
                <c:pt idx="3">
                  <c:v>71</c:v>
                </c:pt>
                <c:pt idx="4">
                  <c:v>79</c:v>
                </c:pt>
                <c:pt idx="5">
                  <c:v>88</c:v>
                </c:pt>
                <c:pt idx="6">
                  <c:v>95</c:v>
                </c:pt>
                <c:pt idx="7">
                  <c:v>102</c:v>
                </c:pt>
                <c:pt idx="8">
                  <c:v>108</c:v>
                </c:pt>
                <c:pt idx="9">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494</c:v>
                </c:pt>
                <c:pt idx="1">
                  <c:v>672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87,30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54.15</c:v>
                </c:pt>
                <c:pt idx="1">
                  <c:v>80.58</c:v>
                </c:pt>
                <c:pt idx="2">
                  <c:v>97.18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Hoja1!$B$2:$B$10</c:f>
              <c:numCache>
                <c:formatCode>#,##0</c:formatCode>
                <c:ptCount val="9"/>
                <c:pt idx="0">
                  <c:v>65</c:v>
                </c:pt>
                <c:pt idx="1">
                  <c:v>91</c:v>
                </c:pt>
                <c:pt idx="2">
                  <c:v>68.69</c:v>
                </c:pt>
                <c:pt idx="3">
                  <c:v>74.83</c:v>
                </c:pt>
                <c:pt idx="4">
                  <c:v>89.58</c:v>
                </c:pt>
                <c:pt idx="5">
                  <c:v>73.15</c:v>
                </c:pt>
                <c:pt idx="6">
                  <c:v>54.15</c:v>
                </c:pt>
                <c:pt idx="7">
                  <c:v>91.05</c:v>
                </c:pt>
                <c:pt idx="8">
                  <c:v>86.86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(65,00 – 124,00)</c:v>
                </c:pt>
                <c:pt idx="1">
                  <c:v>Precio objetivo de los analistas (91,00 – 157,00)</c:v>
                </c:pt>
                <c:pt idx="2">
                  <c:v>Comparables: EV/EBITDA NTM (68,69 – 82,93)</c:v>
                </c:pt>
                <c:pt idx="3">
                  <c:v>Comparables: PER NTM (74,83 – 102,79)</c:v>
                </c:pt>
                <c:pt idx="4">
                  <c:v>Transacciones precedentes (EV/ventas) (89,58 – 94,18)</c:v>
                </c:pt>
                <c:pt idx="5">
                  <c:v>DCF (WACC y g ± 0,5) (73,15 – 90,30)</c:v>
                </c:pt>
                <c:pt idx="6">
                  <c:v>Escenarios (bajista – alcista) (54,15 – 97,18)</c:v>
                </c:pt>
                <c:pt idx="7">
                  <c:v>DCF con la prima implícita del mercado (4,2 %)</c:v>
                </c:pt>
                <c:pt idx="8">
                  <c:v>Precio actual (87,30)</c:v>
                </c:pt>
              </c:strCache>
            </c:strRef>
          </c:cat>
          <c:val>
            <c:numRef>
              <c:f>Hoja1!$C$2:$C$10</c:f>
              <c:numCache>
                <c:formatCode>#,##0</c:formatCode>
                <c:ptCount val="9"/>
                <c:pt idx="0">
                  <c:v>59</c:v>
                </c:pt>
                <c:pt idx="1">
                  <c:v>66</c:v>
                </c:pt>
                <c:pt idx="2">
                  <c:v>14.240000000000009</c:v>
                </c:pt>
                <c:pt idx="3">
                  <c:v>27.960000000000008</c:v>
                </c:pt>
                <c:pt idx="4">
                  <c:v>4.6000000000000085</c:v>
                </c:pt>
                <c:pt idx="5">
                  <c:v>17.14999999999999</c:v>
                </c:pt>
                <c:pt idx="6">
                  <c:v>43.03000000000001</c:v>
                </c:pt>
                <c:pt idx="7">
                  <c:v>16.320000000000007</c:v>
                </c:pt>
                <c:pt idx="8">
                  <c:v>0.8799999999999955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