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Wallenius Wilhelmsen ASA</w:t>
      </w:r>
    </w:p>
    <w:p>
      <w:pPr>
        <w:spacing w:after="60"/>
        <w:rPr>
          <w:color w:val="52514E"/>
          <w:sz w:val="22"/>
          <w:szCs w:val="22"/>
        </w:rPr>
      </w:pPr>
      <w:r>
        <w:rPr>
          <w:color w:val="52514E"/>
          <w:sz w:val="22"/>
          <w:szCs w:val="22"/>
        </w:rPr>
        <w:t xml:space="preserve">WAWI · Euronext Oslo Børs · ISIN NO0010571680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18,68 USD (174,80 NOK)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11,08 USD (103,68 NOK)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-35,8 % (base -23,9 %)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10,44 USD (97,69 NOK) · mercado 10,44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Alta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8.220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6,4x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Wallenius Wilhelmsen 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WAWI / NO0010571680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Oslo Børs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Oslo Børs Benchmark Index (OSEBX)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Transporte marítimo (ro-ro) y logística de vehículos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Lysaker (Noruega) · 2017 (fusión; raíces de 1861 y 1934)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8.376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https://www.walleniuswilhelmsen.com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18,68 (21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8,03 – 19,88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8.220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10.622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105 M NOK/día (≈ 11 M USD;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Alta · Objetivo a 12 meses </w:t>
      </w:r>
      <w:r>
        <w:rPr>
          <w:b/>
          <w:bCs/>
        </w:rPr>
        <w:t xml:space="preserve">11,08 USD (103,68 NOK)</w:t>
      </w:r>
      <w:r>
        <w:t xml:space="preserve"> frente a 18,68 (174,80 NOK) · Rentabilidad a 12 meses </w:t>
      </w:r>
      <w:r>
        <w:rPr>
          <w:b/>
          <w:bCs/>
        </w:rPr>
        <w:t xml:space="preserve">-35,8 % (base -23,9 %)</w:t>
      </w:r>
      <w:r>
        <w:t xml:space="preserve"> · Valor intrínseco 10,44 USD (97,69 NOK) · con la prima implícita del mercado: 10,44 (97,69 NOK) (-44,1 %) · Alcista / bajista -0,5 % / -94,4 %</w:t>
      </w:r>
    </w:p>
    <w:p>
      <w:pPr>
        <w:spacing w:after="100"/>
      </w:pPr>
      <w:r>
        <w:rPr>
          <w:b/>
        </w:rPr>
        <w:t xml:space="preserve">La recomendación y por qué.</w:t>
      </w:r>
      <w:r>
        <w:t xml:space="preserve"> Vender, con convicción alta. El objetivo a 12 meses es de 11,08 USD (≈ 104 NOK), un 35,8 % de pérdida con dividendo; el caso base (13,31 USD) da −23,9 %, y el valor intrínseco (10,44 USD) queda un 44,1 % bajo el precio de 18,68 USD (174,80 NOK). El objetivo medio de los analistas, 17,46 USD, también está por debajo del precio [24]. La asimetría es muy desfavorable: el alcista apenas iguala el precio y el bajista lo deja en 1,04 USD. La razón principal: el mercado paga 11,4 veces un beneficio de pico de ciclo que va a bajar. La convicción es alta porque las dos reglas dan Vender con mucho margen; bajaría si el 3T26 (4-nov) mostrara renovaciones de 2027 por encima de 70 USD/m³.</w:t>
      </w:r>
    </w:p>
    <w:p>
      <w:pPr>
        <w:spacing w:after="100"/>
      </w:pPr>
      <w:r>
        <w:rPr>
          <w:b/>
        </w:rPr>
        <w:t xml:space="preserve">El negocio.</w:t>
      </w:r>
      <w:r>
        <w:t xml:space="preserve"> Wallenius Wilhelmsen transporta coches y maquinaria en ≈ 129 barcos ro-ro y los procesa en tierra en EE. UU. [1]. Su foso es estrecho: contratos de 1-5 años que se renuevan a precio de mercado. El ROIC fue del −0,8 % en 2020 y del 18,9 % en 2025: a lo largo del ciclo (12,8 % de media) apenas supera el WACC del 9,85 %. La calidad de la empresa no sostiene los márgenes de hoy: el veredicto de sostenibilidad es «No», y el caso base ya baja el margen EBITDA del 34,6 % de 2025 al 25 %.</w:t>
      </w:r>
    </w:p>
    <w:p>
      <w:pPr>
        <w:spacing w:after="100"/>
      </w:pPr>
      <w:r>
        <w:rPr>
          <w:b/>
        </w:rPr>
        <w:t xml:space="preserve">Sector y ciclo.</w:t>
      </w:r>
      <w:r>
        <w:t xml:space="preserve"> El ro-ro está en un pico que gira. Las exportaciones de coches chinos (+58 % en el 2T26) llenan los barcos desde Asia, pero la flota mundial crece ≈ 30 % entre 2025 y 2027 y la mitad de los barcos nuevos son de navieras y fabricantes chinos [2, 14]. El fletamento a un año está en 73.000 USD/día, lejos de los 115.000 de 2023-2024 [16]. Los aranceles de EE. UU. a los coches y las tasas portuarias USTR a barcos chinos restan volumen y margen.</w:t>
      </w:r>
    </w:p>
    <w:p>
      <w:pPr>
        <w:spacing w:after="100"/>
      </w:pPr>
      <w:r>
        <w:rPr>
          <w:b/>
        </w:rPr>
        <w:t xml:space="preserve">Finanzas.</w:t>
      </w:r>
      <w:r>
        <w:t xml:space="preserve"> El margen EBITDA ya baja del 35 % al 27,6 % en el 2T26 y la guía de 2026 se rebajó a ≈ 1.600 M [2, 3]. El balance es sano (deuda neta con arrendamientos de 1,2 veces el EBITDA), pero la inversión sube: 1.400 M por los Shaper y 4 LNG grandes encargados con una ampliación de 300 M en octubre, pocas semanas después de pagar 258 M de dividendo [2, 8].</w:t>
      </w:r>
    </w:p>
    <w:p>
      <w:pPr>
        <w:spacing w:after="100"/>
      </w:pPr>
      <w:r>
        <w:rPr>
          <w:b/>
        </w:rPr>
        <w:t xml:space="preserve">Equipo y gobierno.</w:t>
      </w:r>
      <w:r>
        <w:t xml:space="preserve"> Dos familias controlan el 73 %; Wallenius Lines no acudió a la ampliación y el flotante votó en contra de las directrices de remuneración (61 % del capital libre presente) [18, 22]. Resta.</w:t>
      </w:r>
    </w:p>
    <w:p>
      <w:pPr>
        <w:spacing w:after="100"/>
      </w:pPr>
      <w:r>
        <w:rPr>
          <w:b/>
        </w:rPr>
        <w:t xml:space="preserve">Valoración.</w:t>
      </w:r>
      <w:r>
        <w:t xml:space="preserve"> El DCF da 9,79 USD con un valor terminal del 59 %; para justificar el precio hace falta un margen del 31,4 % para siempre o un crecimiento del 10,9 % anual. La historia adelantada (mediana de 3,9 veces en 2021-2025) dice que el mercado nunca pagó más de 5 veces un beneficio de pico; hoy paga 11,4. Los comparables (9,5 veces de mediana, Höegh incluida) también cotizan por debajo.</w:t>
      </w:r>
    </w:p>
    <w:p>
      <w:pPr>
        <w:spacing w:after="100"/>
      </w:pPr>
      <w:r>
        <w:rPr>
          <w:b/>
        </w:rPr>
        <w:t xml:space="preserve">Riesgos y catalizadores.</w:t>
      </w:r>
      <w:r>
        <w:t xml:space="preserve"> El riesgo para esta recomendación es que las tarifas aguanten (Ormuz y Mar Rojo cerrados, exportaciones chinas a doble dígito): el alcista vale 18,59 USD, el precio de hoy. Catalizadores: resultados del 3T26 el 4-nov y el fin de la suspensión de las tasas USTR el 9-nov [32]. La regla 13 retrasa cualquier compra hasta esas dos fechas; no cambia la venta.</w:t>
      </w:r>
    </w:p>
    <w:p>
      <w:pPr>
        <w:spacing w:after="100"/>
      </w:pPr>
      <w:r>
        <w:rPr>
          <w:b/>
        </w:rPr>
        <w:t xml:space="preserve">Qué cambiaría la decisión.</w:t>
      </w:r>
      <w:r>
        <w:t xml:space="preserve"> Compraríamos por debajo de ≈ 10,4 USD (≈ 98 NOK). Revisaríamos al alza si el margen EBITDA de 2027 se guiara por encima del 32 % con la flota llena, o si el fletamento a un año volviera a superar 100.000 USD/día.</w:t>
      </w:r>
    </w:p>
    <w:p>
      <w:r>
        <w:br w:type="page"/>
      </w:r>
    </w:p>
    <w:p>
      <w:pPr>
        <w:pStyle w:val="Heading1"/>
      </w:pPr>
      <w:r>
        <w:t xml:space="preserve">Resumen ejecutivo</w:t>
      </w:r>
    </w:p>
    <w:p>
      <w:pPr>
        <w:spacing w:after="100"/>
      </w:pPr>
      <w:r>
        <w:rPr>
          <w:b/>
          <w:bCs/>
        </w:rPr>
        <w:t xml:space="preserve">Recomendación: Vender</w:t>
      </w:r>
      <w:r>
        <w:t xml:space="preserve"> · Convicción: Alta · Horizonte: 12 meses · Objetivo a 12 meses: </w:t>
      </w:r>
      <w:r>
        <w:rPr>
          <w:b/>
          <w:bCs/>
        </w:rPr>
        <w:t xml:space="preserve">11,08 USD (103,68 NOK)</w:t>
      </w:r>
      <w:r>
        <w:t xml:space="preserve"> (rentabilidad -35,8 % (base -23,9 %)) · Valor intrínseco: 10,44 USD (97,69 NOK) (-44,1 % sobre 18,68) · con la prima implícita del mercado: 10,44 (97,69 NOK) (-44,1 %)</w:t>
      </w:r>
    </w:p>
    <w:p>
      <w:pPr>
        <w:spacing w:after="100"/>
      </w:pPr>
      <w:r>
        <w:t xml:space="preserve">Wallenius Wilhelmsen es uno de los dos mayores transportistas de coches y maquinaria por mar del mundo, con ≈ 129 barcos, el 80 % de EUKOR (Hyundai y Kia) y logística en tierra en EE. UU. [1]. En 2022-2025 vivió el mejor ciclo de su historia: margen EBITDA del 35 %, ROIC del 19-21 %, deuda neta de 7,5 a 1,2 veces el EBITDA y 2.089 M USD de dividendos en tres años [1].</w:t>
      </w:r>
    </w:p>
    <w:p>
      <w:pPr>
        <w:spacing w:after="100"/>
      </w:pPr>
      <w:r>
        <w:t xml:space="preserve">El precio (18,68 USD; 11,4 veces nuestro BPA de 2027e) descuenta que ese pico es el nuevo normal: el DCF inverso pide un margen EBITDA del 31,4 % para siempre o un crecimiento del 10,9 % anual. En 2021-2024 el mercado pagaba 3,6-4,9 veces el beneficio del año siguiente, precisamente porque sabía que no duraría.</w:t>
      </w:r>
    </w:p>
    <w:p>
      <w:pPr>
        <w:spacing w:after="100"/>
      </w:pPr>
      <w:r>
        <w:t xml:space="preserve">Creemos que el mercado se equivoca en el múltiplo, no en el beneficio a corto: 2026-2027 serán buenos años (flota llena desde Asia, renovaciones al alza), pero la flota mundial crece ≈ 30 % en 2025-2027, las navieras chinas llevan sus propios coches y la empresa invierte en el pico. Para invertir hay que creer que las exportaciones chinas absorben toda esa flota durante años; nosotros no lo creemos.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 USD (103,68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 × 0,69 = 2,48 · 10,4x × 1,28 = 13,31 · 10,4x × 1,77 = 18,41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 / -23,9 %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17,46 (nuestro base -23,8 %)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10,44 USD (97,69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(NOK al tipo de 0,1069 USD por NOK)</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18,68 USD (174,80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 / -94,4 %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 frente a 9,8 % y 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10,44 USD (97,69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 frente a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No (0,9 % anual proyectado; financiable al ROIC actual: 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-39,2 % (-39,2 % con la prima del mercado) y el precio pide 10,0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10,43 (97,60 NOK)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10,43 y 13,32 (97,60 y 124,64 NOK)</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13,32 (124,64 NOK)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 10,4 USD (≈ 98 NOK): pasaríamos a Mantener o Comprar.</w:t>
      </w:r>
    </w:p>
    <w:p>
      <w:pPr>
        <w:pStyle w:val="ListParagraph"/>
        <w:numPr>
          <w:ilvl w:val="0"/>
          <w:numId w:val="2"/>
        </w:numPr>
        <w:spacing w:after="60"/>
      </w:pPr>
      <w:r>
        <w:t xml:space="preserve">Guía de EBITDA ajustado de 2027 por encima de 1.800 M (margen &gt; 32 %): revisaríamos el caso base al alza.</w:t>
      </w:r>
    </w:p>
    <w:p>
      <w:pPr>
        <w:pStyle w:val="ListParagraph"/>
        <w:numPr>
          <w:ilvl w:val="0"/>
          <w:numId w:val="2"/>
        </w:numPr>
        <w:spacing w:after="60"/>
      </w:pPr>
      <w:r>
        <w:t xml:space="preserve">Fletamento a un año de un PCTC por encima de 100.000 USD/día durante dos trimestres.</w:t>
      </w:r>
    </w:p>
    <w:p>
      <w:pPr>
        <w:pStyle w:val="ListParagraph"/>
        <w:numPr>
          <w:ilvl w:val="0"/>
          <w:numId w:val="2"/>
        </w:numPr>
        <w:spacing w:after="60"/>
      </w:pPr>
      <w:r>
        <w:t xml:space="preserve">Prórroga indefinida de la suspensión de las tasas USTR y acuerdo arancelario con la UE sobre coches chinos.</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escasez de barcos de 2022-2025 se alarga gracias a las exportaciones chinas, al cierre del Mar Rojo y Ormuz y a la renovación de contratos a tarifas más altas en 2027; que los barcos nuevos de WAWI (26 con opciones) aumentan sus beneficios, y que el dividendo del 5-7 % sigue.</w:t>
      </w:r>
    </w:p>
    <w:p>
      <w:pPr>
        <w:keepNext/>
        <w:spacing w:after="100"/>
      </w:pPr>
      <w:r>
        <w:rPr>
          <w:b/>
          <w:bCs/>
        </w:rPr>
        <w:t xml:space="preserve">Lo que creemos nosotros.</w:t>
      </w:r>
    </w:p>
    <w:p>
      <w:pPr>
        <w:spacing w:after="100"/>
      </w:pPr>
      <w:r>
        <w:t xml:space="preserve">Coincidimos en 2026-2027 (BPA de 1,60 y 1,64 USD frente a 1,63 y 1,75 del consenso), pero no en lo que viene después: el margen vuelve hacia el 25 % de mitad de ciclo en 2030 y el BPA de 2028e (1,28) queda un 10 % bajo el consenso. Y el múltiplo de un beneficio cíclico que empieza a bajar debe ser bajo, no 11 veces.</w:t>
      </w:r>
    </w:p>
    <w:p>
      <w:pPr>
        <w:keepNext/>
        <w:spacing w:after="100"/>
      </w:pPr>
      <w:r>
        <w:rPr>
          <w:b/>
          <w:bCs/>
        </w:rPr>
        <w:t xml:space="preserve">Por qué podemos tener razón.</w:t>
      </w:r>
    </w:p>
    <w:p>
      <w:pPr>
        <w:spacing w:after="100"/>
      </w:pPr>
      <w:r>
        <w:t xml:space="preserve">Lo dice la historia de la propia empresa (márgenes del 16-22 % en 2019-2021) y del sector (cada pico del transporte marítimo acaba con exceso de barcos), y la oferta ya está pedida: cartera del 20,6 % de la flota mundial [14].</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8,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Flota llena desde Asia</w:t>
      </w:r>
      <w:r>
        <w:t xml:space="preserve">: exportaciones chinas de coches +58 % en el 2T26 y más de 1 M al mes [2].</w:t>
      </w:r>
    </w:p>
    <w:p>
      <w:pPr>
        <w:pStyle w:val="ListParagraph"/>
        <w:numPr>
          <w:ilvl w:val="0"/>
          <w:numId w:val="2"/>
        </w:numPr>
        <w:spacing w:after="60"/>
      </w:pPr>
      <w:r>
        <w:rPr>
          <w:b/>
        </w:rPr>
        <w:t xml:space="preserve">Balance sano</w:t>
      </w:r>
      <w:r>
        <w:t xml:space="preserve">: deuda neta con arrendamientos de 1,2 veces el EBITDA, frente a 7,5 en 2020 [2].</w:t>
      </w:r>
    </w:p>
    <w:p>
      <w:pPr>
        <w:pStyle w:val="ListParagraph"/>
        <w:numPr>
          <w:ilvl w:val="0"/>
          <w:numId w:val="2"/>
        </w:numPr>
        <w:spacing w:after="60"/>
      </w:pPr>
      <w:r>
        <w:rPr>
          <w:b/>
        </w:rPr>
        <w:t xml:space="preserve">Renovaciones al alza en 2027</w:t>
      </w:r>
      <w:r>
        <w:t xml:space="preserve">: el 40 % del volumen se renegocia con el contado ≈ 80 % por encima del año anterior en Asia-Europa [16].</w:t>
      </w:r>
    </w:p>
    <w:p>
      <w:pPr>
        <w:pStyle w:val="ListParagraph"/>
        <w:numPr>
          <w:ilvl w:val="0"/>
          <w:numId w:val="2"/>
        </w:numPr>
        <w:spacing w:after="60"/>
      </w:pPr>
      <w:r>
        <w:rPr>
          <w:b/>
        </w:rPr>
        <w:t xml:space="preserve">Dividendo alto</w:t>
      </w:r>
      <w:r>
        <w:t xml:space="preserve">: 1,62 USD por acción en doce meses (≈ 8,7 %) [2].</w:t>
      </w:r>
    </w:p>
    <w:p>
      <w:pPr>
        <w:pStyle w:val="ListParagraph"/>
        <w:numPr>
          <w:ilvl w:val="0"/>
          <w:numId w:val="2"/>
        </w:numPr>
        <w:spacing w:after="60"/>
      </w:pPr>
      <w:r>
        <w:rPr>
          <w:b/>
        </w:rPr>
        <w:t xml:space="preserve">Flota más eficiente</w:t>
      </w:r>
      <w:r>
        <w:t xml:space="preserve">: 14 Shaper de metanol y 4 LNG grandes con ventaja en emisiones [2, 8].</w:t>
      </w:r>
    </w:p>
    <w:p>
      <w:pPr>
        <w:pStyle w:val="Heading2"/>
      </w:pPr>
      <w:r>
        <w:t xml:space="preserve">En contra</w:t>
      </w:r>
    </w:p>
    <w:p>
      <w:pPr>
        <w:pStyle w:val="ListParagraph"/>
        <w:numPr>
          <w:ilvl w:val="0"/>
          <w:numId w:val="2"/>
        </w:numPr>
        <w:spacing w:after="60"/>
      </w:pPr>
      <w:r>
        <w:rPr>
          <w:b/>
        </w:rPr>
        <w:t xml:space="preserve">Múltiplo de pico</w:t>
      </w:r>
      <w:r>
        <w:t xml:space="preserve">: 11,4 veces el BPA de 2027e frente a una mediana adelantada de 3,9 veces.</w:t>
      </w:r>
    </w:p>
    <w:p>
      <w:pPr>
        <w:pStyle w:val="ListParagraph"/>
        <w:numPr>
          <w:ilvl w:val="0"/>
          <w:numId w:val="2"/>
        </w:numPr>
        <w:spacing w:after="60"/>
      </w:pPr>
      <w:r>
        <w:rPr>
          <w:b/>
        </w:rPr>
        <w:t xml:space="preserve">Oferta</w:t>
      </w:r>
      <w:r>
        <w:t xml:space="preserve">: la flota mundial crece ≈ 30 % entre 2025 y 2027 [14].</w:t>
      </w:r>
    </w:p>
    <w:p>
      <w:pPr>
        <w:pStyle w:val="ListParagraph"/>
        <w:numPr>
          <w:ilvl w:val="0"/>
          <w:numId w:val="2"/>
        </w:numPr>
        <w:spacing w:after="60"/>
      </w:pPr>
      <w:r>
        <w:rPr>
          <w:b/>
        </w:rPr>
        <w:t xml:space="preserve">Márgenes que ya bajan</w:t>
      </w:r>
      <w:r>
        <w:t xml:space="preserve">: margen EBITDA del 27,6 % en el 2T26 frente al 35,0 % un año antes [2].</w:t>
      </w:r>
    </w:p>
    <w:p>
      <w:pPr>
        <w:pStyle w:val="ListParagraph"/>
        <w:numPr>
          <w:ilvl w:val="0"/>
          <w:numId w:val="2"/>
        </w:numPr>
        <w:spacing w:after="60"/>
      </w:pPr>
      <w:r>
        <w:rPr>
          <w:b/>
        </w:rPr>
        <w:t xml:space="preserve">Tasas USTR y aranceles</w:t>
      </w:r>
      <w:r>
        <w:t xml:space="preserve">: la suspensión de las tasas vence el 9-nov-2026 [32].</w:t>
      </w:r>
    </w:p>
    <w:p>
      <w:pPr>
        <w:pStyle w:val="ListParagraph"/>
        <w:numPr>
          <w:ilvl w:val="0"/>
          <w:numId w:val="2"/>
        </w:numPr>
        <w:spacing w:after="60"/>
      </w:pPr>
      <w:r>
        <w:rPr>
          <w:b/>
        </w:rPr>
        <w:t xml:space="preserve">Ampliación en el pico</w:t>
      </w:r>
      <w:r>
        <w:t xml:space="preserve">: 300 M al 4 % del capital para más barcos; Wallenius Lines no acude [8].</w:t>
      </w:r>
    </w:p>
    <w:p>
      <w:pPr>
        <w:pStyle w:val="Heading2"/>
      </w:pPr>
      <w:r>
        <w:t xml:space="preserve">Qué tiene que pasar para que la tesis funcione</w:t>
      </w:r>
    </w:p>
    <w:p>
      <w:pPr>
        <w:spacing w:after="100"/>
      </w:pPr>
      <w:r>
        <w:t xml:space="preserve">La tesis depende de que las tarifas bajen a medida que entra la flota nueva. La señal de que no se cumple: renovaciones de contratos de 2027-2028 por encima de la tarifa media de la cartera (≈ 54 USD/m³), fletamento a un año por encima de 90.000 USD/día en 2027 o un margen EBITDA trimestral que vuelva al 33 % con la flota creciendo. Si eso pasa con la flota mundial un 15 % mayor, el ciclo es más largo de lo que creemos.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32 % o &lt; 24 %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caso: 28-30 %.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Flete neto (USD/m³)</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55 o &gt; 70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las renovaciones.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Fletamento a un año de un PCTC (USD/día)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73.300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50.000 o &gt; 100.000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Termómetro del ciclo.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Exportaciones chinas de vehículos (M al mes)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1,0</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0,8</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 la demanda.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Cartera de contratos de transporte (miles de M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5,5</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Visibilidad de ingresos.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6,5x / 6,4x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11,4x / 10,8x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 · 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Wallenius Wilhelmsen nace en abril de 2017 de la fusión de las sociedades que tenían a medias desde 1999 la sueca Wallenius Lines (familia Wallenius-Soya, armadores desde 1934) y la noruega Wilh. Wilhelmsen (fundada en 1861): Wallenius Wilhelmsen Logistics, EUKOR y ARC [10]. EUKOR, el transportista de Hyundai y Kia, nació en 2002 de la compra de la flota de coches de Hyundai Merchant Marine, con Hyundai Motor Group como socio del 20 % [9, 10]. La empresa pasó de pérdidas en 2019-2020 (covid, deuda de 7,5 veces el EBITDA) al mejor ciclo del ro-ro en 2022-2025, con el que bajó deuda y repartió 2.089 M USD de dividendos en tres años [1]. En 2023-2024 encargó 14 barcos Shaper (los primeros nuevos en años) y en octubre de 2026 amplió capital para encargar cuatro más grandes [2, 8]. Lección: el beneficio de esta empresa lo decide el ciclo de oferta de barcos; en 2018-2020 la acción perdió un 60 % con márgenes del 16-21 %.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1861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Morten Wilhelm Wilhelmsen funda la naviera Wilh. Wilhelmsen en Tønsberg (Noruega).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1934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Olof Wallenius funda Wallenius Lines en Suecia.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Wallenius y Wilhelmsen juntan sus negocios de transporte de coches en Wallenius Wilhelmsen Lines (50/50).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Compran la flota de coches de Hyundai Merchant Marine y crean EUKOR, con Hyundai Motor Group como socio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Wallenius Wilhelmsen ASA, que cotiza en Oslo; cada familia queda con ≈ 38 %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Covid: pérdida de 286 M USD, barcos amarrados y deuda neta de 7,5 veces el EBITDA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Pico del ciclo ro-ro: margen EBITDA del 30-35 %, deuda neta a 1,2 veces y dividendos de 2.089 M en 2023-2025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Encargo de 14 Shaper de 9.350 CEU (metanol), con entregas de 2026 a 2028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MIRRAT a Qube (135 M de plusvalía) y tasas portuarias USTR a barcos de construcción china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con HMG sobre la opción de EUKOR (abril), guía rebajada (mayo) y colocación de 300 M para 4 barcos LNG grandes (octubre) [3, 8, 9].</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Wallenius Wilhelmsen (Lysaker, Noruega) transporta por mar coches, camiones, maquinaria agrícola y de construcción y otra carga rodada en ≈ 129 barcos ro-ro (91 en propiedad) por 15 rutas oceánicas, y presta servicios logísticos en tierra (procesado de vehículos en puertos, 8 terminales marítimas, transporte interior) sobre todo en EE. UU. y México [1, 2]. Nació en 2017 de la fusión de las sociedades que tenían en común la sueca Wallenius Lines (familia Soya) y la noruega Wilh. Wilhelmsen Holding, que siguen teniendo ≈ 73 % del capital. Tiene el 80 % de EUKOR (el transportista de Hyundai y Kia; el 20 % restante es de Hyundai Motor Group) y ARC, con bandera estadounidense, para el Gobierno de EE. UU. [1]. ≈ 8.400 empleados equivalentes a tiempo completo [1].</w:t>
      </w:r>
    </w:p>
    <w:p>
      <w:pPr>
        <w:pStyle w:val="Heading2"/>
      </w:pPr>
      <w:r>
        <w:t xml:space="preserve">Cómo gana dinero</w:t>
      </w:r>
    </w:p>
    <w:p>
      <w:pPr>
        <w:spacing w:after="100"/>
      </w:pPr>
      <w:r>
        <w:t xml:space="preserve">Cobra un flete por metro cúbico transportado, pactado en contratos de 1-5 años con los fabricantes (61 USD/m³ netos en el 2T26) más recargos por combustible (cláusulas BAF) [2]. El margen depende de la ocupación de los barcos y de la tarifa media de la cartera de contratos frente al coste del barco (propio o fletado) y del combustible: con la flota llena y tarifas renovadas en el pico, el margen EBITDA llegó al 35 % en 2023-2025 frente al 16-22 % de 2019-2021 [1]. La logística en tierra gana menos (12-16 % de margen EBITDA) pero con contratos más largos (8 años de media) [2]. Reparte casi todo: 50 % del beneficio más extraordinarios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Shipping services (transporte marítimo ro-ro)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Logistics services (logística en tierra)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Government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Holding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Shipping services (transporte marítimo ro-ro)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Logistics services (logística en tierra)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Government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Holding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fabricantes de coches y de maquinaria con contratos de 1 a 5 años: dos clientes de transporte de 452 y 460 M USD (≈ 9 % de las ventas cada uno; Hyundai Motor Group es el principal a través de EUKOR) y uno de logística de 153 M en 2025 [1]. En los últimos doce meses se renovaron o firmaron contratos por ≈ 190 M (mar-2026), ≈ 500 M (dic-2025), 130 M con un fabricante asiático (ene-2026) y 600 M con un fabricante europeo hasta 2031 (jun-2026) [1, 2]. Poder de precio cíclico: en 2022-2024 la escasez de barcos permitió subir mucho las tarifas de los contratos renovados; con la flota mundial creciendo un 8 % en 2026, las renovaciones de 2026-2027 son la prueba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transportado (M m³, 2T)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Flota llena desde Asia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Flete neto (USD/m³, 2T)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de rutas y contratos renovados a tarifas algo menores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del fletamento de flota (miles de USD/día, 2T)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combustible más caro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contratos de transporte (miles de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años de duración media; la de logística, 2.700 M (8,1 años)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ROCE ajustado de doce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&gt; 12 % a lo largo del ciclo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el transporte marítimo oceánico de carga rodada (coches, camiones, maquinaria agrícola y de construcción, carga sobre ruedas) en barcos PCTC/PCC de alta mar, más la logística de vehículos en puertos y en tierra que lo acompaña [1]. Es un nicho del transporte marítimo: ≈ 800 barcos y 5,2 M CEU (unidades equivalentes a un coche) de capacidad mundial [14]. Wallenius Wilhelmsen es el mayor operador junto con los japoneses (NYK, MOL, K Line) y las navieras chinas, que crecen muy rápido con la exportación de coches de su país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5,2 M CEU de flota mundial de alta mar (≈ 800 barcos) a mediados de 2026; ingresos mundiales del sector sin estadística pública (estimación propia: 25.000-30.000 M USD) [14]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Pico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CEU de capacidad de la flota mundial de alta mar (presentación de mercado de la empresa con datos de Clarksons y Veson))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Exportaciones de coches chinos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Exportaciones chinas de vehículos ligeros +58 % interanual en el 2T26 y más de 1 M al mes en junio y julio de 2026; la flota de WAWI va llena desde Asia [2,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Oferta de barcos (cartera de pedidos)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pedidos del 20,6 % de la flota; la capacidad crece un 8,1 % en 2026 y un 6,4 % en 2027, tras el 13 % de 2025 [1,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maquinaria agrícola y de construcción (High &amp; Heavy)</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Carga de más margen; débil en 2025 y recuperación gradual según la empresa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Ineficiencia de rutas (Mar Rojo, Ormuz)</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Rojo cerrado y conflicto en Oriente Medio desde febrero de 2026: viajes más largos absorben capacidad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Proteccionismo (aranceles a coches, tasas portuarias)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Aranceles de la sección 232 de EE. UU. a coches importados; tasas USTR a operadores de barcos de construcción china (suspendidas hasta el 9-nov-2026); la UE estudia ampliar medidas sobre coches chinos [2, 15].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navieras chinas (BYD, SAIC Anji, COSCO) pasan de 0 a una parte relevante de la flota y de la cartera de pedidos; los japoneses compiten por contratos de los mismos fabricantes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fabricantes grandes (Hyundai-Kia, Toyota, VW, Stellantis, BYD, John Deere) con contratos de varios años; dos clientes son ≈ 18 % de las ventas de WAWI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Astilleros chinos y coreanos con cartera llena; combustible con cláusulas BAF que lo repercuten con retraso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propios fabricantes chinos (BYD, SAIC, Chery) encargan sus barcos; un PCTC cuesta ≈ 100-150 M USD y se construye en 2-3 años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Contenedores para coches y producción local (fábricas chinas en Europa, México, Hungría) reducen el transporte oceánico a largo plazo [14].</w:t>
            </w:r>
          </w:p>
        </w:tc>
      </w:tr>
    </w:tbl>
    <w:p>
      <w:pPr>
        <w:spacing w:after="160" w:before="0"/>
      </w:pPr>
    </w:p>
    <w:p>
      <w:pPr>
        <w:pStyle w:val="Heading2"/>
      </w:pPr>
      <w:r>
        <w:t xml:space="preserve">Ciclo</w:t>
      </w:r>
    </w:p>
    <w:p>
      <w:pPr>
        <w:spacing w:after="100"/>
      </w:pPr>
      <w:r>
        <w:t xml:space="preserve">El ro-ro vivió un ciclo excepcional en 2022-2025 por la escasez de barcos (pocos pedidos en 2015-2021) y el salto de las exportaciones chinas: el fletamento a un año de un PCTC llegó a ≈ 115.000 USD/día (2023-2024) desde ≈ 15.000 en 2019-2020 y hoy está en ≈ 73.000 (3T26) [14, 16]. La flota crece un 13 % en 2025, un 8 % en 2026 y un 6 % en 2027 [1, 14]. El mercado al contado desde Asia está fuerte por las exportaciones chinas y la ineficiencia de rutas, pero los contratos de WAWI se renuevan a tarifas algo menores (flete neto −5 % en el 2T26) y el margen ya baja del 35 % al 28 %. Posición del ciclo: pico que empieza a girar.</w:t>
      </w:r>
    </w:p>
    <w:p>
      <w:pPr>
        <w:pStyle w:val="Heading2"/>
      </w:pPr>
      <w:r>
        <w:t xml:space="preserve">Regulación</w:t>
      </w:r>
    </w:p>
    <w:p>
      <w:pPr>
        <w:spacing w:after="100"/>
      </w:pPr>
      <w:r>
        <w:t xml:space="preserve">Tasas portuarias de la USTR (sección 301) a operadores de barcos de construcción china: 46 USD por tonelada neta para el ro-ro desde el 14-oct-2025, suspendidas hasta el 9-nov-2026; en el 4T25 costaron a WAWI ≈ 22 M USD antes de repercutirlas [2, 15]. Aranceles de la sección 232 de EE. UU. a los coches importados (25 % y acuerdos bilaterales del 15 % con Japón, Corea y la UE) reducen el volumen hacia EE. UU. [2]. Medioambiente: EU ETS para el transporte marítimo desde 2024, FuelEU Maritime desde 2025 y el marco de cero emisiones de la OMI (aplazado en 2025): favorecen barcos nuevos de combustible dual como los Shaper [1].</w:t>
      </w:r>
    </w:p>
    <w:p>
      <w:pPr>
        <w:pStyle w:val="Heading2"/>
      </w:pPr>
      <w:r>
        <w:t xml:space="preserve">Tendencias y disrupción</w:t>
      </w:r>
    </w:p>
    <w:p>
      <w:pPr>
        <w:spacing w:after="100"/>
      </w:pPr>
      <w:r>
        <w:t xml:space="preserve">Las navieras chinas y los fabricantes chinos (BYD, SAIC Anji, Chery, COSCO) encargan decenas de barcos para llevar sus coches: parte de la demanda nueva no llegará a los operadores tradicionales [14]. Los fabricantes chinos abren fábricas fuera de China (Hungría, Turquía, Brasil, México), lo que a largo plazo reduce el transporte de coches terminados. La descarbonización obliga a renovar flota (metanol, amoniaco, LNG) y favorece a los que tienen balance para hacerlo. La IA y la digitalización se aplican a planificación de flota y logística; no cambian el negocio físico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dos o tres mayores operadores de ro-ro de alta mar del mundo (≈ 129 barcos de ≈ 800; ≈ 15 % de la capacidad, estimación propia), y el mayor en logística de vehículos integrada con el transporte en EE. UU. [1, 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NYK Line (Nippon Yusen)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9101.T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flota de PCTC del mundo junto con WAWI; conglomerado (contenedores vía ONE, graneles, logística)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Mitsui O.S.K. Lines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9104.T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 operador de PCTC dentro de un grupo diversificado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 Line (Kawasaki Kisen)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9107.T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Operador de PCTC y graneles; participa en ONE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Höegh Autoliners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Noruega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HAUTO.OL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comparable más puro: solo ro-ro, cotiza en Oslo, renueva flota con 12 barcos Aurora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Hyundai Glovis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086280.KS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Logística y transporte del grupo Hyundai; compite con EUKOR por los volúmenes de HMG fuera del contrato [1,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Navieras chinas (BYD Shipping, SAIC Anji, COSCO, China Merchants)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parte de la cartera de pedidos mundial; llevan coches de sus propios fabricantes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Grimaldi (privada)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Ro-ro de corta y larga distancia; ≈ 10 % de Höegh (2024) [17].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rutas regulares y red de terminales y procesado en EE. UU.: los fabricantes valoran la frecuencia y el servicio de puerta a puerta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1-5 años integrados con la logística en tierra; pero se licitan y renuevan a precio de mercado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Bandera estadounidense de ARC para el Gobierno de EE. UU.; nada más relevante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flota y de compra de combustible; los Shaper son más grandes y eficientes, pero los competidores encargan barcos parecidos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 con pocos operadores grandes, pero la entrada de navieras chinas lo desmiente [2].</w:t>
            </w:r>
          </w:p>
        </w:tc>
      </w:tr>
    </w:tbl>
    <w:p>
      <w:pPr>
        <w:spacing w:after="160" w:before="0"/>
      </w:pPr>
    </w:p>
    <w:p>
      <w:pPr>
        <w:pStyle w:val="Heading2"/>
      </w:pPr>
      <w:r>
        <w:t xml:space="preserve">Amenazas</w:t>
      </w:r>
    </w:p>
    <w:p>
      <w:pPr>
        <w:spacing w:after="100"/>
      </w:pPr>
      <w:r>
        <w:t xml:space="preserve">La mayor amenaza es la oferta: la flota mundial crece ≈ 30 % entre 2025 y 2027 y buena parte de los barcos nuevos los encargan navieras y fabricantes chinos para sus propios coches [14]. Si las exportaciones chinas se frenan (aranceles en la UE y EE. UU., fábricas en el exterior) o se las llevan barcos chinos, las tarifas vuelven al nivel de antes de 2021. Segundo, las tasas portuarias USTR y los aranceles a coches importados en EE. UU., que reducen el volumen hacia el principal mercado de WAWI [2, 15].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w:t>
            </w:r>
          </w:p>
        </w:tc>
      </w:tr>
    </w:tbl>
    <w:p>
      <w:pPr>
        <w:spacing w:after="160" w:before="0"/>
      </w:pPr>
    </w:p>
    <w:p>
      <w:pPr>
        <w:spacing w:after="100"/>
      </w:pPr>
      <w:r>
        <w:t xml:space="preserve">Crecimiento anual compuesto 2020-2025: ingresos </w:t>
      </w:r>
      <w:r>
        <w:rPr>
          <w:b/>
          <w:bCs/>
        </w:rPr>
        <w:t xml:space="preserve">12,1 %</w:t>
      </w:r>
      <w:r>
        <w:t xml:space="preserve">, EBITDA </w:t>
      </w:r>
      <w:r>
        <w:rPr>
          <w:b/>
          <w:bCs/>
        </w:rPr>
        <w:t xml:space="preserve">30,8 %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2.958 M USD en 2020 (covid) a 5.308 M en 2024 y 5.240 M en 2025; en los últimos doce meses a junio de 2026, 5.151 M (−3,4 % interanual en el 2T26) [1, 2]. El EBITDA ajustado de la empresa subió de 457 M en 2020 a un máximo de 1.869 M en 2024 y 1.811 M en 2025 (margen del 34,6 %), y cae a ≈ 1.600 M en 2026 (guía rebajada el 6-may desde 1.650-1.750 M) [1, 3, 11]: márgenes del 35 % en 2023-2025 frente al 16-22 % de 2019-2021. Es un negocio cíclico: el beneficio neto pasó de −286 M en 2020 a 1.017 M en 2025 y vuelve a ≈ 700 M en los últimos doce meses [1, 2]. El transporte marítimo (Shipping services) da ≈ 75 % de los ingresos y ≈ 85 % del EBITDA; la logística en tierra (procesado de vehículos, terminales) ≈ 21 % de los ingresos con un margen del 12-16 %; y Government services (transporte para el Gobierno de EE. UU. con bandera estadounidense) el resto [1]. En 2025, la plusvalía de MIRRAT (135 M) está dentro del EBIT publicado; se trata como no recurrente (−125 M = 10 M de reestructuración y transformación digital − 135 M de plusvalía) [1].</w:t>
      </w:r>
    </w:p>
    <w:p>
      <w:pPr>
        <w:pStyle w:val="Heading2"/>
      </w:pPr>
      <w:r>
        <w:t xml:space="preserve">Ajustes y partidas no recurrentes</w:t>
      </w:r>
    </w:p>
    <w:p>
      <w:pPr>
        <w:spacing w:after="100"/>
      </w:pPr>
      <w:r>
        <w:t xml:space="preserve">La empresa da un «EBITDA ajustado» que excluye reestructuración, costes de transformación digital y ventas de activos: 1.811 M USD en 2025 frente a 1.801 publicado sin MIRRAT (1.936 con ella), y 1.627 M en los últimos doce meses frente a 1.597 publicado [1, 2]. Los dividendos extraordinarios (0,59 USD en 2024, 0,80 en 2025 y 0,24 en el primer semestre de 2026) se tratan aparte para no deformar el reparto [1, 13]. El impuesto es el de tonelaje noruego y de otros regímenes de tonelaje: tipo efectivo del 4-6 % del beneficio antes de impuestos [1]. Los arrendamientos (NIIF 16) están en el EBITDA como amortización e intereses: 1.538 M USD de pasivo a 31-dic-2025 y 1.490 M a 30-jun-2026, sobre todo barcos fletados por tiempo [1, 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EBITDA ajustado de la empresa por trimestre; BPA publicado (el del 2T25 lleva la plusvalía de MIRRAT) [2, 3, 4, 5, 12]. 2T26 (11-ago-2026): ingresos de 1.305 M USD (−3 % interanual), EBITDA ajustado de 361 M (−24 %; margen del 27,6 % frente al 35,0 %) por el combustible más caro con el conflicto de Oriente Medio (se recupera con retraso por las cláusulas BAF), beneficio de 138 M y BPA de 0,29 USD [2, 13]. Volumen de 13,6 M de m³ (13,7 un año antes) y flete neto de 61,4 USD/m³ (64,9); la cartera de contratos de transporte baja a 6.500 M USD (2,9 años) desde 8.700 M [2]. Guía 2026: EBITDA ajustado de ≈ 1.600 M (rebajada el 6-may desde 1.650-1.750 M) y, el 6-oct, 420-450 M para el 3T26 [3, 8]. La dirección dice que la flota está «vendida» desde Asia, que el 40 % del volumen de 2027 se renegocia en el segundo semestre de 2026 a tarifas más altas y que la logística tuvo su mejor trimestre desde el covid (46 M de EBITDA) [8, 13]. Resultados del 3T26: 4-nov-2026.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(2025: Venta de MIRRAT (logística de maquinaria en Australia) a Qube por 332,5 M AUD, cerrada el 2-may-2025: ≈ 210 M USD cobrados y 135 M de plusvalía; restó ≈ 80 M de ingresos de logística frente a 2024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con arrendamientos (deuda que devenga intereses: 1.147 M de deuda financiera + 1.490 M de arrendamientos − 627 M de caja) es de 2.011 M USD a 30-jun-2026, 1,2 veces el EBITDA ajustado de doce meses; en 2020 era de 3.427 M y 7,5 veces [1, 2]. La empresa ha usado el pico del ciclo para bajar deuda (2.731 M de deuda financiera en 2020, 1.147 en junio de 2026) y pagar dividendos [1, 2]. El circulante comercial es pequeño (existencias + clientes − proveedores ≈ 10,7 % de las ventas en 2025) [1]. El patrimonio subió a 3.660 M a 30-jun-2026 por la revaloración de la opción de EUKOR [2]; ratio de patrimonio del 48,8 % (objetivo &gt; 35 %).</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3.989</w:t>
      </w:r>
      <w:r>
        <w:t xml:space="preserve">, conversión </w:t>
      </w:r>
      <w:r>
        <w:rPr>
          <w:b/>
          <w:bCs/>
        </w:rPr>
        <w:t xml:space="preserve">118 %</w:t>
      </w:r>
      <w:r>
        <w:t xml:space="preserve"> del beneficio neto; adquisiciones 24, dividendos 2.152, recompras 4.</w:t>
      </w:r>
    </w:p>
    <w:p>
      <w:pPr>
        <w:spacing w:after="100"/>
      </w:pPr>
      <w:r>
        <w:t xml:space="preserve">El flujo operativo pasó de 615 M USD en 2020 a 1.744-1.778 M en 2023-2025 [1, 7]. La inversión en inmovilizado propio fue baja hasta 2025 (112-245 M) porque la flota se renovó poco en 2019-2023; desde 2026 sube con los 14 Shaper (≈ 1.400 M pendientes) y los 4 barcos LNG grandes [2, 8]. Los pagos de arrendamientos (capital) suman 327-360 M al año y las altas de derechos de uso (contratos de fletamento nuevos o renovados) 467 M en 2024 y 505 M en 2025: son inversión de hecho y el DCF las cuenta como tal [1]. En 2023-2025 casi todo el flujo libre se repartió: 362, 738 y 989 M de dividendos, más amortización de deuda [1]. Flujo libre de doce meses a junio de 2026 ≈ 560 M (operativo − inversión − arrendamientos) [2].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EY (Ernst &amp; Young 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limpias y sencillas (NIIF-UE, sin capitalización agresiva: el inmovilizado son barcos a coste amortizado a 25-30 años). Lo que distorsiona es el ciclo: el BPA pasó de −0,68 USD en 2020 a 2,41 en 2025 y 1,64 en los últimos doce meses [1, 2]. Partidas que vigilar: la opción de venta de EUKOR, que cambia de valor con el beneficio previsto de EUKOR (−465 M contra patrimonio en el 2T26; un pasivo de 386 M con una estimación muy incierta, dice la propia empresa) [2, 9]; la plusvalía de MIRRAT de 2025 (135 M) dentro del EBIT [1]; y los costes de las tasas portuarias USTR (≈ 22 M en el 4T25 antes de repercutirlos) [11]. El auditor cambió a EY en 2024 (antes PwC).</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de pico de ciclo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35 % en 2023-2025 frente al 16-22 % de 2019-2021; el 2T26 ya baja al 27,6 %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Opción de venta de EUKOR fuera del balance de deuda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386 M USD a valor actual (897 M al precio estipulado de 2025); el informe la resta como minoritarios [2,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Plusvalías dentro del EBIT</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MIRRAT, 135 M en 2025; se quita como no recurrente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Arrendamientos de barcos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1.490 M de pasivo por fletamentos: es deuda de hecho y se resta en el puente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9,8 %.</w:t>
      </w:r>
    </w:p>
    <w:p>
      <w:pPr>
        <w:spacing w:after="100"/>
      </w:pPr>
      <w:r>
        <w:t xml:space="preserve">El ROIC del motor sube del −0,8 % en 2020 y el 4,1 % en 2021 al 15,0-20,8 % en 2022-2025, con el margen EBITDA del 35 %; la media de seis años es del 12,8 %, unos 3 puntos sobre el WACC del 9,85 % [1]. El ROCE ajustado de la empresa baja del 19,9 % al 15,6 % en doce meses a junio de 2026 (objetivo &gt; 12 % a lo largo del ciclo) [2]. Lectura: la empresa gana claramente más que su coste de capital en el pico y lo justo a lo largo del ciclo; no es un negocio de calidad compuesta, sino un activo cíclico con buen balance. El ROE de 2023-2025 (29-31 %) está inflado porque la opción de EUKOR (897 M a finales de 2025) restaba patrimonio.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627 M USD a 30-jun-2026 y 552 M de líneas de crédito sin disponer (liquidez de 1.179 M frente a un mínimo propio de 1.000 M) [2]. El 6-oct-2026 entraron ≈ 295 M netos de la colocación y el 16-sep salieron 258 M de dividendo [8, 13]. Quedan 1.400 M de inversión para los 14 Shaper (financiación bancaria posterior a la entrega firmada para 11) más los 4 barcos LNG grandes que se contratan con la colocación [2, 8]. 43 barcos sin cargas con un valor contable de 1.146 M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calificación pública de agencia; financiación bancaria garantizada con barcos y bonos noruegos (el WAWI01 se amortizó en marzo de 2026)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Opción de venta de Hyundai Motor Group (HMG) sobre su 20 % de EUKOR: 897 M USD de pasivo corriente a 31-dic-2025; tras el acuerdo del 7-abr-2026 (no se ejerce mientras el contrato de transporte con HMG cubra al menos el 50 % de su volumen; el actual vence el 31-dic-2029) se mide al valor actual del precio estimado en la primera fecha de ejercicio y baja a 386 M no corrientes a 30-jun-2026 (−465 M contra patrimonio) [2, 9]. Es la parte económica del socio en EUKOR: el informe la trata como minoritarios. Pensiones netas de 34 M [2]. Compromisos de construcción de 1.400 M [2].</w:t>
      </w:r>
    </w:p>
    <w:p>
      <w:pPr>
        <w:pStyle w:val="Heading1"/>
      </w:pPr>
      <w:r>
        <w:t xml:space="preserve">12. Asignación de capital</w:t>
      </w:r>
    </w:p>
    <w:p>
      <w:pPr>
        <w:pStyle w:val="Confianza"/>
        <w:spacing w:after="100"/>
      </w:pPr>
      <w:r>
        <w:t xml:space="preserve">Confianza: Alta</w:t>
      </w:r>
    </w:p>
    <w:p>
      <w:pPr>
        <w:spacing w:after="100"/>
      </w:pPr>
      <w:r>
        <w:t xml:space="preserve">Política de dividendo: 30-50 % del beneficio neto de cada semestre, en USD y pagado en NOK; desde 2024 se suman dividendos extraordinarios (100 M en el primer semestre de 2026: 0,61 USD por acción en total, el 82 % del beneficio) [1, 13]. Objetivos financieros a lo largo del ciclo: ROCE &gt; 12 %, deuda neta &lt; 3 veces el EBITDA, patrimonio &gt; 35 % del activo y liquidez &gt; 1.000 M [1]. En octubre de 2026 la empresa amplió capital (300 M brutos, 4 % del capital) para pagar más barcos: el programa pasa a 26 barcos con opciones (14 Shaper de 2026-2028, 4 LNG grandes para 2030 y 8 opciones desde 2031)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MIRRAT (logística de maquinaria, Australia)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a Qube por 332,5 M AUD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 de 135 M USD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barcos Shaper (PCTC de 9.350 CEU, metanol listo)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bancaria posterior a la entrega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Entregas del 3T26 a 2028; 1.400 M pendientes a 30-jun-2026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barcos LNG grandes (entrega en 2030) y 8 opciones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Colocación de 300 M USD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negociación avanzada con astilleros a 6-oct-2026 [8].</w:t>
            </w:r>
          </w:p>
        </w:tc>
      </w:tr>
    </w:tbl>
    <w:p>
      <w:pPr>
        <w:spacing w:after="160" w:before="0"/>
      </w:pPr>
    </w:p>
    <w:p>
      <w:pPr>
        <w:spacing w:after="100"/>
      </w:pPr>
      <w:r>
        <w:t xml:space="preserve">Desde la fusión de 2017 el capital se ha usado en tres cosas: bajar deuda (de 3.427 M de deuda neta con arrendamientos en 2020 a 2.011 en junio de 2026), pagar dividendos crecientes (2.089 M en 2023-2025) y renovar flota [1, 2]. La asignación ha sido prudente hasta 2025; en 2026 cambia de signo: pide 300 M al mercado tras pagar 989 M de dividendos en 2025 y 1.07 USD por acción más en 2026, para encargar barcos en un momento de cartera de pedidos mundial del 20 % de la flota [1, 8]. Pagar dividendos extraordinarios y a la vez ampliar capital es una señal ambigua: devuelve caja a los dos grandes accionistas mientras diluye al flotante.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Lasse Kristoffersen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consejero delegado de Tschudi Shipping y de Wilh. Wilhelmsen Holding en distintos puestos. Llegó en 2021 al final del covid y ha llevado la empresa por el mejor ciclo de su historia: deuda neta de 7,5 a 1,2 veces el EBITDA y dividendos de 2.089 M en tres años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Bjørnar Bukholm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2024; antes en el área financiera del grupo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Felitto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comercial (CCO)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el 15-oct-2026; sustituye a Pia Synnerman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Michael Hart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 Shipping services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Dirige el transporte marítimo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por encima de 2024 (suspendida el 13-oct-2025 por las tasas USTR); el 15-dic, ≈ 50 M menos en el 4T que en el 3T</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1.811 M USD ajustado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ajustado de 1.650-1.750 M (15-dic-2025), rebajada a ≈ 1.600 M el 6-may-2026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750 M en el primer semestre y 420-450 M guiados para el 3T</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con buena ejecución operativa y financiera en el pico: bajó deuda, renovó contratos largos y mejoró la logística (mejor trimestre desde el covid en el 2T26) [1, 11]. La guía de 2026 se rebajó a los cuatro meses por el combustible y el conflicto de Oriente Medio, y la de 2025 se suspendió por las tasas USTR: la visibilidad es limitada, como en cualquier naviera [11]. Cambios: nuevo director comercial (octubre de 2026) y nueva consejera (Lieve Logghe) que sustituye a quien presidía la comisión de auditoría [1, 20].</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Rune Bjerke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Wilhelmsen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Hans Åkervall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Yngvil Eriksson Åsheim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Magnus Groth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Line Hestvik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Lieve Logghe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57 %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61,0 %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2025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51,20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Wilh. Wilhelmsen Holding ASA (familia Wilhelmsen)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37,87 % antes de la colocación; suscribió 2,85 M de acciones nuevas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Wallenius Lines AB (Rederi AB Soya, familia Wallenius-Soya)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37,82 % antes de la colocación; no participó</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Folketrygdfondet y otros fondos noruegos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dato del registro a la fecha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puntos con la colocación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Wilh. Wilhelmsen Holding (asociada a Thomas Wilhelmsen,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Lasse Kristoffersen (consejero delegado) y directivos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Entrega LTI</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76.555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sep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Lasse Kristoffersen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Traspaso a sociedad propia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may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Magnus Groth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 may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Line Hestvik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(2024)</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1,49 M USD en 2024: 0,67 M de fijo, 0,14 M de beneficios y pensión, 0,37 M de variable anual (ligado a dividendo, EBITDA y ROCE) y 0,31 M de incentivo a largo plazo en acciones (ROCE, capitalización, estrategia y sostenibilidad) [19, 20]. Es poco para una empresa de 8.000 M USD de capitalización: unas 19 veces el coste medio por empleado (79.300 USD) [19]. El variable premia el EBITDA y el ROCE de cada año, que dependen del ciclo más que de la gestión. En la junta de 2026 las directrices de remuneración tuvieron el 89,26 % a favor y el 9,70 % en contra del capital representado; como los dos grandes accionistas (320 M de acciones) votan a favor, ese 9,70 % es el 61 % del capital libre presente: el flotante votó mayoritariamente en contra [18]. El informe de remuneración tuvo un 2,17 % en contra (13,6 % del libre) [18].</w:t>
      </w:r>
    </w:p>
    <w:p>
      <w:pPr>
        <w:pStyle w:val="Heading2"/>
      </w:pPr>
      <w:r>
        <w:t xml:space="preserve">Operaciones vinculadas, estructura de control y defensas</w:t>
      </w:r>
    </w:p>
    <w:p>
      <w:pPr>
        <w:spacing w:after="100"/>
      </w:pPr>
      <w:r>
        <w:t xml:space="preserve">Dos familias navieras controlan juntas ≈ 73 % del capital: Wilh. Wilhelmsen Holding (≈ 37 %) y Wallenius Lines, de Rederi AB Soya (≈ 36 %) [1, 22]. No hay un pacto de sindicación publicado, pero cada una tiene un consejero (Thomas Wilhelmsen y Hans Åkervall) y juntas deciden cualquier operación; una OPA sin su acuerdo es imposible. Una acción, un voto. El presidente (Rune Bjerke) y cuatro de siete consejeros son independientes [1]. Operaciones vinculadas: servicios de gestión técnica de barcos, seguros y agencia con sociedades del grupo Wilhelmsen (Wilhelmsen Ship Management, Wilhelmsen Ships Service) y fletamentos con Wallenius Marine; la empresa dice que son a precio de mercado [1]. En la colocación de octubre de 2026 Wallenius Lines no participó «por el tamaño de su inversión en transporte marítimo dentro de su cartera», una señal de que una de las dos familias no quiere aumentar su exposición [22].</w:t>
      </w:r>
    </w:p>
    <w:p>
      <w:pPr>
        <w:pStyle w:val="Heading2"/>
      </w:pPr>
      <w:r>
        <w:t xml:space="preserve">Señales de alerta</w:t>
      </w:r>
    </w:p>
    <w:p>
      <w:pPr>
        <w:pStyle w:val="ListParagraph"/>
        <w:numPr>
          <w:ilvl w:val="0"/>
          <w:numId w:val="2"/>
        </w:numPr>
        <w:spacing w:after="60"/>
      </w:pPr>
      <w:r>
        <w:t xml:space="preserve">El flotante votó en contra de las directrices de remuneración en la junta de 2026 (61 % del capital libre presente) [18].</w:t>
      </w:r>
    </w:p>
    <w:p>
      <w:pPr>
        <w:pStyle w:val="ListParagraph"/>
        <w:numPr>
          <w:ilvl w:val="0"/>
          <w:numId w:val="2"/>
        </w:numPr>
        <w:spacing w:after="60"/>
      </w:pPr>
      <w:r>
        <w:t xml:space="preserve">Wallenius Lines (≈ 36 %) no acudió a la ampliación de octubre de 2026 y WWH prestó acciones para liquidarla; ninguna compra de los grandes accionistas en mercado [21, 22].</w:t>
      </w:r>
    </w:p>
    <w:p>
      <w:pPr>
        <w:pStyle w:val="ListParagraph"/>
        <w:numPr>
          <w:ilvl w:val="0"/>
          <w:numId w:val="2"/>
        </w:numPr>
        <w:spacing w:after="60"/>
      </w:pPr>
      <w:r>
        <w:t xml:space="preserve">Ampliación de capital sin derecho de suscripción preferente al 4 % del capital, días después de pagar un dividendo de 258 M [1, 21].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EBITDA ajustado de ≈ 1.600 M USD (15-dic-2025: 1.650-1.750 M; rebajada el 6-may-2026 por el combustible y la incertidumbre) y 420-450 M para el 3T26 (6-oct-2026) [8, 11, 31]. Sin guía de 2027. La dirección dice que el mercado sigue «muy tenso», que la flota va llena desde Asia y que el 40 % del volumen de 2027 se renegocia en el segundo semestre de 2026 con tarifas al contado ≈ 80 % por encima de hace un año en Asia-Europa [8, 13]. Tasas USTR suspendidas hasta el 9-nov-2026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 analistas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 analistas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12,54 – 21,97</w:t>
            </w:r>
          </w:p>
        </w:tc>
      </w:tr>
    </w:tbl>
    <w:p>
      <w:pPr>
        <w:spacing w:after="160" w:before="0"/>
      </w:pPr>
    </w:p>
    <w:p>
      <w:pPr>
        <w:pStyle w:val="Heading2"/>
      </w:pPr>
      <w:r>
        <w:t xml:space="preserve">Revisiones de estimaciones</w:t>
      </w:r>
    </w:p>
    <w:p>
      <w:pPr>
        <w:spacing w:after="100"/>
      </w:pPr>
      <w:r>
        <w:t xml:space="preserve">El BPA de 2027 del consenso de Yahoo subió de 1,29 USD hace 90 días a 1,75 hoy, tras el 2T26 y la tensión del mercado desde Asia [25]. Objetivos (NOK): Nordea 200 (comprar, 15-oct), Pareto 204 (comprar, 14-sep); tras el 2T26 (12-ago) SB1 155 (neutral), Fearnley 159 (mantener), SEB 150 (mantener), DNB Carnegie 150 (mantener) y Arctic 149 (baja a mantener) [29]. MarketScreener da 5 analistas con «outperform» y objetivo medio de 17,46 USD (≈ 163 NOK), un 7 % bajo el precio [24]. Yahoo: 1 compra fuerte, 1 compra y 3 mantener [25]. La acción salió del OBX (índice de las 25 más líquidas) el 20-sep-2026 [30].</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multiplicado por 7,5 su precio desde el cierre de 2020 (23,2 NOK) y sube un 130 % con dividendos en un año frente al 29 % del OSEBX [23]. Rentabilidad total anual del 50 % a cinco años, con caídas fuertes en medio (−43 % de septiembre de 2024 a abril de 2025, con los aranceles de EE. UU. y las tasas USTR) [23]. Beta mensual de 1,2 frente al OSEBX (1,54 semanal a dos años) y volatilidad del 33 % [23]. En el último año la subida se apoya en tres cosas: la suspensión de las tasas USTR (noviembre de 2025), el mercado tenso desde Asia (exportaciones chinas) y las subidas de objetivo; las caídas fuertes son los días de dividendo y la colocación [23, 30].</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 / +20,1 % / +50,9 % / +128,8 %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 / +130,3 %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retrasa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Condición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Esperar a los resultados del 4-nov-2026 y a la decisión de EE. UU. sobre las tasas portuarias USTR (la suspensión vence el 9-nov-2026)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suspende un año las tasas portuarias USTR (desde el 10-nov-2025) tras el acuerdo comercial con China, y resultados del 3T25 mejores de lo esperado (5-nov) [30,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4T25 y dividendo de 1,01 USD (11-feb); mercado tenso desde Asia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la guía de 2026 a ≈ 1.600 M por el combustible y el conflicto de Oriente Medio (6-may)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jul-sep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meses de +10-12,5 %: exportaciones chinas récord (más de 1 M de coches al mes), tarifas al contado al alza, resultados del 2T26 y dividendo de 0,61 USD (11-ago), presentación de mercado (24-sep) y subidas de objetivo (Pareto 204 NOK) [13, 29,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Colocación de 17,1 M de acciones a 168 NOK (6-oct) para encargar 4 barcos LNG grandes: −7,2 % el 7-oct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Vence la suspensión de un año de las tasas portuarias USTR a barcos de construcción china (46 USD por tonelada neta); vuelven el 10-nov si no se prorroga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Esperar a saber si EE. UU. prorroga la suspensión de las tasas USTR (vence el 9-nov-2026)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(guía de 420-450 M de EBITDA ajustado) y primeras señales de las renovaciones del 40 % del volumen de 2027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director comercial (John Felitto)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o capital</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Colocación de 17,145 M de acciones a 168 NOK (≈ 300 M USD; 4 % del capital) para 4 barcos LNG grandes con entrega en 2030 y 8 opciones; Wallenius Lines no participa; bloqueo de 6 meses de la empresa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del índice OBX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EBITDA ajustado de 361 M (−24 %), dividendo de 0,61 USD (82 % del beneficio), guía de 2026 mantenida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Morning Concert sale del estrecho de Ormuz tras quedar atrapado por el conflicto de Oriente Medio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Extensión de contrato con un fabricante europeo hasta 2031 (≈ 420 M USD más)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la guía de 2026 de 1.650-1.750 M a ≈ 1.600 M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o capital</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Hyundai Motor Group: su opción de venta del 20 % de EUKOR no se ejerce mientras dure el contrato de transporte; el pasivo baja de 897 a 386 M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2025-10-13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Tasas USTR de 46 USD por tonelada neta desde el 14-oct-2025; la empresa suspende la guía de 2025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acción sube un 129 % en doce meses y un 51 % en seis, a un 5 % del máximo de cinco años y un 27 % sobre la media de 200 sesiones; la herramienta no da avisos P (la subida de tres meses, +20 %, queda justo por debajo del umbral) [23]. La subida tiene causa: suspensión de las tasas USTR, exportaciones chinas récord y tarifas al contado al alza [13, 32]. Pero hay un hecho con fecha que puede mover el precio más de un 5 %: la suspensión de las tasas portuarias USTR vence el 9-nov-2026, cinco días después de los resultados del 3T (4-nov). Si vuelven, costarían de nuevo ≈ 20-25 M al trimestre antes de repercutirlos y cambiarían rutas [11, 32]. Veredicto: retrasa cualquier compra hasta conocer las dos cosas; no cambia una señal de venta.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 de cierre de cada ejercicio en Oslo (Yahoo [23]) pasado a USD con el tipo de Norges Bank del último día hábil del año [28]: 2020 2,72; 2021 5,74; 2022 9,85; 2023 8,75; 2024 8,24; 2025 10,02 USD. El PER al cierre de 2020 no tiene sentido (pérdida de 0,68 USD por acción). En base adelantada (precio de cierre ÷ BPA real del año siguiente), la acción cotizó a 3,4-4,9 veces en 2021-2024, cuando el mercado ya veía beneficios de pico y descontaba que no durarían; al cierre de 2025, a ≈ 6 veces nuestro 2026e, y hoy a ≈ 11 veces nuestro 2027e: el múltiplo se ha más que duplicado mientras el beneficio baja.</w:t>
      </w:r>
    </w:p>
    <w:p>
      <w:pPr>
        <w:pStyle w:val="Heading1"/>
      </w:pPr>
      <w:r>
        <w:t xml:space="preserve">18. Comparables cotizados</w:t>
      </w:r>
    </w:p>
    <w:p>
      <w:pPr>
        <w:pStyle w:val="Confianza"/>
        <w:spacing w:after="100"/>
      </w:pPr>
      <w:r>
        <w:t xml:space="preserve">Confianza: Media</w:t>
      </w:r>
    </w:p>
    <w:p>
      <w:pPr>
        <w:spacing w:after="100"/>
      </w:pPr>
      <w:r>
        <w:t xml:space="preserve">Navieras con negocio ro-ro (Höegh Autoliners, el único puro y cotizado; NYK, MOL y K Line, que tienen las otras grandes flotas de PCTC dentro de conglomerados; Hyundai Glovis, logística y ro-ro del grupo Hyundai) y dos navieras de contenedores como referencia del ciclo marítimo (Maersk, COSCO) [25]. Hapag-Lloyd queda fuera (BPA de 2027 negativo). PER de los próximos 12 meses con el BPA del consenso de Yahoo en la divisa de cada empresa; EV/EBITDA con la capitalización, deuda y caja de Yahoo ; en los japoneses el EBITDA de Yahoo no incluye su parte de ONE (contenedores), el grueso de su beneficio, y su EV/EBITDA no se usa. El EV/ventas no se usa: mezcla logística de margen bajo (Glovis) y transporte.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Wallenius Wilhelmsen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Höegh Autoliners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Hyundai Glovis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NYK Line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Mitsui O.S.K. Lines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 Line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 Møller-Mærsk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COSCO Shipping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50"/>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 / 6,5x / 8,6x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9,3x / 9,5x / 12,6x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WAWI cotiza a ≈ 10,7 veces el BPA de los próximos 12 meses del consenso (≈ 11 veces el nuestro), por encima de Höegh (9,5x), de Hyundai Glovis (7,4x) y de la mediana de los comparables (9,5x) [25]. Los japoneses (11,7-13,4x) mezclan negocios. Höegh es el comparable más limpio: misma exposición, mismas exportaciones chinas, y el mercado le da un PER algo menor con un margen EBITDA más alto (36,6 %). La prima de WAWI puede reflejar la logística en tierra y la cartera de contratos más larga, pero también un precio que ya descuenta mucho. Mediana de los comparables: 9,5x.</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MIRRAT (logística de maquinaria, Australia)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Qube Holdings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332,5 M AUD; ventas anuales ≈ 80 M USD; sin EBITDA publicado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 del capital de WAWI (colocación)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Inversores institucionales y WWH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168 NOK por acción, un 4 % bajo el cierre previo; no es una compra de control [8].</w:t>
            </w:r>
          </w:p>
        </w:tc>
      </w:tr>
    </w:tbl>
    <w:p>
      <w:pPr>
        <w:spacing w:after="160" w:before="0"/>
      </w:pPr>
    </w:p>
    <w:p>
      <w:pPr>
        <w:spacing w:after="160" w:before="0"/>
      </w:pPr>
    </w:p>
    <w:p>
      <w:pPr>
        <w:spacing w:after="100"/>
      </w:pPr>
      <w:r>
        <w:t xml:space="preserve">No hay compras recientes de navieras ro-ro con múltiplo publicado: el sector se mueve por compras de barcos sueltos (valor de segunda mano y de nuevos), no de empresas. Con dos familias que controlan el 73 %, una OPA sobre WAWI es improbable; el valor de control no es relevante.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(+1,1 %, fijo) sale de la guía de ≈ 1.600 M de EBITDA ajustado y del consenso de ventas (5.332 M) [3, 24]. 2027e (+3 %) recoge las renovaciones de contratos del segundo semestre de 2026 a tarifas más altas [2]. 2028e-2029e (−1 % y −3 %) bajan las tarifas con la flota mundial creciendo un 8 % en 2026 y un 6 % en 2027 y la mitad de los barcos nuevos en manos chinas [14]; el consenso también baja en 2028e (−2,9 %) [24]. Desde 2030e, 0-2,5 % nominal.</w:t>
      </w:r>
    </w:p>
    <w:p>
      <w:pPr>
        <w:keepNext/>
        <w:spacing w:after="100"/>
      </w:pPr>
      <w:r>
        <w:rPr>
          <w:b/>
          <w:bCs/>
        </w:rPr>
        <w:t xml:space="preserve">Márgenes.</w:t>
      </w:r>
    </w:p>
    <w:p>
      <w:pPr>
        <w:spacing w:after="100"/>
      </w:pPr>
      <w:r>
        <w:t xml:space="preserve">Margen EBITDA del 30 % en 2026e (guía) y 30,5 % en 2027e, que baja al 25 % de mitad de ciclo en 2030e: entre el 16-22 % de 2019-2021 y el 30-35 % de 2022-2025, y por debajo de la media de 2019-2025 (≈ 28 %) porque la oferta crece ≈ 30 % en 2025-2027 [1, 14]. Más alto que el de antes de 2021 por la flota más eficiente y los contratos más largos de logística.</w:t>
      </w:r>
    </w:p>
    <w:p>
      <w:pPr>
        <w:keepNext/>
        <w:spacing w:after="100"/>
      </w:pPr>
      <w:r>
        <w:rPr>
          <w:b/>
          <w:bCs/>
        </w:rPr>
        <w:t xml:space="preserve">Inversión y circulante.</w:t>
      </w:r>
    </w:p>
    <w:p>
      <w:pPr>
        <w:spacing w:after="100"/>
      </w:pPr>
      <w:r>
        <w:t xml:space="preserve">Inversión = inmovilizado propio más altas de derechos de uso (fletamentos nuevos: 505 M en 2025): 14,3 % de las ventas en 2025 [1]. 19-21 % en 2026e-2027e por los 14 Shaper (1.400 M pendientes) y los pagos de los 4 LNG grandes; 18 % en 2028e y reposición de flota del 13,5 % desde 2032e, algo por encima de la amortización (13 %) [2, 8]. Circulante del 10,5 % de las ventas (10,7 % en 2025) [1].</w:t>
      </w:r>
    </w:p>
    <w:p>
      <w:pPr>
        <w:keepNext/>
        <w:spacing w:after="100"/>
      </w:pPr>
      <w:r>
        <w:rPr>
          <w:b/>
          <w:bCs/>
        </w:rPr>
        <w:t xml:space="preserve">Coste del capital.</w:t>
      </w:r>
    </w:p>
    <w:p>
      <w:pPr>
        <w:spacing w:after="100"/>
      </w:pPr>
      <w:r>
        <w:t xml:space="preserve">Tasa libre del 5,12 % (bono del Tesoro de EE. UU. a 10 años del 20-oct-2026: la empresa vive en USD) [26]; beta de 1,2 (mensual a 5 años frente al OSEBX; 1,54 semanal a 2 años) [23]; prima de mercado del 4,2 % (implícita de Damodaran, octubre de 2026) [27] más 1 punto por la ciclicidad que la beta frente a un índice de petróleo y navieras no recoge, el flotante del 27 % y el control de dos familias. Coste de la deuda del 6,0 % (bancaria garantizada con barcos y arrendamientos), impuesto del 5 % (tonelaje) y deuda del 24 % del capital (deuda y arrendamientos frente a capitalización). WACC del 9,85 %.</w:t>
      </w:r>
    </w:p>
    <w:p>
      <w:pPr>
        <w:keepNext/>
        <w:spacing w:after="100"/>
      </w:pPr>
      <w:r>
        <w:rPr>
          <w:b/>
          <w:bCs/>
        </w:rPr>
        <w:t xml:space="preserve">Valor terminal.</w:t>
      </w:r>
    </w:p>
    <w:p>
      <w:pPr>
        <w:spacing w:after="100"/>
      </w:pPr>
      <w:r>
        <w:t xml:space="preserve">Gordon con crecimiento del 2 % (inflación en USD, sin crecimiento real: el transporte de coches terminados crece menos que la producción porque los fabricantes producen cerca del mercado) sobre un margen de mitad de ciclo del 25 % e inversión de reposición algo por encima de la amortización. Contraste con múltiplo: 5,5 veces el EBITDA, el nivel de compra de navieras en mitad de ciclo.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14,36</w:t>
            </w:r>
          </w:p>
        </w:tc>
      </w:tr>
    </w:tbl>
    <w:p>
      <w:pPr>
        <w:spacing w:after="160" w:before="0"/>
      </w:pPr>
    </w:p>
    <w:p>
      <w:pPr>
        <w:pStyle w:val="Heading2"/>
      </w:pPr>
      <w:r>
        <w:t xml:space="preserve">¿Puede la empresa sostener el crecimiento previsto?</w:t>
      </w:r>
    </w:p>
    <w:p>
      <w:pPr>
        <w:spacing w:after="100"/>
      </w:pPr>
      <w:r>
        <w:rPr>
          <w:b/>
          <w:bCs/>
        </w:rPr>
        <w:t xml:space="preserve">Veredicto: 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 M (22 %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(ROIC 18,9 %)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 frente al 0,9 %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 (hoy: 15,0 %)</w:t>
            </w:r>
          </w:p>
        </w:tc>
      </w:tr>
    </w:tbl>
    <w:p>
      <w:pPr>
        <w:spacing w:after="160" w:before="0"/>
      </w:pPr>
    </w:p>
    <w:p>
      <w:pPr>
        <w:spacing w:after="100"/>
      </w:pPr>
      <w:r>
        <w:t xml:space="preserve">La proyección reinvierte el 22 % del NOPAT. Con el ROIC del último ejercicio (18,9 %), eso financia un crecimiento del 4,1 % anual, frente al 0,9 % de ingresos proyectado. Supone que el capital nuevo rinde un -39,8 %; la cuota de mercado pasaría al 17,0 % desde el 15,0 %.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plano (13,6-13,7 M de m³ por trimestre, flota llena) y tarifa media algo más alta con recargos de combustible; guía de ≈ 1.600 M [2,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+1 % (entregas de Shaper) y precio +2 %: el 40 % del volumen de 2027 se renegocia en el segundo semestre de 2026 con el contado ≈ 80 % por encima del año anterior en Asia-Europa [2,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volumen con los Shaper (+1,5 %) pero tarifas −2,5 % con la flota mundial un 15 % mayor que en 2025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Tarifas −4,5 % (contratos de 2025-2026 renovados a la baja); volumen +1,5 %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Mitad de ciclo: volumen +1,5 %, precio −1,5 %.</w:t>
            </w:r>
          </w:p>
        </w:tc>
      </w:tr>
    </w:tbl>
    <w:p>
      <w:pPr>
        <w:spacing w:after="160" w:before="0"/>
      </w:pPr>
    </w:p>
    <w:p>
      <w:pPr>
        <w:spacing w:after="100"/>
      </w:pPr>
      <w:r>
        <w:t xml:space="preserve">No: la calidad de la empresa no sostiene los márgenes ni el ROIC de hoy. El foso es estrecho (contratos de 1-5 años que se licitan a precio de mercado, sin poder de precio fuera del ciclo) y el ROIC a lo largo del ciclo ronda el WACC (−0,8 % y 4,1 % en 2020-2021, 15-21 % en 2022-2025; media del 12,8 % frente al 9,85 %) [1]. Las pruebas del motor pasan (crecimiento proyectado del 0,9 % frente al 4,1 % financiable; cuota del 15 al 17 %) solo porque la proyección ya baja el margen del 34,6 % de 2025 al 25 % y el crecimiento a cero. Con 30 % más de flota mundial en 2025-2027, el pico no se repite.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 (base: 0,9 %)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31,4 % (base: 25,0 %)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 (WACC: 9,8 %)</w:t>
            </w:r>
          </w:p>
        </w:tc>
      </w:tr>
    </w:tbl>
    <w:p>
      <w:pPr>
        <w:spacing w:after="160" w:before="0"/>
      </w:pPr>
    </w:p>
    <w:p>
      <w:pPr>
        <w:spacing w:after="100"/>
      </w:pPr>
      <w:r>
        <w:t xml:space="preserve">El DCF da 9,79 USD por acción (91,6 NOK), un 47,6 % bajo el precio, con un WACC del 9,85 % y un valor terminal que pesa el 59 %. El DCF inverso dice que para justificar 18,68 USD hay que creer en un crecimiento de las ventas del 10,9 % anual en 2027e-2033e (el base: 0,9 %) o en un margen EBITDA del 31,4 % para siempre (el base: 25 % desde 2030e), es decir, que el pico de 2022-2025 es el nuevo normal; la rentabilidad implícita en el precio con nuestro caso base es del 6,9 %, por debajo del WACC. Es muy exigente: el margen del 31 % solo se dio en los cuatro años de mayor escasez de barcos de la historia, y la flota mundial crece ≈ 30 % entre 2025 y 2027 [14]. El DCF es sensible al margen terminal: cada punto vale ≈ 1,2 USD por acción.</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flota nueva llega (8 % en 2026, 6 % en 2027) cuando las exportaciones chinas se frenan por aranceles en la UE y EE. UU. y las navieras chinas llevan sus propios coches: el fletamento vuelve a 20-30.000 USD/día, los contratos se renuevan un 20-30 % más baratos y el margen cae al 20 % de 2019-2021, con las tasas USTR de vuelta en noviembre de 2026. La empresa sigue pagando 1.400 M por los Shaper y 4 LNG: deuda arriba y dividendo recortado.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tarifas aguantan en 2027 por las renovaciones y la ineficiencia de rutas (Mar Rojo, Ormuz), y bajan en 2028-2029 a medida que entran los barcos nuevos: el margen EBITDA pasa del 30 % al 25 % de mitad de ciclo en 2030, las ventas quedan planas y la inversión en flota (19-21 % de las ventas en 2026-2027) absorbe buena parte de la caja.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exportaciones chinas siguen creciendo a doble dígito, Ormuz y el Mar Rojo siguen cerrados y el desguace de barcos viejos compensa la flota nueva: margen del 29-34 % durante años, como 2022-2025, y crecimiento del 3-5 % con los Shaper.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18,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8,93 USD (-52,2 %).</w:t>
      </w:r>
    </w:p>
    <w:p>
      <w:pPr>
        <w:spacing w:after="100"/>
      </w:pPr>
      <w:r>
        <w:t xml:space="preserve">La asimetría es muy desfavorable: el alcista (18,59 USD) apenas iguala el precio y el bajista (1,04 USD) deja la acción casi sin valor, porque con márgenes del 20 % y la inversión en flota comprometida el flujo libre no cubre la deuda y los arrendamientos [37]. El valor ponderado es de 10,44 USD, un 44,1 % bajo el precio. El bajista no es un caso extremo: es el margen de 2019 y 2021.</w:t>
      </w:r>
    </w:p>
    <w:p>
      <w:pPr>
        <w:pStyle w:val="Heading1"/>
      </w:pPr>
      <w:r>
        <w:t xml:space="preserve">22. Suma de partes</w:t>
      </w:r>
    </w:p>
    <w:p>
      <w:pPr>
        <w:pStyle w:val="Confianza"/>
        <w:spacing w:after="100"/>
      </w:pPr>
      <w:r>
        <w:t xml:space="preserve">Confianza: Media</w:t>
      </w:r>
    </w:p>
    <w:p>
      <w:pPr>
        <w:spacing w:after="100"/>
      </w:pPr>
      <w:r>
        <w:t xml:space="preserve">No aplica como método: el transporte marítimo da ≈ 85 % del EBITDA y comparte clientes con la logística en tierra, que vende servicios a los mismos fabricantes y vive de los mismos volúmenes. EUKOR (80 %) se integra entera y el 20 % de Hyundai Motor Group se resta como minoritarios en el puente [9].</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18,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10,44 USD (-44,1 % sobre 18,68).</w:t>
      </w:r>
    </w:p>
    <w:p>
      <w:pPr>
        <w:spacing w:after="100"/>
      </w:pPr>
      <w:r>
        <w:t xml:space="preserve">Pesos: DCF 45 %, escenarios 40 % y comparables 15 %; transacciones 0 (no hay compras de navieras ro-ro con múltiplo). El DCF es el método que mejor recoge el ciclo, porque normaliza el margen y cobra la inversión en flota; los comparables (PER NTM 9,5 veces de mediana y EV/EBITDA de 3,6-8,7 veces) valoran beneficios de pico y por eso dan más (16-19 USD). La conclusión no depende de los pesos: con el 100 % en comparables el valor quedaría cerca del precio, no por encima.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(11.4x) ÷ 1.1 (tope: la mediana de 5 años, 3.9x,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spacing w:after="100"/>
      </w:pPr>
      <w:r>
        <w:rPr>
          <w:b/>
          <w:bCs/>
        </w:rPr>
        <w:t xml:space="preserve">Objetivo a 12 meses (ponderado):</w:t>
      </w:r>
      <w:r>
        <w:t xml:space="preserve"> 11,08 USD (103,68 NOK) · rentabilidad -35,8 % (base -23,9 %) · señal Vender.</w:t>
      </w:r>
    </w:p>
    <w:p>
      <w:pPr>
        <w:spacing w:after="100"/>
      </w:pPr>
      <w:r>
        <w:t xml:space="preserve">Para comparar, con la regla v2 (historia al cierre, mismo precio): 3,6x / 4,6x / 6,0x, -64,0 % Vender; con el tope anterior del base (×1,3, 14-oct mediodía): -43,0 %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(1,60 USD) coincide con el consenso (1,63) y la guía [24]. En 2027e quedamos un 6 % por debajo (1,64 frente a 1,75) y en 2028e un 10 % por debajo (1,28 frente a 1,43): el consenso ya espera que el beneficio baje en 2028, pero menos que nosotros, porque supone menos amortización (13,5 %) y no recoge del todo la flota nueva. La diferencia grande no está en el BPA, está en el múltiplo: los analistas que suben objetivos (Nordea 200 NOK, Pareto 204) pagan 11-12 veces un beneficio de ciclo [29].</w:t>
      </w:r>
    </w:p>
    <w:p>
      <w:pPr>
        <w:keepNext/>
        <w:spacing w:after="100"/>
      </w:pPr>
      <w:r>
        <w:rPr>
          <w:b/>
          <w:bCs/>
        </w:rPr>
        <w:t xml:space="preserve">Del valor intrínseco al objetivo a 12 meses.</w:t>
      </w:r>
    </w:p>
    <w:p>
      <w:pPr>
        <w:spacing w:after="100"/>
      </w:pPr>
      <w:r>
        <w:t xml:space="preserve">El objetivo a 12 meses es de 11,08 USD (≈ 104 NOK, ponderado 30/50/20), un 35,8 % de pérdida con dividendo; el base (13,31 USD) da −23,9 %. Los dos están lejos del umbral de venta (−10 %) y la decisión no depende de la regla de múltiplos: con el PER actual sin rebaja (11,4 veces) y nuestro BPA de 2028e, el precio quedaría en 14,6 USD (−17 % con dividendo). El objetivo medio de los analistas (17,46 USD) está un 7 % bajo el precio [24]. El bajista (3,6 veces × 0,69) es duro porque aplica el PER mínimo de un pico a un BPA de valle; aun con el PER del base, el bajista daría −57 %.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guiado de 420-450 M; primeras tarifas de las renovaciones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suspensión de las tasas portuarias USTR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20-25 M de coste por trimestre antes de repercutirlo si vuelven el 10-nov</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dividendo del segundo semestre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2027 supera a 2026 y cuánto reparte tras la colocación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de la UE y EE. UU. a coches chinos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exportaciones chinas por mar: menos demanda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Entregas de los 14 Shaper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 de capacidad propia con barcos más eficientes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del bloqueo de seis meses de la colocación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Posibles ventas de los colocados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oferta: la flota mundial crece ≈ 30 % en 2025-2027 y las tarifas vuelven a niveles de antes de 2021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USD por acción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contratos de 6.500 M (2,9 años) y logística con 8 años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Fletamento a un año por debajo de 50.000 USD/día o flete neto por debajo de 55 USD/m³</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la acción cotiza a 11,4 veces nuestro BPA de 2027e frente a una mediana adelantada de 3,9 veces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si el PER vuelve a 8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del 5-7 %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a la baja del BPA de 2027-2028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Tasas portuarias USTR y aranceles de EE. UU. a coches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−0,5-1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Repercusión parcial a clientes; cambio de barcos en rutas a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prórroga de la suspensión el 9-nov-2026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Exportaciones de coches chinos: menos crecimiento (aranceles, fábricas fuera de China) o transportadas por navieras chinas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con fabricantes chinos (130 M en enero de 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Exportaciones chinas por debajo de 0,8 M al mes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flota en el pico: 1.400 M de Shaper más 4-12 LNG encargados con la cartera de pedidos mundial al 20 %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1,2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de las 8 opciones con tarifas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Combustible y Oriente Medio (Ormuz, Mar Rojo)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Cláusulas BAF con retraso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trimestral por debajo del 26 %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dos familias con el 73 % y una de ellas reduce exposición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Descuento de liquidez</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con presidente independiente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Wallenius Lines tras el bloqueo</w:t>
            </w:r>
          </w:p>
        </w:tc>
      </w:tr>
    </w:tbl>
    <w:p>
      <w:pPr>
        <w:spacing w:after="160" w:before="0"/>
      </w:pPr>
    </w:p>
    <w:p>
      <w:pPr>
        <w:pStyle w:val="Heading2"/>
      </w:pPr>
      <w:r>
        <w:t xml:space="preserve">Pre-mortem</w:t>
      </w:r>
    </w:p>
    <w:p>
      <w:pPr>
        <w:spacing w:after="100"/>
      </w:pPr>
      <w:r>
        <w:t xml:space="preserve">Octubre de 2027: la acción vale 9 USD (85 NOK). La flota nueva llegó a la vez que la UE subió aranceles a los coches chinos y EE. UU. volvió a cobrar las tasas USTR; los contratos de 2027 se renovaron por encima de 2026, pero los de 2028 ya se negocian un 20 % más baratos, y el mercado, que pagaba 11 veces un beneficio de pico, vuelve a pagar 5-6 veces un beneficio que baja. La empresa recorta el dividendo para pagar los Shaper y los LNG. No fue un mal año de gestión: fue el ciclo, que ya estaba en el precio de los barcos encargados.</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±2 % a 3-5 años</w:t>
      </w:r>
    </w:p>
    <w:p>
      <w:pPr>
        <w:spacing w:after="100"/>
      </w:pPr>
      <w:r>
        <w:t xml:space="preserve">La IA no sustituye lo que hace WAWI: mover coches y maquinaria en barcos y procesarlos en puertos con trabajo físico [1]. Puede ayudar algo en la planificación de flota y rutas, el consumo de combustible y la logística (la empresa tiene un programa de transformación digital con 9 M de coste en el 2T26) [2], y reducir costes de oficina. Efecto indirecto: si la IA cambia la demanda de coches (conducción autónoma, flotas compartidas) a largo plazo, cambia el volumen de coches transportados, pero eso está a más de 5 años y es incierto. Riesgo de IA poco directo.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descarbonización de la flota (EU ETS desde 2024, FuelEU Maritime desde 2025, marco de la OMI): los Shaper (metanol) y los nuevos LNG reducen emisiones, pero exigen inversión; y la seguridad de las tripulaciones (incendios de coches eléctricos, Ormuz) [1, 30].</w:t>
      </w:r>
    </w:p>
    <w:p>
      <w:pPr>
        <w:pStyle w:val="Heading2"/>
      </w:pPr>
      <w:r>
        <w:t xml:space="preserve">Controversias</w:t>
      </w:r>
    </w:p>
    <w:p>
      <w:pPr>
        <w:spacing w:after="100"/>
      </w:pPr>
      <w:r>
        <w:t xml:space="preserve">Un barco declarado pérdida total tras un incendio en 2025 [1]; tasas portuarias USTR a barcos de construcción china [11]. Sin litigios relevantes.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Renovaciones de 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tarifa media se han renovado los contratos del 40 % del volumen de 2027 frente a la tarifa media de la cartera (≈ 54 USD/m³)?</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2027 supera a 2026 (nuestro base: +3 % de ventas y 30,5 % de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Tasas USTR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flota es de construcción china y cuánto costarían las tasas al año si vuelven el 10-nov-2026, después de repercutirlas?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un riesgo con fecha.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Flota y opciones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tarifa de fletamento a largo plazo se justifican los 4 LNG y las 8 opciones, y qué barcos fletados se devuelven a cambio?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inversión de los próximos cinco años en un mercado con cartera de pedidos del 20 %.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EUKOR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pasa con el contrato de HMG (vence el 31-dic-2029) y con la opción de venta si HMG baja su volumen comprometido del 50 %?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HMG es el mayor cliente y la opción vale 386-897 M según cómo se mida.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Dividendos y colocación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pagar 258 M de dividendo en septiembre y pedir 300 M al mercado en octubre?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 y trato al flotante.</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Mixto · </w:t>
      </w:r>
      <w:r>
        <w:rPr>
          <w:b/>
          <w:bCs/>
        </w:rPr>
        <w:t xml:space="preserve">Tendencia:</w:t>
      </w:r>
      <w:r>
        <w:t xml:space="preserve"> Mejorando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Nordnet Social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Mixto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Comentan el objetivo de Nordea (200 NOK), la colocación («venta de un gran accionista»), comprar en caídas hacia 167 NOK y el riesgo de aranceles de la UE a coches chinos [34].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TradingView</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idea alcista técnica (ruptura de máximos) y tres comentarios breves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Simply Wall St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Valores razonables de la comunidad de 70 a 163 NOK, todos por debajo del precio actual, con el argumento del ciclo y la cartera de pedidos [36].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Exportaciones chinas y mercado tenso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apoyan a corto plazo (flota llena, +58 % en el 2T26), pero la cartera de pedidos es del 20 % de la flota y la mitad es china [34].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Colocación y familias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Wallenius Lines no acudió y WWH prestó acciones: se lee como señal de que el precio es bueno para vender capital [34].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(UE, EE. UU.) y tasas USTR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real y con fecha (9-nov-2026) [34].</w:t>
            </w:r>
          </w:p>
        </w:tc>
      </w:tr>
    </w:tbl>
    <w:p>
      <w:pPr>
        <w:spacing w:after="160" w:before="0"/>
      </w:pPr>
    </w:p>
    <w:p>
      <w:pPr>
        <w:spacing w:after="100"/>
      </w:pPr>
      <w:r>
        <w:t xml:space="preserve">Sentimiento mixto que mejora con el precio: los particulares noruegos siguen la acción por el dividendo y las exportaciones chinas, y los analistas suben objetivos (Nordea, Pareto) [34]. No hay euforia visible ni capitulación; el debate es pequeño. Opiniones, no datos: ninguna cifra sale de aquí.</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24 controles correctos y 3 explicados. Fuentes: 37 (27 primarias); citas distintas en el texto: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6,5 %: explica la causa (créditos fiscales, regularizaciones, mezcla de países) y no lo proyectes en el DCF. Explicación: Tipo efectivo del 3,7-6,5 % porque casi todo el transporte marítimo tributa por el régimen de tonelaje noruego (y regímenes parecidos en otros países): paga por tonelaje de la flota, no por beneficio [1]. No es un crédito fiscal ni una regularización: es estructural mientras la flota siga bajo ese régimen, y por eso el DCF usa un 5 %. El riesgo de que cambie (pilar 2 de la OCDE excluye el transporte marítimo internacional) es bajo.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6,4 %: explica la causa (créditos fiscales, regularizaciones, mezcla de países) y no lo proyectes en el DCF. Explicación: Tipo efectivo del 3,7-6,5 % porque casi todo el transporte marítimo tributa por el régimen de tonelaje noruego (y regímenes parecidos en otros países): paga por tonelaje de la flota, no por beneficio [1]. No es un crédito fiscal ni una regularización: es estructural mientras la flota siga bajo ese régimen, y por eso el DCF usa un 5 %. El riesgo de que cambie (pilar 2 de la OCDE excluye el transporte marítimo internacional) es bajo.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3,7 %: explica la causa (créditos fiscales, regularizaciones, mezcla de países) y no lo proyectes en el DCF. Explicación: Tipo efectivo del 3,7-6,5 % porque casi todo el transporte marítimo tributa por el régimen de tonelaje noruego (y regímenes parecidos en otros países): paga por tonelaje de la flota, no por beneficio [1]. No es un crédito fiscal ni una regularización: es estructural mientras la flota siga bajo ese régimen, y por eso el DCF usa un 5 %. El riesgo de que cambie (pilar 2 de la OCDE excluye el transporte marítimo internacional) es bajo.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«No»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-39,8 % frente a un ROIC de 18,9 %: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17,0 % en 2033e frente al 15,0 %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10,5 % frente a 10,7 % real: genera una variación de circulante de -3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 fuentes (27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 de deuda por año exactos a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10 del informe del 2T26 (solo movimientos); 2) nota de liquidez del informe anual 2025; 3) presentación del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a partir del perfil de 2025 y de las refinanciaciones del 2T26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en ingresos y cuotas por operador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flota y crecimiento); 2) presentación de mercado de sep-2026 (flota por operador sin ingresos); 3) búsqueda web (Clarksons y Veson,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mide en CEU de flota y la cuota es una estimación propia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 remuneración 2025 y votos de la junta de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(sección de gobierno); 2) comunicados de Oslo Børs de abr-2026; 3) búsqueda web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usan el informe de 2024 y los votos de 2025-2026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navieras ro-ro con EV/EBITDA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WAWI y Höegh; 2) búsqueda web de operaciones 2020-2026; 3) notas de prensa de Qube (MIRRAT, sin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cero en la valoración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de 2029e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(hasta 2028); 2) Yahoo (dos ejercicios); 3) informes de analistas noruegos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(cuentas consolidadas NIIF, notas de segmentos, arrendamientos, opción de venta de EUKOR, auditoría)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Wallenius Wilhelmsen ASA (Oslo Børs)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https://api3.oslo.oslobors.no/v1/newsreader/attachment?messageId=668797&amp;attachmentId=321619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Quarterly report Q2 2026 (cuenta, balance a 30-jun-2026, revaloración de la opción de EUKOR, deuda, inversión pendiente)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Wallenius Wilhelmsen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https://www.walleniuswilhelmsen.com/storage/images/Investor-relations/Wallenius-Wilhelmsen-Quarterly-report-Q2-2026.pdf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report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Wallenius Wilhelmsen ASA (Oslo Børs)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https://api3.oslo.oslobors.no/v1/newsreader/attachment?messageId=672451&amp;attachmentId=325017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report Q4 2025 (tasas portuarias USTR del 4T25,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Wallenius Wilhelmsen ASA (Oslo Børs)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https://api3.oslo.oslobors.no/v1/newsreader/attachment?messageId=665330&amp;attachmentId=318562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report Q3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Wallenius Wilhelmsen ASA (Oslo Børs)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https://api3.oslo.oslobors.no/v1/newsreader/attachment?messageId=658737&amp;attachmentId=313862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Wallenius Wilhelmsen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https://www.walleniuswilhelmsen.com/storage/images/Investor-relations/WAWI_2024-Annual-report.pdf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ESEF 2020-2024 de Wallenius Wilhelmsen (XBRL NIIF), herramienta cuentas.mjs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https://filings.xbrl.org/?entity=549300NBN0URT3RA3Y54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Contemplated private placement and trading update; private placement successfully completed (17,145 M de acciones a 168 NOK; 4 barcos LNG grandes y 8 opciones)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Wallenius Wilhelmsen ASA (Oslo Børs)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https://newsweb.oslobors.no/message/683662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Agreement around the put and call options related to HMG’s 20 % ownership in EUKOR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Wallenius Wilhelmsen ASA (Oslo Børs)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https://newsweb.oslobors.no/message/670006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2020 y Annual Report 2019 (ejercicios 2019-2020, historia del grupo)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Wallenius Wilhelmsen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https://www.walleniuswilhelmsen.com/storage/images/Investor-relations/Wallenius-Wilhelmsen-Annual-Report-2020.pdf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Financial Year Outlook (EBITDA ajustado 1.650-1.750 M USD) y US port fees impact 2025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Wallenius Wilhelmsen ASA (Oslo Børs)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https://newsweb.oslobors.no/message/661948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reports Q4 2022 y Q4 2024 (ejercicios 2021-2024, trimestres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Wallenius Wilhelmsen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https://www.walleniuswilhelmsen.com/storage/images/Investor-relations/Wallenius-Wilhelmsen-Q4-2024-report.pdf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Wallenius Wilhelmsen pays high dividends in a strong market (2T26: dividendo de 0,61 USD, 50 % del beneficio más 100 M extraordinarios)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Wallenius Wilhelmsen ASA (Oslo Børs)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https://newsweb.oslobors.no/message/679374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update presentation (flota de 5,2 M CEU, cartera de pedidos del 20,6 %, crecimiento de capacidad del 8,1 % en 2026 y 6,4 % en 2027, exportaciones chinas)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Wallenius Wilhelmsen ASA (Oslo Børs)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https://api3.oslo.oslobors.no/v1/newsreader/attachment?messageId=682966&amp;attachmentId=333777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port fees impact 2025 outlook (USTR sección 301: 46 USD por tonelada neta desde el 14-oct-2025)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Wallenius Wilhelmsen ASA (Oslo Børs)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https://newsweb.oslobors.no/message/657023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Contemplated private placement and trading update (mercado, fletamentos, flota)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Wallenius Wilhelmsen ASA (Oslo Børs)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https://api3.oslo.oslobors.no/v1/newsreader/attachment?messageId=683650&amp;attachmentId=334223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competidores cotizados (ventas, márgenes, capitalización)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https://finance.yahoo.com/quote/HAUTO.OL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Minutes of Annual General Meeting 2026 y resultado de votaciones (punto 6: directrices de remuneración 89,26 % a favor y 9,70 % en contra)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Wallenius Wilhelmsen ASA (Oslo Børs)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https://newsweb.oslobors.no/message/671881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2024 (consejero delegado: 1,489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Wallenius Wilhelmsen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https://newsweb.oslobors.no/message/643065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Guidelines for remuneration of leading persons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Wallenius Wilhelmsen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https://newsweb.oslobors.no/message/669927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Mandatory notifications of trade: WWH suscribe 2,85 M de acciones a 168 NOK (6-oct-2026); Groth y Hestvik compran (13-may-2025); transferencia del consejero delegado (19-sep-2025); LTI (18-may-2026)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Wallenius Wilhelmsen ASA (Oslo Børs)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https://newsweb.oslobors.no/message/683663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Contemplated private placement (Wallenius Lines no participa; WWH 37,9 %)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Wallenius Wilhelmsen ASA (Oslo Børs)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https://newsweb.oslobors.no/message/683650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WAWI.OL, OSEBX y SEA (precio, rango, rentabilidades, beta, cierres de ejercicio):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https://finance.yahoo.com/quote/WAWI.OL/history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Wallenius Wilhelmsen: consenso de analistas (5 analistas: ingresos, EBITDA, EBIT, BPA y dividendo 2026-2028; objetivo medio 17,46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https://www.marketscreener.com/quote/stock/WALLENIUS-WILHELMSEN-ASA-6340571/finances/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WAWI y comparables (BPA por ejercicio, recomendaciones, objetivos, capitalización, deuda, caja):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https://finance.yahoo.com/quote/WAWI.OL/analysis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5,12 % 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diarios USD/NOK (9,3573 NOK por USD el 21-oct-2026; cierres de cada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Norges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https://www.norges-bank.no/en/topics/Statistics/exchange_rates/?tab=currency&amp;id=USD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Cambios de objetivo y recomendación de los analistas noruegos (Nordea 200 NOK, Pareto 204, SB1 155, Fearnley 159, SEB 150, DNB Carnegie 150, Arctic 149)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Finansavisen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https://www.marketscreener.com/quote/stock/WALLENIUS-WILHELMSEN-ASA-6340571/consensus/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Comunicados de Oslo Børs de oct-2025 a oct-2026 (contratos, dividendos, EUKOR, Ormuz, colocación)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Wallenius Wilhelmsen ASA (Oslo Børs)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https://newsweb.oslobors.no/search?issuer=WAWI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report Q1 2026 (rebaja de la guía 2026 a ≈ 1.600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Wallenius Wilhelmsen ASA (Oslo Børs)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https://newsweb.oslobors.no/message/672451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report Q3 2025 (tasas USTR, suspensión de un año desde el 10-nov-2025)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Wallenius Wilhelmsen ASA (Oslo Børs)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https://newsweb.oslobors.no/message/658737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report Q4 2025 y comunicado (dividendo de 1,01 USD;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Wallenius Wilhelmsen ASA (Oslo Børs)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https://newsweb.oslobors.no/message/665330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Nordnet Social: mensajes sobre Wallenius Wilhelmsen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https://www.nordnet.no/aksjer/kurser/wallenius-wilhelmsen-wawi-xosl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TradingView: ideas y comentarios sobre OSL:WAWI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https://www.tradingview.com/symbols/OSL-WAWI/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valores razonables de la comunidad (70-163 NOK)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https://simplywall.st/stocks/no/transportation/ob-wawi/wallenius-wilhelmsen-shares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Modelo propio de ciclo ro-ro: margen de mitad de ciclo, inversión en flota y BPA normalizado (supuestos.mjs y propio.mjs del informe)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(informes/wallenius-2026-10-21/notas)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informes/wallenius-2026-10-21/notas/supuestos.mjs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91,0 %</w:t>
      </w:r>
      <w:r>
        <w:t xml:space="preserve"> · Secciones con menos del 60 % de campos cubiertos: </w:t>
      </w:r>
      <w:r>
        <w:rPr>
          <w:b/>
          <w:bCs/>
        </w:rPr>
        <w:t xml:space="preserve">ninguna</w:t>
      </w:r>
      <w:r>
        <w:t xml:space="preserve"> · Generado el 21 oct 2026.</w:t>
      </w:r>
    </w:p>
    <w:p>
      <w:pPr>
        <w:pStyle w:val="Nota"/>
        <w:spacing w:after="100"/>
      </w:pPr>
      <w:r>
        <w:t xml:space="preserve">Cifras en millones de USD, la divisa en la que publica Wallenius Wilhelmsen; la acción cotiza en NOK en Oslo y el precio (174,80 NOK, cierre del 21-oct-2026) se pasa a USD con el tipo de Norges Bank de ese día (9,3573 NOK por USD: 0,106868 USD por NOK) [28]. Los cierres de cada año, con el tipo de Norges Bank del último día hábil. 2020-2024 salen del ESEF de filings.xbrl.org [7], contrastado con los informes anuales; 2025 y el primer semestre de 2026, del informe anual 2025 y de los trimestrales (el ESEF de 2025 aún no estaba en filings.xbrl.org) [1, 2]. La cuenta es por naturaleza (sin coste de ventas ni gastos generales). La opción de venta de Hyundai Motor Group sobre el 20 % de EUKOR se trata como minoritarios (balance y puente). El consenso es de MarketScreener (5 analistas) y de Yahoo; los objetivos de las casas noruegas, de la prensa financiera. El sentimiento de particulares es escaso. El informe de remuneración de 2025 no se encontró: se usa el de 2024.</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Wallenius Wilhelmsen ASA (WAWI)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18,68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(8,03 – 19,88)</c:v>
                </c:pt>
                <c:pt idx="1">
                  <c:v>Precio objetivo de los analistas (12,54 – 21,97)</c:v>
                </c:pt>
                <c:pt idx="2">
                  <c:v>Comparables: PER NTM (16,14 – 21,67)</c:v>
                </c:pt>
                <c:pt idx="3">
                  <c:v>DCF (WACC y g ± 0,5) (8,38 – 11,59)</c:v>
                </c:pt>
                <c:pt idx="4">
                  <c:v>Escenarios (bajista – alcista) (1,04 – 18,59)</c:v>
                </c:pt>
                <c:pt idx="5">
                  <c:v>DCF con la prima implícita del mercado (4,2 %)</c:v>
                </c:pt>
                <c:pt idx="6">
                  <c:v>Precio actual (18,68)</c:v>
                </c:pt>
              </c:strCache>
            </c:strRef>
          </c:cat>
          <c:val>
            <c:numRef>
              <c:f>Hoja1!$B$2:$B$8</c:f>
              <c:numCache>
                <c:formatCode>#,##0.0</c:formatCode>
                <c:ptCount val="7"/>
                <c:pt idx="0">
                  <c:v>8.03</c:v>
                </c:pt>
                <c:pt idx="1">
                  <c:v>12.54</c:v>
                </c:pt>
                <c:pt idx="2">
                  <c:v>16.14</c:v>
                </c:pt>
                <c:pt idx="3">
                  <c:v>8.38</c:v>
                </c:pt>
                <c:pt idx="4">
                  <c:v>1.04</c:v>
                </c:pt>
                <c:pt idx="5">
                  <c:v>8.88</c:v>
                </c:pt>
                <c:pt idx="6">
                  <c:v>18.59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(8,03 – 19,88)</c:v>
                </c:pt>
                <c:pt idx="1">
                  <c:v>Precio objetivo de los analistas (12,54 – 21,97)</c:v>
                </c:pt>
                <c:pt idx="2">
                  <c:v>Comparables: PER NTM (16,14 – 21,67)</c:v>
                </c:pt>
                <c:pt idx="3">
                  <c:v>DCF (WACC y g ± 0,5) (8,38 – 11,59)</c:v>
                </c:pt>
                <c:pt idx="4">
                  <c:v>Escenarios (bajista – alcista) (1,04 – 18,59)</c:v>
                </c:pt>
                <c:pt idx="5">
                  <c:v>DCF con la prima implícita del mercado (4,2 %)</c:v>
                </c:pt>
                <c:pt idx="6">
                  <c:v>Precio actual (18,68)</c:v>
                </c:pt>
              </c:strCache>
            </c:strRef>
          </c:cat>
          <c:val>
            <c:numRef>
              <c:f>Hoja1!$C$2:$C$8</c:f>
              <c:numCache>
                <c:formatCode>#,##0.0</c:formatCode>
                <c:ptCount val="7"/>
                <c:pt idx="0">
                  <c:v>11.85</c:v>
                </c:pt>
                <c:pt idx="1">
                  <c:v>9.43</c:v>
                </c:pt>
                <c:pt idx="2">
                  <c:v>5.530000000000001</c:v>
                </c:pt>
                <c:pt idx="3">
                  <c:v>3.209999999999999</c:v>
                </c:pt>
                <c:pt idx="4">
                  <c:v>17.55</c:v>
                </c:pt>
                <c:pt idx="5">
                  <c:v>1.9299999999999997</c:v>
                </c:pt>
                <c:pt idx="6">
                  <c:v>0.17999999999999972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Shipping services (transporte marítimo ro-ro)</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3881</c:v>
                </c:pt>
                <c:pt idx="1">
                  <c:v>3937</c:v>
                </c:pt>
                <c:pt idx="2">
                  <c:v>3989</c:v>
                </c:pt>
              </c:numCache>
            </c:numRef>
          </c:val>
        </c:ser>
        <c:ser>
          <c:idx val="1"/>
          <c:order val="1"/>
          <c:tx>
            <c:strRef>
              <c:f>Hoja1!$C$1</c:f>
              <c:strCache>
                <c:ptCount val="1"/>
                <c:pt idx="0">
                  <c:v>Logistics services (logística en tierra)</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1148</c:v>
                </c:pt>
                <c:pt idx="1">
                  <c:v>1205</c:v>
                </c:pt>
                <c:pt idx="2">
                  <c:v>1087</c:v>
                </c:pt>
              </c:numCache>
            </c:numRef>
          </c:val>
        </c:ser>
        <c:ser>
          <c:idx val="2"/>
          <c:order val="2"/>
          <c:tx>
            <c:strRef>
              <c:f>Hoja1!$D$1</c:f>
              <c:strCache>
                <c:ptCount val="1"/>
                <c:pt idx="0">
                  <c:v>Government services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324</c:v>
                </c:pt>
                <c:pt idx="1">
                  <c:v>427</c:v>
                </c:pt>
                <c:pt idx="2">
                  <c:v>411</c:v>
                </c:pt>
              </c:numCache>
            </c:numRef>
          </c:val>
        </c:ser>
        <c:ser>
          <c:idx val="3"/>
          <c:order val="3"/>
          <c:tx>
            <c:strRef>
              <c:f>Hoja1!$E$1</c:f>
              <c:strCache>
                <c:ptCount val="1"/>
                <c:pt idx="0">
                  <c:v>Holding y eliminaciones</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-204</c:v>
                </c:pt>
                <c:pt idx="1">
                  <c:v>-260</c:v>
                </c:pt>
                <c:pt idx="2">
                  <c:v>-248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Shipping services (transporte marítimo ro-ro)</c:v>
                </c:pt>
                <c:pt idx="1">
                  <c:v>Logistics services (logística en tierra)</c:v>
                </c:pt>
                <c:pt idx="2">
                  <c:v>Government services</c:v>
                </c:pt>
                <c:pt idx="3">
                  <c:v>Holding y eliminaciones</c:v>
                </c:pt>
              </c:strCache>
            </c:strRef>
          </c:cat>
          <c:val>
            <c:numRef>
              <c:f>Hoja1!$B$2:$B$5</c:f>
              <c:numCache>
                <c:formatCode>General</c:formatCode>
                <c:ptCount val="4"/>
                <c:pt idx="0">
                  <c:v>76.1</c:v>
                </c:pt>
                <c:pt idx="1">
                  <c:v>20.7</c:v>
                </c:pt>
                <c:pt idx="2">
                  <c:v>7.8</c:v>
                </c:pt>
                <c:pt idx="3">
                  <c:v>-4.7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Américas</c:v>
                </c:pt>
                <c:pt idx="1">
                  <c:v>Europa</c:v>
                </c:pt>
                <c:pt idx="2">
                  <c:v>Asia</c:v>
                </c:pt>
                <c:pt idx="3">
                  <c:v>Oceanía</c:v>
                </c:pt>
                <c:pt idx="4">
                  <c:v>África</c:v>
                </c:pt>
              </c:strCache>
            </c:strRef>
          </c:cat>
          <c:val>
            <c:numRef>
              <c:f>Hoja1!$B$2:$B$6</c:f>
              <c:numCache>
                <c:formatCode>0"%"</c:formatCode>
                <c:ptCount val="5"/>
                <c:pt idx="0">
                  <c:v>44</c:v>
                </c:pt>
                <c:pt idx="1">
                  <c:v>33</c:v>
                </c:pt>
                <c:pt idx="2">
                  <c:v>16</c:v>
                </c:pt>
                <c:pt idx="3">
                  <c:v>6</c:v>
                </c:pt>
                <c:pt idx="4">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CEU de capacidad de la flota mundial de alta mar (presentación de mercado de la empresa con datos de Clarksons y Veson))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2023</c:v>
                </c:pt>
                <c:pt idx="1">
                  <c:v>2024</c:v>
                </c:pt>
                <c:pt idx="2">
                  <c:v>2025</c:v>
                </c:pt>
                <c:pt idx="3">
                  <c:v>2026e</c:v>
                </c:pt>
                <c:pt idx="4">
                  <c:v>2027e</c:v>
                </c:pt>
              </c:strCache>
            </c:strRef>
          </c:cat>
          <c:val>
            <c:numRef>
              <c:f>Hoja1!$B$2:$B$6</c:f>
              <c:numCache>
                <c:formatCode>#,##0</c:formatCode>
                <c:ptCount val="5"/>
                <c:pt idx="0">
                  <c:v>4.1</c:v>
                </c:pt>
                <c:pt idx="1">
                  <c:v>4.4</c:v>
                </c:pt>
                <c:pt idx="2">
                  <c:v>4.9</c:v>
                </c:pt>
                <c:pt idx="3">
                  <c:v>5.3</c:v>
                </c:pt>
                <c:pt idx="4">
                  <c:v>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4</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Wallenius Wilhelmsen</c:v>
                </c:pt>
                <c:pt idx="1">
                  <c:v>NYK Line (Nippon Yusen)</c:v>
                </c:pt>
                <c:pt idx="2">
                  <c:v>Mitsui O.S.K. Lines</c:v>
                </c:pt>
                <c:pt idx="3">
                  <c:v>K Line (Kawasaki Kisen)</c:v>
                </c:pt>
                <c:pt idx="4">
                  <c:v>Höegh Autoliners</c:v>
                </c:pt>
                <c:pt idx="5">
                  <c:v>Hyundai Glovis</c:v>
                </c:pt>
                <c:pt idx="6">
                  <c:v>Navieras chinas (BYD Shipping, SAIC Anji, COSCO, China Merchants)</c:v>
                </c:pt>
                <c:pt idx="7">
                  <c:v>Grimaldi (privada)</c:v>
                </c:pt>
              </c:strCache>
            </c:strRef>
          </c:cat>
          <c:val>
            <c:numRef>
              <c:f>Hoja1!$B$2:$B$9</c:f>
              <c:numCache>
                <c:formatCode>0.0"%"</c:formatCode>
                <c:ptCount val="8"/>
                <c:pt idx="0">
                  <c:v>22.1</c:v>
                </c:pt>
                <c:pt idx="1">
                  <c:v>7.9</c:v>
                </c:pt>
                <c:pt idx="2">
                  <c:v>5.3</c:v>
                </c:pt>
                <c:pt idx="3">
                  <c:v>6.8</c:v>
                </c:pt>
                <c:pt idx="4">
                  <c:v>23.9</c:v>
                </c:pt>
                <c:pt idx="5">
                  <c:v>5.7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2</c:v>
                </c:pt>
                <c:pt idx="2">
                  <c:v>1</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Hoja1!$B$2:$B$15</c:f>
              <c:numCache>
                <c:formatCode>#,##0</c:formatCode>
                <c:ptCount val="14"/>
                <c:pt idx="0">
                  <c:v>2958</c:v>
                </c:pt>
                <c:pt idx="1">
                  <c:v>3884</c:v>
                </c:pt>
                <c:pt idx="2">
                  <c:v>5045</c:v>
                </c:pt>
                <c:pt idx="3">
                  <c:v>5149</c:v>
                </c:pt>
                <c:pt idx="4">
                  <c:v>5308</c:v>
                </c:pt>
                <c:pt idx="5">
                  <c:v>5240</c:v>
                </c:pt>
                <c:pt idx="6">
                  <c:v>5298</c:v>
                </c:pt>
                <c:pt idx="7">
                  <c:v>5457</c:v>
                </c:pt>
                <c:pt idx="8">
                  <c:v>5402</c:v>
                </c:pt>
                <c:pt idx="9">
                  <c:v>5240</c:v>
                </c:pt>
                <c:pt idx="10">
                  <c:v>5240</c:v>
                </c:pt>
                <c:pt idx="11">
                  <c:v>5345</c:v>
                </c:pt>
                <c:pt idx="12">
                  <c:v>5478</c:v>
                </c:pt>
                <c:pt idx="13">
                  <c:v>5615</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Hoja1!$C$2:$C$15</c:f>
              <c:numCache>
                <c:formatCode>#,##0</c:formatCode>
                <c:ptCount val="14"/>
                <c:pt idx="0">
                  <c:v>473</c:v>
                </c:pt>
                <c:pt idx="1">
                  <c:v>830</c:v>
                </c:pt>
                <c:pt idx="2">
                  <c:v>1548</c:v>
                </c:pt>
                <c:pt idx="3">
                  <c:v>1807</c:v>
                </c:pt>
                <c:pt idx="4">
                  <c:v>1901</c:v>
                </c:pt>
                <c:pt idx="5">
                  <c:v>1811</c:v>
                </c:pt>
                <c:pt idx="6">
                  <c:v>1589</c:v>
                </c:pt>
                <c:pt idx="7">
                  <c:v>1664</c:v>
                </c:pt>
                <c:pt idx="8">
                  <c:v>1513</c:v>
                </c:pt>
                <c:pt idx="9">
                  <c:v>1362</c:v>
                </c:pt>
                <c:pt idx="10">
                  <c:v>1310</c:v>
                </c:pt>
                <c:pt idx="11">
                  <c:v>1336</c:v>
                </c:pt>
                <c:pt idx="12">
                  <c:v>1370</c:v>
                </c:pt>
                <c:pt idx="13">
                  <c:v>1404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16</c:v>
                </c:pt>
                <c:pt idx="1">
                  <c:v>21.4</c:v>
                </c:pt>
                <c:pt idx="2">
                  <c:v>30.7</c:v>
                </c:pt>
                <c:pt idx="3">
                  <c:v>35.1</c:v>
                </c:pt>
                <c:pt idx="4">
                  <c:v>35.8</c:v>
                </c:pt>
                <c:pt idx="5">
                  <c:v>34.6</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-2.3</c:v>
                </c:pt>
                <c:pt idx="1">
                  <c:v>7.3</c:v>
                </c:pt>
                <c:pt idx="2">
                  <c:v>19.4</c:v>
                </c:pt>
                <c:pt idx="3">
                  <c:v>23.8</c:v>
                </c:pt>
                <c:pt idx="4">
                  <c:v>24.9</c:v>
                </c:pt>
                <c:pt idx="5">
                  <c:v>22.1</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-9.7</c:v>
                </c:pt>
                <c:pt idx="1">
                  <c:v>3.4</c:v>
                </c:pt>
                <c:pt idx="2">
                  <c:v>13.5</c:v>
                </c:pt>
                <c:pt idx="3">
                  <c:v>16.6</c:v>
                </c:pt>
                <c:pt idx="4">
                  <c:v>18.3</c:v>
                </c:pt>
                <c:pt idx="5">
                  <c:v>19.4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4">
                  <c:v>-1.6</c:v>
                </c:pt>
                <c:pt idx="5">
                  <c:v>-6</c:v>
                </c:pt>
                <c:pt idx="6">
                  <c:v>-3.4</c:v>
                </c:pt>
                <c:pt idx="7">
                  <c:v>-3.3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45</c:v>
                </c:pt>
                <c:pt idx="1">
                  <c:v>43</c:v>
                </c:pt>
                <c:pt idx="2">
                  <c:v>44</c:v>
                </c:pt>
                <c:pt idx="3">
                  <c:v>44</c:v>
                </c:pt>
                <c:pt idx="4">
                  <c:v>45</c:v>
                </c:pt>
                <c:pt idx="5">
                  <c:v>39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c:v>
                </c:pt>
                <c:pt idx="1">
                  <c:v>18</c:v>
                </c:pt>
                <c:pt idx="2">
                  <c:v>15</c:v>
                </c:pt>
                <c:pt idx="3">
                  <c:v>15</c:v>
                </c:pt>
                <c:pt idx="4">
                  <c:v>15</c:v>
                </c:pt>
                <c:pt idx="5">
                  <c:v>15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21</c:v>
                </c:pt>
                <c:pt idx="1">
                  <c:v>18</c:v>
                </c:pt>
                <c:pt idx="2">
                  <c:v>12</c:v>
                </c:pt>
                <c:pt idx="3">
                  <c:v>11</c:v>
                </c:pt>
                <c:pt idx="4">
                  <c:v>15</c:v>
                </c:pt>
                <c:pt idx="5">
                  <c:v>15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133</c:v>
                </c:pt>
                <c:pt idx="1">
                  <c:v>113</c:v>
                </c:pt>
                <c:pt idx="2">
                  <c:v>644</c:v>
                </c:pt>
                <c:pt idx="3">
                  <c:v>1071</c:v>
                </c:pt>
                <c:pt idx="4">
                  <c:v>1053</c:v>
                </c:pt>
                <c:pt idx="5">
                  <c:v>975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-286</c:v>
                </c:pt>
                <c:pt idx="1">
                  <c:v>133</c:v>
                </c:pt>
                <c:pt idx="2">
                  <c:v>679</c:v>
                </c:pt>
                <c:pt idx="3">
                  <c:v>853</c:v>
                </c:pt>
                <c:pt idx="4">
                  <c:v>973</c:v>
                </c:pt>
                <c:pt idx="5">
                  <c:v>1017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-0.8</c:v>
                </c:pt>
                <c:pt idx="1">
                  <c:v>4.1</c:v>
                </c:pt>
                <c:pt idx="2">
                  <c:v>15</c:v>
                </c:pt>
                <c:pt idx="3">
                  <c:v>18.7</c:v>
                </c:pt>
                <c:pt idx="4">
                  <c:v>20.8</c:v>
                </c:pt>
                <c:pt idx="5">
                  <c:v>18.9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9.8</c:v>
                </c:pt>
                <c:pt idx="1">
                  <c:v>9.8</c:v>
                </c:pt>
                <c:pt idx="2">
                  <c:v>9.8</c:v>
                </c:pt>
                <c:pt idx="3">
                  <c:v>9.8</c:v>
                </c:pt>
                <c:pt idx="4">
                  <c:v>9.8</c:v>
                </c:pt>
                <c:pt idx="5">
                  <c:v>9.8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-12</c:v>
                </c:pt>
                <c:pt idx="1">
                  <c:v>5.4</c:v>
                </c:pt>
                <c:pt idx="2">
                  <c:v>25.3</c:v>
                </c:pt>
                <c:pt idx="3">
                  <c:v>29</c:v>
                </c:pt>
                <c:pt idx="4">
                  <c:v>30.6</c:v>
                </c:pt>
                <c:pt idx="5">
                  <c:v>30.8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7.25</c:v>
                </c:pt>
                <c:pt idx="1">
                  <c:v>4.12</c:v>
                </c:pt>
                <c:pt idx="2">
                  <c:v>1.85</c:v>
                </c:pt>
                <c:pt idx="3">
                  <c:v>1.11</c:v>
                </c:pt>
                <c:pt idx="4">
                  <c:v>0.92</c:v>
                </c:pt>
                <c:pt idx="5">
                  <c:v>0.96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 (2S)</c:v>
                </c:pt>
                <c:pt idx="1">
                  <c:v>2027</c:v>
                </c:pt>
                <c:pt idx="2">
                  <c:v>2028</c:v>
                </c:pt>
                <c:pt idx="3">
                  <c:v>2029</c:v>
                </c:pt>
                <c:pt idx="4">
                  <c:v>2030+</c:v>
                </c:pt>
              </c:strCache>
            </c:strRef>
          </c:cat>
          <c:val>
            <c:numRef>
              <c:f>Hoja1!$B$2:$B$6</c:f>
              <c:numCache>
                <c:formatCode>#,##0</c:formatCode>
                <c:ptCount val="5"/>
                <c:pt idx="0">
                  <c:v>130</c:v>
                </c:pt>
                <c:pt idx="1">
                  <c:v>250</c:v>
                </c:pt>
                <c:pt idx="2">
                  <c:v>230</c:v>
                </c:pt>
                <c:pt idx="3">
                  <c:v>260</c:v>
                </c:pt>
                <c:pt idx="4">
                  <c:v>277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0</c:v>
                </c:pt>
                <c:pt idx="2">
                  <c:v>11</c:v>
                </c:pt>
                <c:pt idx="3">
                  <c:v>13</c:v>
                </c:pt>
                <c:pt idx="4">
                  <c:v>0</c:v>
                </c:pt>
                <c:pt idx="5">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63</c:v>
                </c:pt>
                <c:pt idx="3">
                  <c:v>362</c:v>
                </c:pt>
                <c:pt idx="4">
                  <c:v>738</c:v>
                </c:pt>
                <c:pt idx="5">
                  <c:v>989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4</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Dominical</c:v>
                </c:pt>
                <c:pt idx="2">
                  <c:v>Otro</c:v>
                </c:pt>
              </c:strCache>
            </c:strRef>
          </c:cat>
          <c:val>
            <c:numRef>
              <c:f>Hoja1!$B$2:$B$4</c:f>
              <c:numCache>
                <c:formatCode>0</c:formatCode>
                <c:ptCount val="3"/>
                <c:pt idx="0">
                  <c:v>4</c:v>
                </c:pt>
                <c:pt idx="1">
                  <c:v>2</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Wilh. Wilhelmsen Holding ASA (familia Wilhelmsen)</c:v>
                </c:pt>
                <c:pt idx="1">
                  <c:v>Wallenius Lines AB (Rederi AB Soya, familia Wallenius-Soya)</c:v>
                </c:pt>
                <c:pt idx="2">
                  <c:v>Folketrygdfondet y otros fondos noruegos</c:v>
                </c:pt>
                <c:pt idx="3">
                  <c:v>Flotante</c:v>
                </c:pt>
              </c:strCache>
            </c:strRef>
          </c:cat>
          <c:val>
            <c:numRef>
              <c:f>Hoja1!$B$2:$B$5</c:f>
              <c:numCache>
                <c:formatCode>0.0"%"</c:formatCode>
                <c:ptCount val="4"/>
                <c:pt idx="0">
                  <c:v>37</c:v>
                </c:pt>
                <c:pt idx="1">
                  <c:v>36.3</c:v>
                </c:pt>
                <c:pt idx="3">
                  <c:v>26.7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84.2</c:v>
                </c:pt>
                <c:pt idx="1">
                  <c:v>75.3</c:v>
                </c:pt>
                <c:pt idx="2">
                  <c:v>-49.9</c:v>
                </c:pt>
                <c:pt idx="3">
                  <c:v>-23.4</c:v>
                </c:pt>
                <c:pt idx="4">
                  <c:v>6.3</c:v>
                </c:pt>
                <c:pt idx="5">
                  <c:v>118.1</c:v>
                </c:pt>
                <c:pt idx="6">
                  <c:v>95.9</c:v>
                </c:pt>
                <c:pt idx="7">
                  <c:v>-3.8</c:v>
                </c:pt>
                <c:pt idx="8">
                  <c:v>22.6</c:v>
                </c:pt>
                <c:pt idx="9">
                  <c:v>40.5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12.1</c:v>
                </c:pt>
                <c:pt idx="1">
                  <c:v>19.1</c:v>
                </c:pt>
                <c:pt idx="2">
                  <c:v>-1.8</c:v>
                </c:pt>
                <c:pt idx="3">
                  <c:v>16.5</c:v>
                </c:pt>
                <c:pt idx="4">
                  <c:v>4.6</c:v>
                </c:pt>
                <c:pt idx="5">
                  <c:v>23.4</c:v>
                </c:pt>
                <c:pt idx="6">
                  <c:v>-1</c:v>
                </c:pt>
                <c:pt idx="7">
                  <c:v>9.9</c:v>
                </c:pt>
                <c:pt idx="8">
                  <c:v>9.1</c:v>
                </c:pt>
                <c:pt idx="9">
                  <c:v>18.4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10.1</c:v>
                </c:pt>
                <c:pt idx="1">
                  <c:v>7.4</c:v>
                </c:pt>
                <c:pt idx="2">
                  <c:v>4.9</c:v>
                </c:pt>
                <c:pt idx="3">
                  <c:v>3.7</c:v>
                </c:pt>
                <c:pt idx="4">
                  <c:v>3.2</c:v>
                </c:pt>
                <c:pt idx="5">
                  <c:v>3.8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3.8</c:v>
                </c:pt>
                <c:pt idx="1">
                  <c:v>3.8</c:v>
                </c:pt>
                <c:pt idx="2">
                  <c:v>3.8</c:v>
                </c:pt>
                <c:pt idx="3">
                  <c:v>3.8</c:v>
                </c:pt>
                <c:pt idx="4">
                  <c:v>3.8</c:v>
                </c:pt>
                <c:pt idx="5">
                  <c:v>3.8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Wallenius Wilhelmsen</c:v>
                </c:pt>
                <c:pt idx="1">
                  <c:v>Höegh Autoliners</c:v>
                </c:pt>
                <c:pt idx="2">
                  <c:v>Hyundai Glovis</c:v>
                </c:pt>
                <c:pt idx="3">
                  <c:v>NYK Line</c:v>
                </c:pt>
                <c:pt idx="4">
                  <c:v>Mitsui O.S.K. Lines</c:v>
                </c:pt>
                <c:pt idx="5">
                  <c:v>K Line</c:v>
                </c:pt>
                <c:pt idx="6">
                  <c:v>A.P. Møller-Mærsk</c:v>
                </c:pt>
                <c:pt idx="7">
                  <c:v>COSCO Shipping Holdings</c:v>
                </c:pt>
              </c:strCache>
            </c:strRef>
          </c:cat>
          <c:val>
            <c:numRef>
              <c:f>Hoja1!$B$2:$B$9</c:f>
              <c:numCache>
                <c:formatCode>0.0"x"</c:formatCode>
                <c:ptCount val="8"/>
                <c:pt idx="0">
                  <c:v>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540</c:v>
                </c:pt>
                <c:pt idx="1">
                  <c:v>454</c:v>
                </c:pt>
                <c:pt idx="2">
                  <c:v>508</c:v>
                </c:pt>
                <c:pt idx="3">
                  <c:v>536</c:v>
                </c:pt>
                <c:pt idx="4">
                  <c:v>521</c:v>
                </c:pt>
                <c:pt idx="5">
                  <c:v>546</c:v>
                </c:pt>
                <c:pt idx="6">
                  <c:v>584</c:v>
                </c:pt>
                <c:pt idx="7">
                  <c:v>598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2757</c:v>
                </c:pt>
                <c:pt idx="1">
                  <c:v>3951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18,68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1.04</c:v>
                </c:pt>
                <c:pt idx="1">
                  <c:v>9.79</c:v>
                </c:pt>
                <c:pt idx="2">
                  <c:v>18.59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18,68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(8,03 – 19,88)</c:v>
                </c:pt>
                <c:pt idx="1">
                  <c:v>Precio objetivo de los analistas (12,54 – 21,97)</c:v>
                </c:pt>
                <c:pt idx="2">
                  <c:v>Comparables: PER NTM (16,14 – 21,67)</c:v>
                </c:pt>
                <c:pt idx="3">
                  <c:v>DCF (WACC y g ± 0,5) (8,38 – 11,59)</c:v>
                </c:pt>
                <c:pt idx="4">
                  <c:v>Escenarios (bajista – alcista) (1,04 – 18,59)</c:v>
                </c:pt>
                <c:pt idx="5">
                  <c:v>DCF con la prima implícita del mercado (4,2 %)</c:v>
                </c:pt>
                <c:pt idx="6">
                  <c:v>Precio actual (18,68)</c:v>
                </c:pt>
              </c:strCache>
            </c:strRef>
          </c:cat>
          <c:val>
            <c:numRef>
              <c:f>Hoja1!$B$2:$B$8</c:f>
              <c:numCache>
                <c:formatCode>#,##0.0</c:formatCode>
                <c:ptCount val="7"/>
                <c:pt idx="0">
                  <c:v>8.03</c:v>
                </c:pt>
                <c:pt idx="1">
                  <c:v>12.54</c:v>
                </c:pt>
                <c:pt idx="2">
                  <c:v>16.14</c:v>
                </c:pt>
                <c:pt idx="3">
                  <c:v>8.38</c:v>
                </c:pt>
                <c:pt idx="4">
                  <c:v>1.04</c:v>
                </c:pt>
                <c:pt idx="5">
                  <c:v>8.88</c:v>
                </c:pt>
                <c:pt idx="6">
                  <c:v>18.59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(8,03 – 19,88)</c:v>
                </c:pt>
                <c:pt idx="1">
                  <c:v>Precio objetivo de los analistas (12,54 – 21,97)</c:v>
                </c:pt>
                <c:pt idx="2">
                  <c:v>Comparables: PER NTM (16,14 – 21,67)</c:v>
                </c:pt>
                <c:pt idx="3">
                  <c:v>DCF (WACC y g ± 0,5) (8,38 – 11,59)</c:v>
                </c:pt>
                <c:pt idx="4">
                  <c:v>Escenarios (bajista – alcista) (1,04 – 18,59)</c:v>
                </c:pt>
                <c:pt idx="5">
                  <c:v>DCF con la prima implícita del mercado (4,2 %)</c:v>
                </c:pt>
                <c:pt idx="6">
                  <c:v>Precio actual (18,68)</c:v>
                </c:pt>
              </c:strCache>
            </c:strRef>
          </c:cat>
          <c:val>
            <c:numRef>
              <c:f>Hoja1!$C$2:$C$8</c:f>
              <c:numCache>
                <c:formatCode>#,##0.0</c:formatCode>
                <c:ptCount val="7"/>
                <c:pt idx="0">
                  <c:v>11.85</c:v>
                </c:pt>
                <c:pt idx="1">
                  <c:v>9.43</c:v>
                </c:pt>
                <c:pt idx="2">
                  <c:v>5.530000000000001</c:v>
                </c:pt>
                <c:pt idx="3">
                  <c:v>3.209999999999999</c:v>
                </c:pt>
                <c:pt idx="4">
                  <c:v>17.55</c:v>
                </c:pt>
                <c:pt idx="5">
                  <c:v>1.9299999999999997</c:v>
                </c:pt>
                <c:pt idx="6">
                  <c:v>0.17999999999999972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