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 O. Smith Corporation</w:t>
      </w:r>
    </w:p>
    <w:p>
      <w:pPr>
        <w:spacing w:after="60"/>
        <w:rPr>
          <w:color w:val="52514E"/>
          <w:sz w:val="22"/>
          <w:szCs w:val="22"/>
        </w:rPr>
      </w:pPr>
      <w:r>
        <w:rPr>
          <w:color w:val="52514E"/>
          <w:sz w:val="22"/>
          <w:szCs w:val="22"/>
        </w:rPr>
        <w:t xml:space="preserve">AOS · New York Stock Exchange (NYSE) · ISIN US8318652091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30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63,49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73,40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+17,9 % (base +19,8 %)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58,07 USD · mercado 66,03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8.575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O. Smith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AOS / US8318652091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Productos de construcción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Milwaukee, Wisconsin (EE. UU.) · 1874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www.aosmith.com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63,49 (29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54,16 – 81,87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8.575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8.575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1,51 M acciones y 90 M USD/día (3 meses)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73,40 USD</w:t>
      </w:r>
      <w:r>
        <w:t xml:space="preserve"> frente a 63,49 · Rentabilidad a 12 meses </w:t>
      </w:r>
      <w:r>
        <w:rPr>
          <w:b/>
          <w:bCs/>
        </w:rPr>
        <w:t xml:space="preserve">+17,9 % (base +19,8 %)</w:t>
      </w:r>
      <w:r>
        <w:t xml:space="preserve"> · Valor intrínseco 58,07 USD · con la prima implícita del mercado: 66,03 (+4,0 %) · Alcista / bajista +0,5 % / -30,5 %</w:t>
      </w:r>
    </w:p>
    <w:p>
      <w:pPr>
        <w:spacing w:after="100"/>
      </w:pPr>
      <w:r>
        <w:rPr>
          <w:b/>
        </w:rPr>
        <w:t xml:space="preserve">La recomendación y por qué.</w:t>
      </w:r>
      <w:r>
        <w:t xml:space="preserve"> Mantener, con convicción baja (con nuestro WACC la regla del valor intrínseco da Vender y con la prima del mercado, Mantener). El objetivo a 12 meses da un +17,9 % ponderado y un +19,8 % en el caso base sobre el cierre del 29-oct (63,49 USD), y la v2 un +17,3 %; pero el valor intrínseco (58,07 USD) queda un 8,5 % por debajo del precio, así que no es compra. La calidad es completa (ROIC del 30,7 % frente a un WACC del 10,2 %; crecimiento sostenible). Las pruebas de robustez dan una señal sólida: la venta de China no cambia la decisión, pero sí la empresa. La convicción es baja porque la diferencia está en la tasa de descuento: con nuestro WACC (10,2 %) la regla del valor intrínseco da Vender y con la prima que pide hoy el mercado, Mantener; la subiría una guía de 2027 sin China cerca de 3,90 USD y la bajaría un margen de Norteamérica por debajo del 22 %.</w:t>
      </w:r>
    </w:p>
    <w:p>
      <w:pPr>
        <w:spacing w:after="100"/>
      </w:pPr>
      <w:r>
        <w:rPr>
          <w:b/>
        </w:rPr>
        <w:t xml:space="preserve">Qué ha pasado.</w:t>
      </w:r>
      <w:r>
        <w:t xml:space="preserve"> El 27-oct anunció la venta del 81 % de su negocio en China a CPE, valorado en unos 400 M USD sin caja ni deuda más unos 100 M de regalías de marca; se queda el 19 %, repatria unos 80 M de caja y dedicará el dinero, unos 350 M netos, a recompras. El cierre se espera en el 1S27 [A, C]. China caía (ventas −17 % en moneda local en el 3T26) [A]. El 29-oct publicó el 3T26: ventas de 940,5 M (planas) y BPA de 0,93 USD, por encima de lo esperado; Norteamérica creció un 3 % con un margen del 23,6 % [A]. La guía de 2026, ya sin China, es de 3.270-3.290 M de ventas (+4 %) y 3,42-3,52 USD de BPA ajustado [A, C]. La acción sube un 12,6 % en un mes [D].</w:t>
      </w:r>
    </w:p>
    <w:p>
      <w:pPr>
        <w:spacing w:after="100"/>
      </w:pPr>
      <w:r>
        <w:rPr>
          <w:b/>
        </w:rPr>
        <w:t xml:space="preserve">El negocio.</w:t>
      </w:r>
      <w:r>
        <w:t xml:space="preserve"> Sin China, el 94 % de las ventas es Norteamérica: calentadores de agua residenciales y comerciales (sobre todo reposición), calderas y tratamiento de agua, con un margen EBIT del 21 % [A, B]. La familia controla el consejo con la clase A [C].</w:t>
      </w:r>
    </w:p>
    <w:p>
      <w:pPr>
        <w:spacing w:after="100"/>
      </w:pPr>
      <w:r>
        <w:rPr>
          <w:b/>
        </w:rPr>
        <w:t xml:space="preserve">Valoración.</w:t>
      </w:r>
      <w:r>
        <w:t xml:space="preserve"> DCF de 56,07 USD (WACC del 10,19 %), con China a precio de la operación; escenarios de 44,10 a 63,78 USD. Cotiza a 16,4 veces el BPA de 2027e sin China, por debajo de su mediana adelantada de 5 años (18,0) y por encima de los comparables (16,0) [D].</w:t>
      </w:r>
    </w:p>
    <w:p>
      <w:pPr>
        <w:spacing w:after="100"/>
      </w:pPr>
      <w:r>
        <w:rPr>
          <w:b/>
        </w:rPr>
        <w:t xml:space="preserve">Qué cambiaría la decisión.</w:t>
      </w:r>
      <w:r>
        <w:t xml:space="preserve"> Por debajo de 58,07 USD el valor intrínseco supera al precio y sería compra robusta (aguanta la v2 y un BPA un 10 % peor). Para quien la tiene, venta por encima de 68,05 USD (filtro de mantener); la banda Vender de la regla empieza en 83,16. La señal de alarma: el margen de Norteamérica por debajo del 22 %.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73,40 USD</w:t>
      </w:r>
      <w:r>
        <w:t xml:space="preserve"> (rentabilidad +17,9 % (base +19,8 %)) · Valor intrínseco: 58,07 USD (-8,5 % sobre 63,49) · con la prima implícita del mercado: 66,03 (+4,0 %)</w:t>
      </w:r>
    </w:p>
    <w:p>
      <w:pPr>
        <w:spacing w:after="100"/>
      </w:pPr>
      <w:r>
        <w:t xml:space="preserve">Sin China, A. O. Smith es un negocio norteamericano de reposición de calentadores y calderas, muy rentable y con poca deuda, que dedicará lo que cobre a recomprar acciones. Al precio de hoy el mercado ya paga un crecimiento por encima del que vemos: buena empresa, sin margen de seguridad.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 × 3,57 = 48,91 · 17,2x × 4,34 = 74,65 · 20,0x × 4,77 = 95,40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 / 19,8 %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66,20 (nuestro base +12,8 %)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 / -30,5 %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 frente a 10,2 % y 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 frente a 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58,07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58,07 y 83,16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83,16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Por debajo de 58,07 USD sería compra robusta (nivel A): el valor intrínseco supera al precio y la rentabilidad aguanta la v2 y un BPA un 10 % peor.</w:t>
      </w:r>
    </w:p>
    <w:p>
      <w:pPr>
        <w:pStyle w:val="ListParagraph"/>
        <w:numPr>
          <w:ilvl w:val="0"/>
          <w:numId w:val="2"/>
        </w:numPr>
        <w:spacing w:after="60"/>
      </w:pPr>
      <w:r>
        <w:t xml:space="preserve">Para quien la tiene, venta por encima de 68,05 USD (filtro de mantener); la banda Vender de la regla (ponderada ≤ −10 %) empieza en 83,16.</w:t>
      </w:r>
    </w:p>
    <w:p>
      <w:pPr>
        <w:pStyle w:val="ListParagraph"/>
        <w:numPr>
          <w:ilvl w:val="0"/>
          <w:numId w:val="2"/>
        </w:numPr>
        <w:spacing w:after="60"/>
      </w:pPr>
      <w:r>
        <w:t xml:space="preserve">Un margen de Norteamérica por debajo del 22 % dos trimestres llevaría el caso base hacia el bajista.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7,0 % anual hasta 2032 con nuestro WACC (DCF inverso), casi el doble del 3,8 % de nuestro caso base [D].</w:t>
      </w:r>
    </w:p>
    <w:p>
      <w:pPr>
        <w:keepNext/>
        <w:spacing w:after="100"/>
      </w:pPr>
      <w:r>
        <w:rPr>
          <w:b/>
          <w:bCs/>
        </w:rPr>
        <w:t xml:space="preserve">Lo que creemos nosotros.</w:t>
      </w:r>
    </w:p>
    <w:p>
      <w:pPr>
        <w:spacing w:after="100"/>
      </w:pPr>
      <w:r>
        <w:t xml:space="preserve">BPA de 2028e sin China de 4,34 USD, con un 4 % de crecimiento de ventas y recompras.</w:t>
      </w:r>
    </w:p>
    <w:p>
      <w:pPr>
        <w:keepNext/>
        <w:spacing w:after="100"/>
      </w:pPr>
      <w:r>
        <w:rPr>
          <w:b/>
          <w:bCs/>
        </w:rPr>
        <w:t xml:space="preserve">Por qué podemos tener razón.</w:t>
      </w:r>
    </w:p>
    <w:p>
      <w:pPr>
        <w:spacing w:after="100"/>
      </w:pPr>
      <w:r>
        <w:t xml:space="preserve">La salida de China sube el margen y el crecimiento de la empresa que queda, pero no cambia el ciclo de la vivienda en EE. UU., que es lo que mueve el beneficio [A, B].</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63,4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ROIC del 30,7 %</w:t>
      </w:r>
      <w:r>
        <w:t xml:space="preserve"> y deuda de 0,6 veces el EBITDA [A].</w:t>
      </w:r>
    </w:p>
    <w:p>
      <w:pPr>
        <w:pStyle w:val="ListParagraph"/>
        <w:numPr>
          <w:ilvl w:val="0"/>
          <w:numId w:val="2"/>
        </w:numPr>
        <w:spacing w:after="60"/>
      </w:pPr>
      <w:r>
        <w:rPr>
          <w:b/>
        </w:rPr>
        <w:t xml:space="preserve">Salida de China</w:t>
      </w:r>
      <w:r>
        <w:t xml:space="preserve"> con dinero para recompras (≈4 % del capital) [A].</w:t>
      </w:r>
    </w:p>
    <w:p>
      <w:pPr>
        <w:pStyle w:val="ListParagraph"/>
        <w:numPr>
          <w:ilvl w:val="0"/>
          <w:numId w:val="2"/>
        </w:numPr>
        <w:spacing w:after="60"/>
      </w:pPr>
      <w:r>
        <w:rPr>
          <w:b/>
        </w:rPr>
        <w:t xml:space="preserve">Margen de Norteamérica del 23,6 %</w:t>
      </w:r>
      <w:r>
        <w:t xml:space="preserve"> y subidas de precio en diciembre [A, B].</w:t>
      </w:r>
    </w:p>
    <w:p>
      <w:pPr>
        <w:pStyle w:val="ListParagraph"/>
        <w:numPr>
          <w:ilvl w:val="0"/>
          <w:numId w:val="2"/>
        </w:numPr>
        <w:spacing w:after="60"/>
      </w:pPr>
      <w:r>
        <w:rPr>
          <w:b/>
        </w:rPr>
        <w:t xml:space="preserve">Calidad ampliada</w:t>
      </w:r>
      <w:r>
        <w:t xml:space="preserve">: pasa las 10 pruebas informativas.</w:t>
      </w:r>
    </w:p>
    <w:p>
      <w:pPr>
        <w:pStyle w:val="Heading2"/>
      </w:pPr>
      <w:r>
        <w:t xml:space="preserve">En contra</w:t>
      </w:r>
    </w:p>
    <w:p>
      <w:pPr>
        <w:pStyle w:val="ListParagraph"/>
        <w:numPr>
          <w:ilvl w:val="0"/>
          <w:numId w:val="2"/>
        </w:numPr>
        <w:spacing w:after="60"/>
      </w:pPr>
      <w:r>
        <w:rPr>
          <w:b/>
        </w:rPr>
        <w:t xml:space="preserve">Valor intrínseco por debajo del precio</w:t>
      </w:r>
      <w:r>
        <w:t xml:space="preserve"> (58,07 frente a 63,49).</w:t>
      </w:r>
    </w:p>
    <w:p>
      <w:pPr>
        <w:pStyle w:val="ListParagraph"/>
        <w:numPr>
          <w:ilvl w:val="0"/>
          <w:numId w:val="2"/>
        </w:numPr>
        <w:spacing w:after="60"/>
      </w:pPr>
      <w:r>
        <w:rPr>
          <w:b/>
        </w:rPr>
        <w:t xml:space="preserve">Vivienda en EE. UU. a la baja</w:t>
      </w:r>
      <w:r>
        <w:t xml:space="preserve"> y acero y fletes al alza [B].</w:t>
      </w:r>
    </w:p>
    <w:p>
      <w:pPr>
        <w:pStyle w:val="ListParagraph"/>
        <w:numPr>
          <w:ilvl w:val="0"/>
          <w:numId w:val="2"/>
        </w:numPr>
        <w:spacing w:after="60"/>
      </w:pPr>
      <w:r>
        <w:rPr>
          <w:b/>
        </w:rPr>
        <w:t xml:space="preserve">Guía de 2026 recortada tres veces</w:t>
      </w:r>
      <w:r>
        <w:t xml:space="preserve"> antes de quitar China [C].</w:t>
      </w:r>
    </w:p>
    <w:p>
      <w:pPr>
        <w:pStyle w:val="ListParagraph"/>
        <w:numPr>
          <w:ilvl w:val="0"/>
          <w:numId w:val="2"/>
        </w:numPr>
        <w:spacing w:after="60"/>
      </w:pPr>
      <w:r>
        <w:rPr>
          <w:b/>
        </w:rPr>
        <w:t xml:space="preserve">Control familiar</w:t>
      </w:r>
      <w:r>
        <w:t xml:space="preserve"> con la clase A [C].</w:t>
      </w:r>
    </w:p>
    <w:p>
      <w:pPr>
        <w:pStyle w:val="Heading2"/>
      </w:pPr>
      <w:r>
        <w:t xml:space="preserve">Qué tiene que pasar para que la tesis funcione</w:t>
      </w:r>
    </w:p>
    <w:p>
      <w:pPr>
        <w:spacing w:after="100"/>
      </w:pPr>
      <w:r>
        <w:t xml:space="preserve">El margen de Norteamérica, los envíos de la AHRI, el cierre de la venta de China y la guía de 2027 sin China (finales de enero de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del segmento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 sin China.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ciclo de reposición.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Guía de BPA ajustado sin China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3,42-3,52 USD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3,70 USD para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Camino hacia los 4,34 de 2028e.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10,9x / 10,2x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17,7x / 16,0x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 · 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Charles J. Smith abrió en 1874 un taller mecánico en Milwaukee que creció haciendo piezas de bicicleta y, desde 1899, bastidores de automóvil de acero prensado: hacia 1910 era el mayor fabricante de bastidores de Norteamérica [38]. En 1936 patentó el revestimiento de vidrio del tanque de acero, base del calentador de agua moderno [38]. La empresa diversificó en motores eléctricos, tuberías y silos, y entre 1997 y 2011 se deshizo de todo eso para quedarse con el agua [38]. Las compras de State Industries (2001), American Water Heater (2006) y Lochinvar (2011) la hicieron líder en Norteamérica; China (desde 1995) e India (2008) le dieron crecimiento, y desde 2016 compra empresas de tratamiento de agua [1, 38]. En octubre de 2026 cerró el ciclo chino: vende el 81 % de ese negocio a CPE y vuelve a ser una empresa norteamericana, con el 94 % de las ventas en la región [17, 34]. La familia Smith mantiene el control con el 67,8 % del voto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1874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Charles J. Smith funda un taller mecánico en Milwaukee (Wisconsin) [38].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1936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Patenta el revestimiento de vidrio del tanque de acero; empieza a fabricar calentadores residenciales tres años después [38].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China con tres sociedades conjuntas; en 1998 compra la parte del socio en calentadores y abre fábrica en Nanjing [38].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de la automoción, su negocio original, tras 98 años: vende los bastidores a Tower Automotive [38].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State Industries y casi duplica su negocio de calentadores, con entrada en el canal minorista [38].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GSW (Canadá) y American Water Heater, la mayor adquisición de su historia hasta entonces, y se convierte en líder de Norteamérica [38].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Empieza a vender en India; fabrica allí calentadores desde 2010 y purificadores desde 2015 [1, 38].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los motores eléctricos a Regal Beloit y compra Lochinvar, fabricante de calderas de condensación de alta eficiencia [38].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el tratamiento de agua de Norteamérica con Aquasana, seguida de Hague (2017), Water-Right (2019), Master Water (2021), Atlantic Filter (2022) y Water Tec (2023) [38].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Pureit a Unilever, purificadores en India y el sur de Asia, que aportó 54 M USD de ventas adicionales en 2025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enero compra Leonard Valve (válvulas de control de temperatura y caudal del agua) por 469,5 M USD, con un préstamo bancario a tres años, y entra en la gestión del agua en edificios comerciales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27 de octubre, tras la evaluación estratégica abierta en julio de 2025, acuerda vender el 81 % del negocio de China a la gestora CPE, que lo valora en ≈ 400 M USD sin caja ni deuda; conserva el 19 % y cobra regalías por la marca. Cierre previsto en el primer semestre de 2027 [17, 34].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 O. Smith fabrica calentadores de agua, calderas y equipos de tratamiento de agua. En 2025 vendió 3.830 M USD: en Norteamérica, calentadores residenciales y comerciales de gas, eléctricos, de bomba de calor e instantáneos (2.460 M), calderas Lochinvar (281 M) y tratamiento de agua (243 M); fuera, China (690 M; calentadores, purificadores de ósmosis inversa y cocina en ≈ 8.700 puntos de venta) e India y Europa (191 M) [1]. </w:t>
      </w:r>
      <w:r>
        <w:rPr>
          <w:b/>
        </w:rPr>
        <w:t xml:space="preserve">Sin China</w:t>
      </w:r>
      <w:r>
        <w:t xml:space="preserve">, que está en venta, la empresa facturó 3.155 M USD en 2025: Norteamérica el 94 %, India el 4 % y Europa el 2 % [19, 34]. Vende a través de unos 800 mayoristas de fontanería con las marcas A. O. Smith y State, del canal minorista (exclusiva en Lowe's) y, en calderas, de representantes [1]. Tiene 23 fábricas en Norteamérica (13 estados, Canadá y México) y 11.500 empleados, 4.200 de ellos en China [1]. Leonard Valve, comprada en enero de 2026, venderá ≈ 55 M USD este año (la empresa esperaba 70 M) [21].</w:t>
      </w:r>
    </w:p>
    <w:p>
      <w:pPr>
        <w:pStyle w:val="Heading2"/>
      </w:pPr>
      <w:r>
        <w:t xml:space="preserve">Cómo gana dinero</w:t>
      </w:r>
    </w:p>
    <w:p>
      <w:pPr>
        <w:spacing w:after="100"/>
      </w:pPr>
      <w:r>
        <w:t xml:space="preserve">La mayor parte de la demanda es reposición de equipos averiados, el 80-85 % de las ventas según la dirección [21], lo que da un volumen estable (9,2-9,8 millones de calentadores residenciales al año en EE. UU. desde 2020 [23, 25]) y poco ligado a la obra nueva. Es un negocio de ciclo corto, sin cartera de pedidos [1]. El margen depende del precio frente al acero y los fletes: en 2026 ambos suben más de un 10 % (≈ 15 % cada uno, según la dirección) y le restaron 18 M USD al resultado de Norteamérica en el 3T26 [21]; AOS respondió con una subida del 4-7 % al final del 2T26 y otra de hasta el 9,5 % desde diciembre de 2026 [20]. El margen del segmento Norteamérica fue del 24,4 % en 2025 y del 23,6 % en el 3T26 (23,8 % ajustado en nueve meses) [1, 19, 20]; el de Resto del Mundo, del 5,6 % en nueve meses por China [20]. Sin China, el margen EBIT de 2025 habría sido del 21 % en vez del 19 % [34].</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North America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 of World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North America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 of World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Alta concentración: los cinco primeros clientes fueron el 41 % de las ventas de 2025 y los dos mayores de Norteamérica compraron 599,7 M USD (16 %) y 467,8 M USD (12 %) [1]; sin China, su peso sube a ≈ 19 % y ≈ 15 % de unas ventas de 3.155 M (cálculo propio con [1, 34]). Son grandes mayoristas de fontanería y cadenas minoristas, sin contratos largos publicados; parte acepta precios ligados al acero [1]. El poder de precio está demostrado: en 2025 las ventas de calentadores de Norteamérica subieron por precio con menos unidades residenciales y el margen del segmento pasó del 24,0 % al 24,4 % [1]; en 2026 la empresa encadena dos subidas y dice que los competidores han anunciado otras parecidas en las mismas fechas [21]. El coste fue cuota: rindió por debajo del mercado en el primer semestre de 2025 al limitar las compras anticipadas [22]; en el 3T26 dice haberla mantenido [21].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calentadores de agua en Norteamérica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frente a 2024: el precio compensó menos volumen residencial mayorista. La empresa dice que la gran mayoría de su mercado es reposición, sin dar el porcentaje en el 10-K; la reposición de calentadores residenciales del sector quedó plana en 2025 [1,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calderas en Norteamérica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En los 9M26, 286,1 M con Leonard Valve (239,5 M sin ella, +12 %); crecieron un 13 % en el 3T26 y la empresa espera +10-12 % en 2026 (antes, +6-8 %) [1, 20,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tratamiento de agua en Norteamérica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Negocio armado con siete compras desde 2016; reestructurado en 2024 (6,3 M) y otra vez en 2026 (22,6 M, con cierre de la planta de Groveport en octubre); 185,2 M en los 9M26 (+1 %) y +3-4 % previsto en 2026 [1, 20,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terceros en China en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 (2024: −5,2 % en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en el 3T26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China en USD: 1.070,4 M en 2018, 835,1 M en 2023, 791,9 M en 2024, 689,5 M en 2025 y 454,6 M en los 9M26 (−14 %) [1, 5, 20]. En moneda local: −4 % en el 1T25, −12 % en el 3T25 [11, 13], −17 % en el 1T26 [15], −28 % en el 2T26 y −17 % en el 3T26 [16, 19]. Sin desglose de resultado por año: la empresa solo publica que China aportó unos 60,4 M de beneficio neto y 0,43 USD por acción en 2025, y 0,20 USD en los 9M26 [19]. La revisión de alternativas abierta en julio de 2025 terminó con la venta del 81 % a CPE [12,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orgánicas de India en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Pureit, comprada en el 4T24, aportó 54 M de ventas en 2025; el crecimiento orgánico de India fue del 13 % en el 3T25 y del 18 % en el 4T25 [9, 13,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Aportación de Leonard Valve a las ventas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esperaba unos 70 M en 2026 y ahora unos 55 M; 15,2 M de beneficio antes de impuestos en los 9M26 [20,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Subidas de precio anunciadas en calentadores y calderas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 (abril de 2026) y hasta 9,5 % (diciembre de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Respuesta al acero y los fletes (+15 % cada uno en 2026); la de abril entró al final del 2T26 y la de diciembre se anunció en octubre [20, 21].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ya sin China, es el de calentadores de agua de EE. UU. y Canadá, residenciales y comerciales, donde AOS hace 2.460 M USD de sus 3.155 M de ventas sin China de 2025 [1, 34]; se completa con calderas de condensación (281 M), tratamiento de agua doméstico (243 M) y válvulas (Leonard Valve) en Norteamérica, e India (≈ 4 % de las ventas) [1, 34]. Para el tamaño se usan las unidades que envían los fabricantes a EE. UU. según la asociación AHRI (calentadores de acumulación de gas y eléctricos; no incluye los instantáneos), estadística completa y gratuita [23, 24, 25]. La cifra en dólares de Arizton (3.450 M USD en 2023 [29]) se da solo como contraste y no se usa: es incompatible con que AOS facture 2.460 M solo en calentadores norteamericanos. El crecimiento previsto (2 % anual en valor) es estimación propia: volumen plano, como en 2020-2025, y ≈ 2 % de precio.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9,28 millones de calentadores residenciales de acumulación enviados en EE. UU. en 2025 (4,25 M de gas y 5,03 M eléctricos) y 248.873 comerciales [23]; hasta agosto de 2026, 6,03 M residenciales, un 3,7 % menos [24]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calentadores residenciales de acumulación (gas y eléctricos) enviados en EE. UU.; 2026e, estimación prop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Reposición del parque instalado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reposición es el 80-85 % de las ventas según la dirección [21]; los envíos residenciales se mueven en una banda estrecha: 9,24 M en 2020, 9,85 M en 2021 y 9,28 M en 2025 [23, 25]. La sustitución preventiva supera el 30 % de la reposición y no cambia, pero la caída de compraventas de viviendas la frena algo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Obra nueva y compraventa de viviendas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envíos residenciales caen un 3,7 % hasta agosto de 2026 (gas −2,4 %, eléctricos −4,8 %) [24] y AOS mantiene su previsión de un descenso de un dígito bajo en el año, con la presión en el canal mayorista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Normas de eficiencia del DOE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norma comercial, que exige condensación en gas, se aplaza hasta octubre de 2027, y AOS rebaja el volumen comercial de 2026 de +1 % a plano [20]; la residencial de 2029 obliga a bomba de calor en eléctricos de más de 35 galones, con un sobrecoste de equipos de ≈ 2.623 M USD al año según el DOE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acero y fletes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Acero y fletes suben más de un 10 % cada uno en 2026 [20]; AOS subió precios un 4-7 % al final del 2T26 y anuncia hasta un 9,5 % desde diciembre, con subidas parecidas de la competencia [20,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Calderas de alta eficiencia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calderas de AOS crecen un 13 % en el 3T26 y un 10-12 % en 2026, con ganancia de cuota en residencial por la salida de competidores; la dirección espera después un 4-6 % anual frente a un mercado que crece a un dígito bajo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 de los incentivos fiscales a la eficiencia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crédito 25C, que cubría las bombas de calor para agua, no se aplica a equipos instalados desde el 1 de enero de 2026 [28].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AOS cita a Rheem, Bradford White, Rinnai, Aerco y Navien como competidores principales [1]. Los fabricantes de tanque suben precios a la par cuando sube el acero: en octubre de 2026 la competencia anunció subidas parecidas a la de AOS (hasta el 9,5 %) [21]. Presionan los instantáneos asiáticos y algún entrante nuevo, por el que preguntan los analistas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cinco primeros clientes son el 41 % de las ventas de AOS y los dos mayores, el 28 % (≈ 34 % sin China) [1, 34].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acero es la principal materia prima y se traslada con retraso; para algunas piezas hay pocos proveedores [1]. En 2026 acero y fletes suben más de un 10 % cada uno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Certificación de eficiencia, red de mayoristas e instaladores con existencias y servicio técnico, y escala fabril: solo la norma residencial de 2029 obliga a la industria a invertir ≈ 240 M USD en conversión [26]; la dirección dice que ese modelo hace difícil competir a pequeña escala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gas instantáneo y la bomba de calor ganan peso; AOS los fabrica, pero su propio 10-K señala nuevos competidores precisamente en esas tecnologías [1].</w:t>
            </w:r>
          </w:p>
        </w:tc>
      </w:tr>
    </w:tbl>
    <w:p>
      <w:pPr>
        <w:spacing w:after="160" w:before="0"/>
      </w:pPr>
    </w:p>
    <w:p>
      <w:pPr>
        <w:pStyle w:val="Heading2"/>
      </w:pPr>
      <w:r>
        <w:t xml:space="preserve">Ciclo</w:t>
      </w:r>
    </w:p>
    <w:p>
      <w:pPr>
        <w:spacing w:after="100"/>
      </w:pPr>
      <w:r>
        <w:t xml:space="preserve">Los envíos residenciales de AHRI caen un 3,7 % hasta agosto de 2026 [24], la dirección prevé un descenso de un dígito bajo y se prepara para un 2027 igual de apagado [21]; el comercial queda plano tras el aplazamiento de la norma [20]. La reposición amortigua los ciclos: en 2020, con la pandemia, los envíos subieron un 7,7 % y en 2021 un 6,6 % [25]; tras el auge, 2023 volvió a 9,20 M [23]. No hay serie de AHRI de 2008-09 ni de 2022 a mano. Desde 2020 el valor del mercado ha crecido por precio, no por volumen.</w:t>
      </w:r>
    </w:p>
    <w:p>
      <w:pPr>
        <w:pStyle w:val="Heading2"/>
      </w:pPr>
      <w:r>
        <w:t xml:space="preserve">Regulación</w:t>
      </w:r>
    </w:p>
    <w:p>
      <w:pPr>
        <w:spacing w:after="100"/>
      </w:pPr>
      <w:r>
        <w:t xml:space="preserve">La norma del DOE para calentadores residenciales (89 FR 37778, 6 de mayo de 2024) obliga desde el 6 de mayo de 2029 a usar bomba de calor en los eléctricos de acumulación de más de 35 galones y sube la eficiencia de los de gas de 20-55 galones; no consta que se haya aplazado [26, 30]. La de instantáneos de gas (diciembre de 2024) quedó anulada por el Congreso (resolución H.J. Res. 20, firmada el 9 de mayo de 2025) y retirada el 20 de mayo de 2025 [30, 39]. La norma comercial, que exige condensación en gas desde el 6 de octubre de 2026, no se aplicará hasta octubre de 2027 [20, 27], y las asociaciones del gas piden llevarla a 2030 (el DOE abrió consulta en abril de 2026) [40]. La ley de julio de 2025 eliminó el crédito 25C desde 2026 [28]. En el 3T26 AOS cobró ≈ 10 M USD de devoluciones de aranceles anulados (IEEPA) [21].</w:t>
      </w:r>
    </w:p>
    <w:p>
      <w:pPr>
        <w:pStyle w:val="Heading2"/>
      </w:pPr>
      <w:r>
        <w:t xml:space="preserve">Tendencias y disrupción</w:t>
      </w:r>
    </w:p>
    <w:p>
      <w:pPr>
        <w:spacing w:after="100"/>
      </w:pPr>
      <w:r>
        <w:t xml:space="preserve">Electrificación con bomba de calor, gas instantáneo de condensación y calderas de alta eficiencia son lo que crece; AOS lanzó en 2024 un instantáneo propio (ADAPT) y bombas de calor comerciales (VERITUS) [1], y sus calderas ganan cuota [21]. El canal minorista resiste mejor que el mayorista [21]. El tratamiento de agua se apoya en las normas sobre PFAS y plomo y en los distribuidores profesionales (30 nuevos en 2026, ventas en ese canal +10 %) [1, 21], pero el consumo flojea: la previsión de 2026 baja al 3-4 % [21]. Con Leonard Valve entra en el control digital del agua en edificios [20]. En China, Haier y Midea compiten con ecosistemas conectados y precio [1], y las ventas minoristas de electrodomésticos caen un 4,9 % hasta septiembre de 2026 con las ayudas a la renovación en retirada [45, 46]: AOS sale de ese mercado [17].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fabricante de calentadores de agua de Norteamérica, con cuota líder en residencial y comercial según la propia empresa, que no publica la cifra; en el 3T26 dice haberla mantenido [1, 21]. Lochinvar es una de las marcas líderes de calderas y gana cuota en residenciales [1, 21]. En China dice estar entre los líderes en valor en calentadores y purificadores de ósmosis inversa, pero sus ventas cayeron de 835 M USD en 2023 a 690 M en 2025 y un 14 % más en los nueve primeros meses de 2026 (455 M), y vende el 81 % del negocio [1, 17, 20]. En India compite con Racold, Bajaj y Havells en calentadores y con Eureka Forbes y Kent en purificadores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Rheem (Paloma Rheem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 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principal en calentadores de tanque e instantáneos, además de climatización; privada. Su matriz Paloma declaraba 674.900 M JPY de ventas en 2021, última cifra publicada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Bradford White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sin cuentas publicadas; competidor principal en calentadores de tanque, sobre todo en el canal mayorista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Rinnai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5947.T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Fuerte en calentadores instantáneos de gas; compite con AOS en Norteamérica y China [1]. Ejercicio a marzo de 2026: 470.392 M JPY de ventas y 50.282 M JPY de resultado de explotación [35], a 159,5 JPY/USD [37]. Último trimestre (abril-junio de 2026): ventas de 113.669 M JPY, +10,6 %, y margen del 8,1 %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Kyung Dong Navien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del Sur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009450.KS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Calentadores instantáneos y calderas de condensación; AOS la cita entre sus competidores principales en Norteamérica [1]. 2025: 1,502 billones de KRW de ventas y 144.930 M KRW de resultado de explotación [44], a 1.444 KRW/USD [37]; en los doce meses a junio de 2026 el margen sube al 12,9 % [44].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Noritz</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5943.T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Instantáneos de gas, fuerte en Japón y con filial en EE. UU. 2025: 202.049 M JPY de ventas y 4.301 M JPY de resultado de explotación [43], a 156,7 JPY/USD [37]; doce meses a junio de 2026, 203.092 M y 4.475 M [43].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Ariston Holding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ARIS.MI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Calentadores y calefacción, sobre todo en Europa; en América solo 270 M EUR. 2025: 2.707,1 M EUR y EBIT de 178,2 M EUR (7,1 % ajustado) [31], a 1,175 USD/EUR [37].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Watts Water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Válvulas, control de flujo y calefacción; el comparable cotizado más cercano de Leonard Valve. 2025: 2.438,5 M USD y 448,1 M USD de resultado de explotación [32]. 2T26: ventas de 763,2 M USD, +19 % (+12 % orgánico), y margen del 20,2 % [42].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Pentair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 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PNR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 en tratamiento de agua residencial en EE. UU. [1], además de bombas y piscina. 2025: 4.176,0 M USD y 857,5 M USD de resultado de explotación [33]. 3T26: ventas de 976 M USD, −4 % (−5 % orgánico); su división de agua (Water Solutions) crece un 1 % con un margen del 28,7 % [41].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propiamente dichos; la red de ≈ 800 mayoristas y de instaladores refuerza la distribución, no el valor del producto para cada usuario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reposición es urgente y la decide el instalador, que repite la marca que conoce y tiene en el almacén; para el usuario cambiar de marca no cuesta nada. AOS perdió cuota en el primer semestre de 2025 al limitar las compras anticipadas [2] y dice haberla mantenido en el 3T26 [22].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A. O. Smith, State, American y Lochinvar y exclusiva en Lowe's [1]; no depende de ninguna patente concreta [1]. La marca tiene valor monetizable: CPE pagará regalías durante décadas por usarla en China, que AOS valora en ≈ 100 M USD [18, 22].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segmento en Norteamérica del 24,4 % en 2025 [1], frente al 10,7 % de explotación de Rinnai [23], el 9,6 % de Navien [32], el 6,6 % de Ariston [15] y el 2,1 % de Noritz [31]; 23 fábricas en la región y producción en México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maduro de ≈ 9,3 millones de unidades al año sin crecimiento desde 2020 [5, 7], repartido entre pocos fabricantes [1]: un entrante no recuperaría la inversión (solo la norma de 2029 exige ≈ 240 M USD de conversión a la industria [8]).</w:t>
            </w:r>
          </w:p>
        </w:tc>
      </w:tr>
    </w:tbl>
    <w:p>
      <w:pPr>
        <w:spacing w:after="160" w:before="0"/>
      </w:pPr>
    </w:p>
    <w:p>
      <w:pPr>
        <w:pStyle w:val="Heading2"/>
      </w:pPr>
      <w:r>
        <w:t xml:space="preserve">Amenazas</w:t>
      </w:r>
    </w:p>
    <w:p>
      <w:pPr>
        <w:spacing w:after="100"/>
      </w:pPr>
      <w:r>
        <w:t xml:space="preserve">Tres riesgos con probabilidad media. Primero, la tecnología: los instantáneos de gas y las bombas de calor, donde AOS no es líder, abren la puerta a fabricantes asiáticos (Rinnai, Navien, con márgenes al alza) [35, 44]; la norma de 2029 los empuja en eléctricos [26]. Segundo, el precio: la subida de hasta el 9,5 % de diciembre es de las mayores que recuerdan los analistas, y si un entrante o un rival no la sigue, AOS pierde cuota como en 2025 [21, 22]. Tercero, el canal: dos clientes son ≈ 34 % de las ventas sin China [1, 34]. China deja de ser un riesgo operativo, pero queda el del cierre (aprobaciones) y el del 19 % retenido [17].</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2016-2025: ingresos </w:t>
      </w:r>
      <w:r>
        <w:rPr>
          <w:b/>
          <w:bCs/>
        </w:rPr>
        <w:t xml:space="preserve">4,0 %</w:t>
      </w:r>
      <w:r>
        <w:t xml:space="preserve">, EBITDA </w:t>
      </w:r>
      <w:r>
        <w:rPr>
          <w:b/>
          <w:bCs/>
        </w:rPr>
        <w:t xml:space="preserve">5,2 %</w:t>
      </w:r>
      <w:r>
        <w:t xml:space="preserve">, BPA </w:t>
      </w:r>
      <w:r>
        <w:rPr>
          <w:b/>
          <w:bCs/>
        </w:rPr>
        <w:t xml:space="preserve">8,5 %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2.685,9 M en 2016 a 3.830,2 M en 2025, con dos fases: hasta 2018 tiraron China y Norteamérica; desde 2021 crece solo Norteamérica (1.743,2 M en 2016, 2.984,2 M en 2025), sobre todo por precio tras la inflación del acero, mientras China cae de 1.070,4 M en 2018 a 835,1 M en 2023, 791,9 M en 2024 y 689,5 M en 2025 [1, 5]. En los 9M26 China vendió 454,6 M, un 14 % menos en dólares (−17 % en moneda local en el 3T26) [20].</w:t>
      </w:r>
    </w:p>
    <w:p>
      <w:pPr>
        <w:spacing w:after="100"/>
      </w:pPr>
      <w:r>
        <w:rPr>
          <w:b/>
        </w:rPr>
        <w:t xml:space="preserve">Perímetro que queda sin China.</w:t>
      </w:r>
      <w:r>
        <w:t xml:space="preserve"> La empresa vende el 81 % de China a CPE y desde el 4T26 lo presentará como actividad interrumpida, con los años anteriores reexpresados [17, 20]. Sin China, las ventas de 2025 son 3.155,3 M (el 82 % del grupo), el margen EBIT sube del 19 % al 21 % y el BPA ajustado baja de 3,85 a 3,42 USD: China aportaba unos 0,43 USD por acción en 2025 y 0,20 USD en los 9M26 [19]. La serie de esta sección es la publicada, con China; el informe anual de 2026 traerá la reexpresada.</w:t>
      </w:r>
    </w:p>
    <w:p>
      <w:pPr>
        <w:spacing w:after="100"/>
      </w:pPr>
      <w:r>
        <w:t xml:space="preserve">El margen bruto bajó del 41,5 % de 2016 al 37,0 % de 2021 por el coste del acero, que la empresa repercute con retraso, y se recuperó al 38,8 % en 2025 y en el 3T26 [1, 19]. Los gastos comerciales y generales bajaron del 24,7 % de las ventas en 2016 al 19,8 % en 2025 [1, 7]; en los 9M26 suben al 20,5 % por la amortización de los intangibles de Leonard Valve y los costes de la compra [20].</w:t>
      </w:r>
    </w:p>
    <w:p>
      <w:pPr>
        <w:spacing w:after="100"/>
      </w:pPr>
      <w:r>
        <w:t xml:space="preserve">Años no comparables: 2017 lleva un cargo fiscal único por la reforma de EE. UU. (0,47 USD por acción) [4]; 2022, la liquidación del plan de pensiones (417,3 M antes de impuestos), que va por debajo del EBIT en otros gastos [2].</w:t>
      </w:r>
    </w:p>
    <w:p>
      <w:pPr>
        <w:pStyle w:val="Heading2"/>
      </w:pPr>
      <w:r>
        <w:t xml:space="preserve">Ajustes y partidas no recurrentes</w:t>
      </w:r>
    </w:p>
    <w:p>
      <w:pPr>
        <w:spacing w:after="100"/>
      </w:pPr>
      <w:r>
        <w:t xml:space="preserve">Todas las cifras son las publicadas (US GAAP), con China dentro. EBIT = beneficio bruto menos gastos comerciales y generales menos reestructuración y deterioros; los otros ingresos y gastos (rendimiento de la caja, pensiones, sentencias) van al resultado financiero. No recurrentes devueltos al EBITDA: reestructuración y deterioro de 2018 (6,7 M, traslado de la planta de Renton), 2020 (7,7 M, despidos), 2022 (4,3 M, compra fallida), 2023 (18,8 M, sobre todo el deterioro por la venta de Turquía), 2024 (17,6 M, China y tratamiento de agua) y el LTM a sep-26 (22,6 M, tratamiento de agua de Norteamérica, 12,4 M de ellos deterioro sin salida de caja) [1, 2, 3, 5, 19, 20]. Ojo: la reestructuración aparece en seis de los últimos diez años; no es del todo extraordinaria. Bajo el EBIT quedan la liquidación de pensiones de 2022 (417,3 M) y la sentencia cobrada ese año (11,5 M) [2].</w:t>
      </w:r>
    </w:p>
    <w:p>
      <w:pPr>
        <w:spacing w:after="100"/>
      </w:pPr>
      <w:r>
        <w:t xml:space="preserve">BPA ajustado de la empresa: 3,73 USD en 2024 (3,63 publicado más 0,10 netos de reestructuración), 3,85 en 2025 (sin ajustes) y 2,80 en los 9M26 (2,68 publicado más 0,12) [1, 19]. El LTM a sep-26 lleva nueve meses de Leonard Valve (46,6 M de ventas) y unos 6 M de costes de la compra en gastos generales del 1T26; la empresa no publica cifras pro forma [20]. El 3T26 incluye unos 10 M de devoluciones de aranceles IEEPA en el coste de ventas, que la empresa no ajusta y no espera repetir en el 4T26 [20, 21]. La guía 2026 nueva (BPA ajustado sin China de 3,42-3,52 USD) excluye China todo el año y unos 20 M de reestructuración [19].</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El BPA de la tabla es el publicado (GAAP) y el EBITDA el publicado: el del 4T24 lleva 17,6 M de reestructuración y el del 2T26, 22,6 M (BPA ajustado de 1,03 USD) [10, 16]. El EBITDA del 3T26 es estimación propia: EBIT de 175,2 M más 24,0 M de amortizaciones (72,5 M de los 9M26 menos 48,5 M del 1S26) [16, 19]. Frente al consenso previo de BPA ajustado de MarketBeat, AOS falló en el 4T24 (0,85 frente a 0,90 USD) y en el 1T26 (0,85 frente a 0,94) y batió en los demás; en el 3T26 ganó 0,93 USD frente a 0,90, pero vendió 940,5 M frente a 960,2 M esperados [18, 19].</w:t>
      </w:r>
    </w:p>
    <w:p>
      <w:pPr>
        <w:spacing w:after="100"/>
      </w:pPr>
      <w:r>
        <w:t xml:space="preserve">En la conferencia del 2T26 la dirección bajó la guía a 3,70-3,85 USD de BPA ajustado, dijo que en China «todas las opciones siguen sobre la mesa» y avisó de que el 3T26 sería el trimestre más flojo [16]. En la del 3T26 cerró la revisión de China con la venta a CPE y cambió la base de la guía: ventas sin China de 3.270-3.290 M (+4 %) y BPA ajustado sin China de 3,42-3,52 USD, frente a 3,42 en 2025 [19, 21]. La directora financiera dijo que el margen del segmento Norteamérica se mantendrá en torno al 24 % del año, lo que deja el 4T26 «bajo cierta presión»; acero y fletes subirán un 15 % cada uno en 2026, y la empresa anunció subidas de hasta el 9,5 % en calentadores desde diciembre, además de las del 4-7 % de abril [20, 21]. Calderas crecerán un 10-12 % (antes 6-8 %); Leonard Valve venderá unos 55 M, por debajo de lo previsto [21].</w:t>
      </w:r>
    </w:p>
    <w:p>
      <w:pPr>
        <w:spacing w:after="100"/>
      </w:pPr>
      <w:r>
        <w:t xml:space="preserve">Los analistas preguntaron por el precio necesario para cubrir costes en 2027, la aceptación de la subida de diciembre, el inventario del canal a fin de año, la caja que se repatría de China y el canon de marca. La dirección no cuantificó el efecto de la venta en el BPA ni los costes que quedan sin repartir, ni el tipo del canon (solo que su valor actual ronda los 100 M), ni el impuesto de la operación, ni la previsión de China para el 4T26 [21].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(2016: Aquasana (tratamiento de agua, EE. UU.), consolidada desde el 8-ago-16.; 2017: Hague Quality Water (descalcificadores, EE. UU.), consolidada desde el 5-sep-17.; 2019: Water-Right (tratamiento de agua, EE. UU.), consolidada desde el 8-abr-19.; 2021: Giant Factories (calentadores, Canadá), consolidada desde el 19-oct-21: entra entera en el balance y solo dos meses y medio en la cuenta (22,9 M de ventas).; 2024: Pureit (purificadores, India), comprada a Unilever en el 4T24 por 124,6 M: entra en el balance y casi nada en la cuenta.; 2026: Venta del 81 % del negocio de China a CPE (acuerdo del 27-oct-26, cierre previsto en el 1S27). Desde el 4T26 China pasa a mantenida para la venta y actividades interrumpidas, con los años anteriores reexpresados; al cierre se desconsolida y el 19 % retenido va por puesta en equivalencia. Sin China, 2025 queda en 3.155,3 M de ventas (frente a 3.830,2 M), 668,2 M de EBIT según la empresa (frente a 728,6 M) y 3,42 USD de BPA ajustado (frente a 3,85); en los 9M26, 2.455,8 M de ventas y 2,60 USD de BPA ajustado (frente a 2.890,4 M y 2,80).).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empresa ha vivido casi siempre con caja neta: a 31-dic-25 tenía 193,2 M de caja y valores frente a 155,0 M de deuda [1]. La compra de Leonard Valve, pagada con un préstamo a plazo de 470 M a SOFR + 0,88 % (4,56 % en el 3T26) con vencimiento único en enero de 2029, y dos préstamos en China por 500 millones de yuanes (74,5 M, al 2,11 %, que vencen en junio de 2027 y la empresa clasifica a largo plazo) llevaron la deuda a 673,1 M y la deuda neta a 438,6 M a 30-sep-26 [20]. El fondo de comercio y los intangibles suben de 1.072,9 M a 1.496,2 M [20]. La venta de China es «sin caja ni deuda»: los préstamos chinos deberían salir con el negocio, y la empresa repatriará unos 80 M de caja de China que destinará, con el dinero neto de la venta, a recomprar acciones [17, 20].</w:t>
      </w:r>
    </w:p>
    <w:p>
      <w:pPr>
        <w:spacing w:after="100"/>
      </w:pPr>
      <w:r>
        <w:t xml:space="preserve">El circulante se infló en 2021-2022 (existencias de 300,1 M en 2020 a 516,4 M en 2022) por la escasez de acero y componentes, y aún no ha vuelto: 479,3 M en 2025 y 509,3 M a 30-sep-26 [1, 2, 20]. El calendario de vencimientos es el de la nota de deuda a 31-dic-25 más el préstamo de 470 M en 2029 y los préstamos chinos en 2027; el coste de la deuda de 2025 (7,8 %) está inflado por comisiones y por el uso intraanual de papel comercial, y el coste marginal es el 4,56 % del préstamo nuevo.</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4.363</w:t>
      </w:r>
      <w:r>
        <w:t xml:space="preserve">, conversión </w:t>
      </w:r>
      <w:r>
        <w:rPr>
          <w:b/>
          <w:bCs/>
        </w:rPr>
        <w:t xml:space="preserve">105 %</w:t>
      </w:r>
      <w:r>
        <w:t xml:space="preserve"> del beneficio neto; adquisiciones 619, dividendos 1.536, recompras 2.604.</w:t>
      </w:r>
    </w:p>
    <w:p>
      <w:pPr>
        <w:spacing w:after="100"/>
      </w:pPr>
      <w:r>
        <w:t xml:space="preserve">La conversión de beneficio en caja es alta: el flujo libre de 2025 fue de 546,0 M, el 100 % del beneficio neto, ayudado por un ajuste fiscal único por un cambio de ley en EE. UU. [14]. El año malo fue 2022 (flujo operativo de 391,4 M), por la acumulación de existencias y más impuestos pagados [2, 7]. En los 9M26 el flujo operativo fue de 429,4 M (433,7 M un año antes) y el libre de 396,2 M (+4 %), con un capex de solo 33,2 M; el LTM a sep-26 da 561,7 M de flujo libre [19].</w:t>
      </w:r>
    </w:p>
    <w:p>
      <w:pPr>
        <w:spacing w:after="100"/>
      </w:pPr>
      <w:r>
        <w:t xml:space="preserve">El capex es bajo, del 2 % de las ventas (70,8 M en 2025, 108,0 M en 2024, el año de más inversión) [1]. La empresa no separa mantenimiento y crecimiento; como estimación propia, la depreciación del inmovilizado material de 2025 (85,1 M de amortizaciones menos 14,8 M de intangibles = 70,3 M) iguala el capex, así que casi todo sería mantenimiento [1, 7]. Las compras se pagan con caja o deuda, nunca con acciones (Leonard Valve: 469,5 M en el 1T26); los intereses pagados van en el flujo de explotación (13,5 M en 2025) [1, 7, 20].</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 (Milwaukee)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ampliada: pruebas que pasa</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 10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Diez pruebas más (estabilidad del ROIC, caja, devengos, deuda, intereses, margen, dilución, Piotroski, Altman y ventas). Son informativas: en el backtest de 2012-2025 ninguna mejoró la rentabilidad de las compras con la calidad que ya exigimos; en el universo entero, pasar varias reduce algo las caídas fuertes. No cambian la señal ni el nivel.</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P1. ROIC estable: nunca por debajo del WACC en los últimos 5 años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ROIC mínimo 30,7 % frente a WACC 10,2 %</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P2. Conversión en caja: flujo libre de 3 años ≥ 0,8 × beneficio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P3. Devengos: beneficio − flujo operativo ≤ 5 % del activo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 del activo</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P4. Deuda neta / EBITDA ≤ 3</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caja neta</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P5. Cobertura de intereses: EBIT ≥ 5 × gasto financiero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P6. Margen EBIT estable: rango de 5 años ≤ 10 puntos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rango 1,9 puntos</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P7. Sin dilución: acciones diluidas ≤ +2 % anual en 3 años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 anual</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P8. Piotroski F ≥ 6</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P9. Altman Z &gt; 1,81 (fuera de la zona de riesgo)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P10. Ventas que no encogen en 3 años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 en 3 años</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Ernst &amp; Young audita a la empresa desde 1917 y emitió una opinión favorable sobre las cuentas de 2025 y sobre el control interno; la única cuestión clave de auditoría es la provisión de garantías (209,7 M), por la incertidumbre de las tasas de reclamación a muchos años [1]. Las existencias de EE. UU. se valoran por LIFO (reserva de 55,8 M a 31-dic-25), lo que deja el beneficio algo por debajo de FIFO cuando sube el acero [1, 6]. La remuneración en acciones es pequeña (13,8 M en 2025, el 2,5 % del beneficio neto) [1]. No hay capitalización de I+D: los 95,0 M de 2025 se cargan a resultados [1]. Nunca ha deteriorado fondo de comercio [7]; los deterioros han sido de activos concretos (Turquía en 2023, tratamiento de agua en 2024 y 2026) [1, 6]. La diferencia entre resultado contable y fiscal es estable, con un tipo efectivo del 23-24 % salvo 2017 (reforma fiscal) y 2022 (liquidación de pensiones) [1, 2, 4]. El flujo operativo supera al beneficio casi todos los años. Desde el 4T26 China pasa a actividades interrumpidas y los años anteriores se reexpresarán: la serie histórica dejará de ser comparable con la publicada hasta ahora [20].</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109 años de mandato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Ernst &amp; Young desde 1917: independencia formal intacta, pero sin rotación de firma en más de un siglo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Reestructuraciones repetidas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cargos en nueve años (2018, 2020, 2023, 2024 y 2026), dos de ellos en el mismo negocio de tratamiento de agua de Norteamérica; ajustarlos todos sube el BPA ajustado de forma recurrente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 China por debajo de su peso contable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CPE paga el 81 % de un negocio valorado en unos 400 M sin caja ni deuda; los activos de largo plazo en China eran 193,6 M a 31-dic-25, pero el 10-Q no cuantifica la plusvalía o pérdida ni el efecto de la diferencia de conversión acumulada, que aflorará en el 4T26 al pasar a mantenida para la venta [1, 17, 20].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garantías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140,9 M en 2016 a 209,7 M en 2025 (del 5,2 % al 5,5 % de las ventas); es la cuestión clave de auditoría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2025 ayudado por un efecto fiscal único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atribuye parte de la mejora del flujo de 2025 a un cambio de ley fiscal que no se repite [14].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Préstamos en China justo antes de la venta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julio de 2026 la filial china pidió 500 millones de yuanes (74,5 M) a un año, clasificados a largo plazo; con una venta sin caja ni deuda, conviene ver en el cierre cómo se liquidan y si ayudan a repatriar los 80 M de caja [20].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sin China calculado de forma poco ortodoxa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conciliación de la empresa resta al EBIT de 2025 (728,6 M) el beneficio NETO de China (60,4 M) para llegar a 668,2 M sin China, mezclando un dato antes de impuestos con uno después; el margen sin China del 21 % puede estar algo sobrestimado [19].</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711 M en 2025 (el 41 % del capital invertido medio); ha subido más de un 5 % en 4 de 9 años: comprador en serie. ROIC publicado 30,7 %; sin fondo de comercio, 51,8 %.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32,5 % · </w:t>
      </w:r>
      <w:r>
        <w:rPr>
          <w:b/>
          <w:bCs/>
        </w:rPr>
        <w:t xml:space="preserve">WACC</w:t>
      </w:r>
      <w:r>
        <w:t xml:space="preserve">: 10,2 %.</w:t>
      </w:r>
    </w:p>
    <w:p>
      <w:pPr>
        <w:spacing w:after="100"/>
      </w:pPr>
      <w:r>
        <w:t xml:space="preserve">A. O. Smith crea valor con holgura: el ROIC fue del 32,0 % en 2024 y del 30,7 % en 2025 frente a un WACC del 10,2 %, y del 51,8 % sin el fondo de comercio de las compras. Lo sostienen el margen de Norteamérica (23,6 % en el 3T26) y un negocio de reposición con poco capital [A]. La bajada desde el 44 % de 2022 viene de las compras (Pureit en 2024 y Leonard Valve en enero de 2026, por 469,5 M) y de China, que ganaba menos [A]. Sin China el ROIC sube, porque el margen de la empresa que queda es mayor (EBIT del 21 % frente al 19 %) [A, B].</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234,5 M a 30-sep-26 (193,2 M con valores negociables a 31-dic-25) y una línea de crédito comprometida de 500 M, sin disponer, ampliable a 1.000 M, que vence el 23-ago-29 y respalda el papel comercial [1, 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citado en sus documentos de la SEC; no tiene bonos cotizados.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Covenants: la línea de 500 M y el préstamo de 470 M exigen un ratio de apalancamiento y una cobertura de intereses mínimos; la empresa dice que los cumple con holgura a 30-sep-26 (deuda sobre capitalización del 27,0 %) [8, 20]. Garantías de producto: 209,7 M a 31-dic-25 y 213,9 M a 30-sep-26 (71,2 M a corto); es la cuestión clave de auditoría [1, 20]. Pensiones: el plan de prestación definida se liquidó en 2022 (417,3 M de cargo) y queda un pasivo de 7,5 M [2, 20]. Arrendamientos operativos: 41,7 M a largo, fuera de la deuda [20]. Recompra de existencias en China: el acuerdo con el proveedor logístico que financiaba a los distribuidores terminó a 31-dic-25 y todos sus préstamos están pagados a 30-sep-26 [20]. Reestructuración pendiente de pago: 9,3 M [20]. Hay litigios ordinarios por responsabilidad de producto, amianto y medio ambiente, sin provisión material declarada [1].</w:t>
      </w:r>
    </w:p>
    <w:p>
      <w:pPr>
        <w:pStyle w:val="Heading1"/>
      </w:pPr>
      <w:r>
        <w:t xml:space="preserve">12. Asignación de capital</w:t>
      </w:r>
    </w:p>
    <w:p>
      <w:pPr>
        <w:pStyle w:val="Confianza"/>
        <w:spacing w:after="100"/>
      </w:pPr>
      <w:r>
        <w:t xml:space="preserve">Confianza: Alta</w:t>
      </w:r>
    </w:p>
    <w:p>
      <w:pPr>
        <w:spacing w:after="100"/>
      </w:pPr>
      <w:r>
        <w:t xml:space="preserve">Prioridades declaradas: invertir en el negocio, compras que amplíen la plataforma de agua, dividendo creciente y recompras con el resto [1]. El dividendo ha subido más de 30 años seguidos: 1,38 USD por acción en 2025, 0,36 USD trimestrales en 2026 y 0,38 USD desde el pago de noviembre de 2026 (+6 %) [1, 19, 20]. Las recompras sumaron 400,8 M en 2025; en 2026 el objetivo pasó de 200 M a 300 M, con 260,6 M ejecutados en los 9M26 (4,2 millones de acciones; 1,6 millones a 61,44 USD de media en el 3T26) y autorización para 1,6 millones más [1, 19, 20]. El dinero neto de la venta de China y unos 80 M de caja repatriada irán sobre todo a recompras tras el cierre [17]. La deuda se usa de forma táctica: préstamo de 470 M para Leonard Valve, sin bonos [8,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Aquasana (filtros de agua,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negocio de tratamiento de agua de Norteamérica, que facturó 243,1 M en 2025 tras seis compras más; ese negocio se reestructuró en 2024 y 2026 con deterioros de activos [1, 5,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Hague Quality Water (descalcificadores,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tratamiento de agua de Norteamérica; sin deterioro de fondo de comercio [5,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Water-Right (tratamiento de agua,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tratamiento de agua de Norteamérica; el negocio creció de 141,4 M en 2019 a 243,1 M en 2025, con márgenes que motivaron dos reestructuraciones [1, 4,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Giant Factories (calentadores de agua, Canadá)</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Añadió capacidad y distribución en Canadá; sin deterioros [3,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Pureit (purificadores de agua, India), comprada a Unilever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Aportó 54 M de ventas en 2025; 120,3 M del precio fueron fondo de comercio e intangibles [1, 14].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Leonard Valve (válvulas y control de temperatura del agua,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Préstamo a plazo de 470 M a tres años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Demasiado reciente para juzgar y por debajo del plan: 46,6 M de ventas y 15,2 M de beneficio antes de impuestos en los 9M26; la empresa rebajó las ventas de 2026 de unos 70 M a unos 55 M (unas 8,5 veces ventas) y dice que el retraso no es estructural [20, 21].</w:t>
            </w:r>
          </w:p>
        </w:tc>
      </w:tr>
    </w:tbl>
    <w:p>
      <w:pPr>
        <w:spacing w:after="160" w:before="0"/>
      </w:pPr>
    </w:p>
    <w:p>
      <w:pPr>
        <w:spacing w:after="100"/>
      </w:pPr>
      <w:r>
        <w:t xml:space="preserve">Entre 2016 y 2025 la empresa pagó 1.536,0 M en dividendos y 2.604,4 M en recompras, frente a 619,2 M en compras de empresas, según sus estados de flujos; las acciones diluidas bajaron de 176,8 a 141,9 millones, y a 136,1 millones en el 3T26 [1, 7, 19]. Devolver casi toda la caja ha funcionado porque el negocio central, los calentadores y calderas de Norteamérica, apenas necesita capital.</w:t>
      </w:r>
    </w:p>
    <w:p>
      <w:pPr>
        <w:spacing w:after="100"/>
      </w:pPr>
      <w:r>
        <w:t xml:space="preserve">Las compras son el punto débil. La plataforma de tratamiento de agua de Norteamérica, construida con siete compras desde 2016, factura unos 243 M y ha necesitado dos reestructuraciones con deterioros (2024 y 2026) [1, 20]. China, la gran apuesta de crecimiento de la década anterior, pasó de 1.070,4 M de ventas en 2018 a 689,5 M en 2025 y se vende ahora en un 81 % a CPE por una valoración de unos 400 M sin caja ni deuda (más de 500 M con el valor actual del canon de marca), menos de 0,6 veces sus ventas de 2025 [1, 5, 17]. Leonard Valve, la mayor compra de su historia (469,5 M pagados con deuda), arranca por debajo del plan [20, 21].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M. Shafer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(desde el 1-jul-26) y primer ejecutivo (desde el 1-jul-25)</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en marzo de 2024 como presidente y director de operaciones tras más de veinte años en 3M (presidente de la división de automoción y aeroespacial 2020-2024, director de estrategia en 2019 y responsable de la Gran China 2016-2018), con etapas previas en McKinsey y Ford [47, 52, 53]. En su primer año completo al frente, el BPA diluido de 2025 fue récord, 3,85 USD, dentro de la guía, y cerró la compra de Leonard Valve por 470 M USD en enero de 2026 [14, 66]. En 2026 ha recortado la guía dos veces y el 27-oct-26 cerró la revisión de China con la venta del 81 % a CPE, que valora el negocio en unos 400 M USD sin caja ni deuda [15, 16, 17]. A 31-dic-25 no tenía acciones en propiedad, solo 71.690 unidades restringidas (0,05 % del capital) [47].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 Anderson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y 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 The Campbell's Company (enero de 2023 a octubre de 2025) y de Integra LifeSciences (2019-2023), con puestos financieros previos en Dover y Delphi; empezó como ingeniera en General Motors [54]. Entró el 1-jul-26 para sustituir a Charles T. Lauber, que se jubila tras siete años en el cargo y 27 en la empresa [1, 54]. El 3T26 es su primer trimestre completo y el 10-Q lo firma ella; aún no tiene historial medible en A. O. Smith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J. Wheeler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ejecutivo hasta el 1-jul-26 y primer ejecutivo 2018-2025</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1994 como jefe regional de ventas; fue primer ejecutivo de 2018 a junio de 2025, presidente del consejo desde 2020 y presidente ejecutivo de julio de 2025 a julio de 2026, y sigue como consejero [52, 53]. Con él, el BPA diluido pasó de 2,58 USD (2018) a 3,63 USD (2024), con la guía de BPA cumplida en dos de los cinco ejercicios de 2020 a 2024 [10, 61, 62, 63, 64, 65]. Tenía 100.647 acciones y 482.270 opciones ejercitables a 31-dic-25 [47].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T. Lauber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hasta el 1-jul-26 (en transición hasta su jubilación)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2019, antes responsable de estrategia y desarrollo corporativo (2013-2019) y director financiero de la división de calentadores de agua (2006-2012) [1]. Tenía 39.852 acciones y 121.805 opciones ejercitables a 31-dic-25 [47].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F. Stern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 desarrollo corporativo, estrategia y secretario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 secretario general y jefe de los servicios jurídicos hasta octubre de 2025, cuando pasó a dirigir desarrollo corporativo y estrategia; le sustituyó en lo jurídico Paul J. Jones, antes en Harley-Davidson y Marquette University [1, 55]. Tenía 96.284 acciones y 118.215 opciones ejercitables a 31-dic-25 [47].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 D. Smith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y uno de los tres fideicomisarios del Smith Family Voting Trust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0,29 %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Gestor de producto en Strattec Security de 1997 a 2019 y antiguo empleado de la compañía; fideicomisario del trust familiar desde 2019, junto con sus primos Bruce M. y Robert L. Smith [47]. A título propio tiene 274.452 acciones Class A (1,06 % de la clase) y 131.971 comunes; no se le atribuyen las del trust [47].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2,40-2,50 USD, sin contar el efecto del coronavirus en China (28-ene-20)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2,12 USD (2,16 USD ajustado)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2,40-2,50 USD (28-ene-21)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3,02 USD (2,96 USD ajustado), récord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 3,35-3,55 USD, sin la liquidación del plan de pensiones; contable 1,56-1,76 USD (27-ene-22)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 3,14 USD (1,51 USD contable)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3,15-3,45 USD, sin ajustes (31-ene-23)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3,69 USD (3,81 USD ajustado)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3,90-4,15 USD, sin ajustes (30-ene-24)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3,63 USD (3,73 USD ajustado)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3,60-3,90 USD y ventas de 3.800-3.900 M USD (30-ene-25)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3,85 USD, sin ajustes, y ventas de 3.830 M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de 3,85-4,15 USD y ventas de 3.900-4.020 M USD, con Leonard Valve y con China (29-ene-26)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30-abr: 3,70-4,00 USD ajustado (3,60-3,90 contable) por China; 30-jul: 3,70-3,85 USD ajustado y ventas de 3.900-3.950 M USD por el calentador residencial; 29-oct: rehecha sin China todo el año, 3,42-3,52 USD ajustado y ventas de 3.270-3.290 M USD, frente a 3,42 USD y 3.155 M USD de 2025 sin China. El techo de julio ya era el suelo de enero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La guía es poco fiable: de 2020 a 2025 cumplió tres años y falló tres, y en 2022 y 2024 el BPA quedó un 7-10 % por debajo del punto medio [10, 14, 61, 62, 63, 64, 65]. 2026 es el cuarto fallo: dos recortes (abril y julio) y, el 29-oct, una guía nueva sin China de 3,42-3,52 USD, que deja el BPA comparable entre plano y un 3 % arriba sobre 2025 [15, 16, 19]. El relevo fue ordenado y por dentro: Shafer llegó como director de operaciones en 2024, es primer ejecutivo desde julio de 2025 y presidente desde julio de 2026 [52, 53]. Pero la cúpula se ha renovado casi entera en dos años: primer ejecutivo, presidente, directora financiera externa, jefe jurídico, director de tecnología y director digital [1, 54, 55]. A favor: la venta de China cierra en quince meses una revisión que pesaba sobre la acción, y el dinero irá a recompras [17].</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M. Shafer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elegido por la Class 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J. Wheeler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ejecutivo hasta el 1-jul-26)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elegido por la Class 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D. 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fideicomisario del Smith Family Voting Trust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personal y retribuciones; elegido por la Class 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L. Mapes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(lead director)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personal y retribuciones (auditoría hasta abril de 2026); elegido por la acción común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Todd W. Fister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financiero de Owens Corning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elegido por la Class 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Victoria M. Holt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 primera ejecutiva de Proto Labs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(presidenta); personal y retribuciones; elegida por la Class 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M. Larsen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financiero de Illinois Tool Works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elegido por la Class 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Ilham Kadri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 primera ejecutiva de Syensqo y Solvay</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personal y retribuciones; elegida por la acción común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Lois M. Martin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directora financiera de Mortenson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elegida por la acción común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Aaron W. Saak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primer ejecutivo de Crane NXT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elegido por la acción común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0,08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Smith Family Voting Trust (familia Smith)</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familiar: 25.077.373 acciones Class A (96,96 % de la clase) y 1.078.313 comunes; 67,9 % de los votos en asuntos generales y elige 6 de 10 consejeros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Class A sin cambios en 2024-2025; comunes de 1.093.579 a 1.078.313 [47, 48]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D. Smith (a título propio, fuera del trust)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Smith: 274.452 Class A (1,06 % de la clase) y 131.971 comunes; 0,8 %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[47, 48]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(Vanguard Capital Management y Vanguard Portfolio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 15.428.387 comunes, 13,7 % de la clase común a 31-mar-26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11,6 % de la común (dic-24) al 12,6 % (sep-25) y al 13,7 % (mar-26), ya repartido en dos entidades tras la reorganización de sus presentaciones [47, 48, 58, 59, 60]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activo: 11.749.074 comunes, 10,7 % de la clase común a 31-jul-26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Fuerte compra: del 5,1 % de la común (dic-25) al 7,1 % (mar-26), 9,3 % (jun-26) y 10,7 % (jul-26) [47, 57]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 6.951.534 comunes, 6,0 % de la clase común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8,2 % de la común (dic-24) al 6,0 % (jun-25) [47, 48]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índice: 5.911.986 comunes, 5,2 % de la clase común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6,0 % de la común (dic-24) al 5,2 % (dic-25) [47, 48, 56]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52.337.402 comunes y 130.380 Class A emitidas y no en circulación (porcentaje sobre las emitidas)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400,8 M USD (5,9 M de acciones) en 2025 y de 260,6 M USD (4,2 M) en los nueve primeros meses de 2026; objetivo del año subido de 200 a 300 M USD en julio, y el dinero de la venta de China irá sobre todo a recompras [14, 16, 17,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(24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274.452 Class A y 439.355 comunes en propiedad, más 445.029 unidades restringidas y 789.650 opciones ejercitables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compras en mercado del 1-oct-25 al 30-oct-26; una sola venta, de 1.104 acciones (Schuh, marzo de 2026); el resto son concesiones, ejercicios con retención fiscal y donaciones [47, 67, 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Darrell W. Schuh (vicepresidente sénior; presidente de Lochinvar)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0,08</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Shafer devengó 4,96 M USD en 2025: 0,97 M de fijo, 1,07 M de variable anual y 2,68 M en acciones; anualizado, 5,16 M y 115 veces el empleado mediano (153 veces con Wheeler en 2024) [47, 48]. Wheeler, presidente ejecutivo, cobró 8,50 M USD [47]. El variable anual depende en un 80 % del EBIT y en un 20 % de las ventas, y en 2025 se cumplió al 98,3 % [47]. El largo plazo es un 50 % de acciones restringidas con un suelo de ROE medio, un 35 % de efectivo ligado al ROIC de tres años (el de 2023-2025 pagó el 122,1 %) y un 15 % de acciones ligadas a metas ambientales [47]. Hay cláusula de recuperación más amplia que la legal; la indemnización del primer ejecutivo es de 24 meses de fijo y variable objetivo, 36 con cambio de control [47]. </w:t>
      </w:r>
      <w:r>
        <w:rPr>
          <w:b/>
        </w:rPr>
        <w:t xml:space="preserve">El 5,7 % en contra de 2025 fue un 20,3 % sobre el capital libre presente</w:t>
      </w:r>
      <w:r>
        <w:t xml:space="preserve"> (estimación propia: votos en contra entre los votos presentes menos los de la Class A y los de las comunes de la familia, que votan a favor; la común vale 1/10 de voto); en 2024 fue un 12,0 % y en 2026 un 8,5 % (2,3 % sobre todo el voto presente) [47, 49, 50, 51].</w:t>
      </w:r>
    </w:p>
    <w:p>
      <w:pPr>
        <w:pStyle w:val="Heading2"/>
      </w:pPr>
      <w:r>
        <w:t xml:space="preserve">Operaciones vinculadas, estructura de control y defensas</w:t>
      </w:r>
    </w:p>
    <w:p>
      <w:pPr>
        <w:spacing w:after="100"/>
      </w:pPr>
      <w:r>
        <w:rPr>
          <w:b/>
        </w:rPr>
        <w:t xml:space="preserve">La familia Smith controla A. O. Smith con el 19 % del capital.</w:t>
      </w:r>
      <w:r>
        <w:t xml:space="preserve"> La Class A tiene un voto por acción en asuntos generales, frente a 1/10 de la común, y elige por separado dos tercios del consejo (6 de 10) [47]. El Smith Family Voting Trust, con tres fideicomisarios primos entre sí, tiene el 97 % de la Class A y el 67,9 % de los votos; dura hasta 2039 y se renueva por periodos de 30 años [47]. Es controlled company según la NYSE, aunque no usa la exención [47]. La extinción pactada en 2009 impide emitir Class A, la convierte si sale de la familia y le quita los dos tercios del consejo si baja del 12,5 % de las acciones (hoy, 18,7 %) [47]. Los minoritarios protestan donde pueden: en 2026 Kadri tuvo un 52 % de votos retenidos y Mapes un 36 %, y el consejo rechazó la dimisión de Kadri atribuyendo el voto a la doble clase [49]. No hay operaciones vinculadas declaradas, y nada en el proxy ni en el 8-K de la venta indica relación de CPE, compradora de China, con consejeros o accionistas significativos [17, 47].</w:t>
      </w:r>
    </w:p>
    <w:p>
      <w:pPr>
        <w:pStyle w:val="Heading2"/>
      </w:pPr>
      <w:r>
        <w:t xml:space="preserve">Señales de alerta</w:t>
      </w:r>
    </w:p>
    <w:p>
      <w:pPr>
        <w:pStyle w:val="ListParagraph"/>
        <w:numPr>
          <w:ilvl w:val="0"/>
          <w:numId w:val="2"/>
        </w:numPr>
        <w:spacing w:after="60"/>
      </w:pPr>
      <w:r>
        <w:t xml:space="preserve">Rotación casi completa de la cúpula en dos años: nuevo primer ejecutivo (julio de 2025), nuevo presidente (julio de 2026), nueva directora financiera externa (julio de 2026) y nuevos responsables jurídico, de tecnología y digital (2025) [1, 52, 53, 54, 55].</w:t>
      </w:r>
    </w:p>
    <w:p>
      <w:pPr>
        <w:pStyle w:val="ListParagraph"/>
        <w:numPr>
          <w:ilvl w:val="0"/>
          <w:numId w:val="2"/>
        </w:numPr>
        <w:spacing w:after="60"/>
      </w:pPr>
      <w:r>
        <w:t xml:space="preserve">Presidente y primer ejecutivo vuelven a coincidir en Shafer desde el 1-jul-26; el contrapeso es un consejero coordinador (Mapes) que fue vicepresidente ejecutivo de la compañía de 2004 a 2011 y que en 2026 tuvo un 36 % de votos retenidos [47, 49, 53].</w:t>
      </w:r>
    </w:p>
    <w:p>
      <w:pPr>
        <w:pStyle w:val="ListParagraph"/>
        <w:numPr>
          <w:ilvl w:val="0"/>
          <w:numId w:val="2"/>
        </w:numPr>
        <w:spacing w:after="60"/>
      </w:pPr>
      <w:r>
        <w:t xml:space="preserve">Rechazo creciente de los minoritarios a la doble clase: Kadri recibió más votos retenidos que a favor en 2026 (52 %) y el consejo rechazó su dimisión; Larsen tuvo un 60 % retenido en 2025 y Holt un 55 % en 2024 [49, 50, 51].</w:t>
      </w:r>
    </w:p>
    <w:p>
      <w:pPr>
        <w:pStyle w:val="ListParagraph"/>
        <w:numPr>
          <w:ilvl w:val="0"/>
          <w:numId w:val="2"/>
        </w:numPr>
        <w:spacing w:after="60"/>
      </w:pPr>
      <w:r>
        <w:t xml:space="preserve">Mark D. Smith, fideicomisario del trust de control, figura como independiente y se sienta en las comisiones de retribuciones y de nombramientos; algunos accionistas lo cuestionaron en el diálogo con la empresa [47].</w:t>
      </w:r>
    </w:p>
    <w:p>
      <w:pPr>
        <w:pStyle w:val="ListParagraph"/>
        <w:numPr>
          <w:ilvl w:val="0"/>
          <w:numId w:val="2"/>
        </w:numPr>
        <w:spacing w:after="60"/>
      </w:pPr>
      <w:r>
        <w:t xml:space="preserve">Cuarto incumplimiento de guía en siete años: la de 2026 se recortó en abril y julio y en octubre se rehízo sin China; hay unos 20 M USD de reestructuración y deterioro en tratamiento de agua de Norteamérica [15, 16, 19].</w:t>
      </w:r>
    </w:p>
    <w:p>
      <w:pPr>
        <w:pStyle w:val="ListParagraph"/>
        <w:numPr>
          <w:ilvl w:val="0"/>
          <w:numId w:val="2"/>
        </w:numPr>
        <w:spacing w:after="60"/>
      </w:pPr>
      <w:r>
        <w:t xml:space="preserve">La venta del 81 % de China a CPE (27-oct-26) depende de aprobaciones regulatorias y no cerrará hasta el primer semestre de 2027; desde el 4T26 China pasa a actividades interrumpidas y se reexpresan los periodos anteriores [17, 19].</w:t>
      </w:r>
    </w:p>
    <w:p>
      <w:pPr>
        <w:pStyle w:val="ListParagraph"/>
        <w:numPr>
          <w:ilvl w:val="0"/>
          <w:numId w:val="2"/>
        </w:numPr>
        <w:spacing w:after="60"/>
      </w:pPr>
      <w:r>
        <w:t xml:space="preserve">Sin litigios, investigaciones ni multas materiales: el 10-K de 2025 solo cita pleitos ordinarios de responsabilidad por producto, amianto, patentes y medio ambiente, y el 10-Q del 3T26 no recoge cambios materiales [1, 20]. El auditor, Ernst &amp; Young, lo es desde 1917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29 de octubre la empresa cambió la base de la guía de 2026: deja fuera el negocio de China todo el año, porque lo pasará a actividades interrumpidas desde el cuarto trimestre al haber acordado la venta del 81 % a CPE [17, 19]. Guía nueva sin China: ventas de 3.270-3.290 M USD (unos +4 % sobre los 3.155 M de 2025 sin China) y BPA ajustado de 3,42-3,52 USD, el mismo punto de partida que el 3,42 de 2025 sin China [19]. El ajustado excluye unos 20 M USD de reestructuración y deterioros del tratamiento de agua de Norteamérica. La guía anterior (30 de julio, con China) era de un BPA ajustado de 3,70-3,85 USD; ya se había recortado en abril [19]. Recompras previstas de unos 300 M USD en 2026 (260,6 M hechos a septiembre) y, tras el cierre de la venta en el primer semestre de 2027, prioridad a recomprar acciones con el dinero neto de impuestos y unos 80 M USD repatriados de China [17, 19]. Subidas de precio de hasta el 9,5 % en calentadores de Norteamérica desde diciembre de 2026, tras las del 4-7 % de abril [20]. No publica objetivos a medio plazo.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e ingresos: Yahoo Finance (12 y 13 analistas), 29-oct-2026, todavía CON China [70]; EBITDA, EBIT y DPA: MarketScreener, 8-oct-2026, con China [73]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e ingresos: Yahoo Finance (12 y 13 analistas), 29-oct-2026, todavía CON China [70]; EBITDA, EBIT y DPA: MarketScreener, 8-oct-2026, con China [73]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13 analistas, 8-oct-2026, con China [73]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 8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55,00 – 80,00</w:t>
            </w:r>
          </w:p>
        </w:tc>
      </w:tr>
    </w:tbl>
    <w:p>
      <w:pPr>
        <w:spacing w:after="160" w:before="0"/>
      </w:pPr>
    </w:p>
    <w:p>
      <w:pPr>
        <w:pStyle w:val="Heading2"/>
      </w:pPr>
      <w:r>
        <w:t xml:space="preserve">Revisiones de estimaciones</w:t>
      </w:r>
    </w:p>
    <w:p>
      <w:pPr>
        <w:spacing w:after="100"/>
      </w:pPr>
      <w:r>
        <w:t xml:space="preserve">Ninguna estimación publicada recoge todavía la venta de China: el consenso de Yahoo del 29 de octubre sigue con ventas de 3.886 M USD en 2026 (la guía sin China es de 3.280 M) y un BPA ajustado de 3,72 USD, el que sale con China [19, 70]. Con China fuera, el BPA comparable de 2026 baja a 3,42-3,52 USD; la diferencia de 2025 fue de 0,43 USD por acción [19]. Tendencia a la baja antes de la venta: el BPA de 2026 pasó de 3,76 USD hace 90 días a 3,72, y el de 2027 de 4,16 a 4,03 (−3 %) [70]. En recomendaciones, Stifel bajó a mantener con objetivo de 59 USD (desde 70) el 19 de octubre por el acero, los tipos, la demanda y la incertidumbre de China; Longbow bajó a neutral el mismo día; Oppenheimer recortó de 75 a 72 manteniendo comprar [70, 71, 80]. Recomendaciones de Yahoo: 1 compra fuerte, 2 compras, 8 mantener, 1 venta y 1 venta fuerte; objetivo medio de 66,20 USD (55-80, 10 analistas); MarketBeat da 66,00 (59-75) y consenso «reducir» [70, 71]. El tercer trimestre batió por poco: BPA de 0,93 USD frente a 0,90 de FactSet y 0,895 de MarketBeat, con ventas de 940,5 M frente a 960,2 M esperados [18, 72].</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r>
    </w:tbl>
    <w:p>
      <w:pPr>
        <w:spacing w:after="160" w:before="0"/>
      </w:pPr>
    </w:p>
    <w:p>
      <w:pPr>
        <w:spacing w:after="100"/>
      </w:pPr>
      <w:r>
        <w:t xml:space="preserve">A. O. Smith pierde un 2,7 % en un año con dividendos, frente al +14,4 % del S&amp;P 500 (SPY) y el +11,2 % de los industriales (XLI), y un 3,5 % en 2026 [69]. En cinco años, −1,0 % anual frente al +12,4 %: China (ventas del resto del mundo −13 % en nueve meses de 2026) y el volumen residencial de Norteamérica han pesado más que las recompras [19, 69]. Tocó máximo de 52 semanas en 81,87 USD el 12 de febrero y mínimo en 54,16 el 20 de mayo, tras la rebaja de la guía de abril [69]. En el último mes sube un 12,6 % con el mercado plano (SPY +0,7 %): subida del dividendo (12-oct), venta de China (27-oct) y unos resultados del tercer trimestre algo mejores de lo esperado (29-oct, +4,3 %) [17, 19, 69]. Posición corta alta: 10,99 M de acciones el 15 de octubre, el 8,1 % del capital y el 11,5 % del flotante de las acciones ordinarias (Yahoo) [70].</w:t>
      </w:r>
    </w:p>
    <w:p>
      <w:pPr>
        <w:spacing w:after="100"/>
      </w:pPr>
      <w:r>
        <w:t xml:space="preserve">Beta frente al S&amp;P 500 (SPY) [69]: 1,04 mensual a 5 años (ajustada 1,03), 0,85 semanal a 5 años (ajustada 0,90) y 0,58 semanal a 2 años. La de Damodaran (EE. UU., enero de 2026) desapalancada y corregida por caja es 0,96 en materiales de construcción y 0,89 en maquinaria; reapalancadas con la deuda de A. O. Smith (7,9 % de la capitalización), 1,02 y 0,95 [76]. Para el coste de capital se usa 1,03, la mensual ajustada, que coincide con la sectorial. La semanal a 2 años es baja porque en 2025-2026 la acción ha ido a la baja con un mercado alcista, no porque el riesgo haya caído.</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+12,6 % / +5,6 % / +2,7 % / -5,0 %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-21,1 % / +14,7 %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un mes hasta el 13 de mayo, al borde del umbral del 15 %. El 15 de abril bajó un 5,3 % con el S&amp;P 500 al alza (+0,8 %), tras los recortes de objetivo de Goldman Sachs (69 → 61), Citi (78 → 74) y Stifel (85 → 78) del 13 y 14 de abril [69, 70]; el 30 de abril, −2,9 % con un primer trimestre por debajo de lo esperado (BPA de 0,85 frente a 0,94) y la primera rebaja de la guía [18, 69]. Hechos ya recogidos en las cuentas y la guía.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 de un mes con el mercado plano. Escalones: +2,3 % y +2,8 % los días 13 y 15 tras la subida del dividendo del 6 % (12-oct) [20, 69]; +4,7 % el 22 de octubre sin noticia propia localizada (el S&amp;P cayó un 1,2 % ese día) [69, 72]; −1,9 % el 28, tras anunciar la venta de China, y +4,3 % el 29 con los resultados del tercer trimestre: BPA de 0,93 USD frente a 0,90 esperado y guía sin China de 3,42-3,52 USD [18, 19, 69, 72]. No llega al 15 %, pero se explica porque en un mes recupera la mitad de la caída desde abril.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 trimestre: ventas de 940,5 M USD (planas), BPA de 0,93 USD (0,94 hace un año); Norteamérica +3 % (1 % orgánico) con margen del 23,6 % y China −17 % en moneda local. Guía de 2026 sin China: ventas de 3.270-3.290 M y BPA ajustado de 3,42-3,52 USD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81 % del negocio de China a CPE por un valor de unos 400 M USD sin caja ni deuda para el 100 %; A. O. Smith conserva el 19 % y cobra regalías por la marca (valor total de más de 500 M con ellas) y repatría unos 80 M de caja; cierre previsto en el primer semestre de 2027, pendiente de autorizaciones. El dinero irá sobre todo a recompras [17, 34]. Está dentro del análisis: el valor de la operación entra en el puente y el BPA de 2027-2028 se calcula sin China.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Stifel baja a mantener (objetivo 70 → 59 USD) por el acero, los tipos, la demanda y China; Longbow baja a neutral; Oppenheimer recorta su objetivo de 75 a 72 USD (21-oct) y sigue en comprar [70, 71, 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trimestral de 0,38 USD (+6 %), más de 30 años seguidos de subidas; cupón con fecha de corte del 30 de octubre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2026-06-24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Kevin Wheeler deja la presidencia del consejo el 1 de julio; Stephen Shafer suma la presidencia a su cargo de consejero delegado. La acción subió un 4,4 % ese día [81].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sube un 12,6 % en un mes con el mercado plano: el dividendo +6 % (12-oct), la venta de China (−1,9 % el día del anuncio) y los resultados del 3T26 (+4,3 % el 29-oct); el +4,7 % del 22-oct no tiene causa identificada. Ningún hecho pendiente ajeno al análisis puede mover el precio más de un 5 %: el veredicto es no cambia [D].</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Precios de cierre de cada ejercicio de Yahoo Finance [69]. Se excluye 2022: el beneficio contable lleva un cargo de 417 M USD antes de impuestos por la liquidación del plan de pensiones, fuera del resultado de explotación (BPA contable de 1,51 USD frente a 3,14 ajustado), y dispara el PER de ese año [2, 64]. Con el BPA ajustado que publica la empresa, el PER adelantado (cierre de cada año sobre el BPA del año siguiente) ha ido de 15,0 veces a final de 2022 a 27,3 a final de 2021, con una mediana de 18,0 en los últimos cinco cierres; hoy cotiza a unas 16,4 veces nuestro BPA de 2027 sin China [10, 14, 61, 62, 63, 64, 65, 78, 79]. El descuento frente a su historia refleja un crecimiento de beneficio casi nulo desde 2023 (3,81 USD ajustado en 2023, 3,42-3,52 sin China en 2026) y una tasa libre del 5 %, no un cambio del negocio de Norteamérica, cuyo margen sigue en el 23-24 % [19, 65].</w:t>
      </w:r>
    </w:p>
    <w:p>
      <w:pPr>
        <w:pStyle w:val="Heading1"/>
      </w:pPr>
      <w:r>
        <w:t xml:space="preserve">18. Comparables cotizados</w:t>
      </w:r>
    </w:p>
    <w:p>
      <w:pPr>
        <w:pStyle w:val="Confianza"/>
        <w:spacing w:after="100"/>
      </w:pPr>
      <w:r>
        <w:t xml:space="preserve">Confianza: Media</w:t>
      </w:r>
    </w:p>
    <w:p>
      <w:pPr>
        <w:spacing w:after="100"/>
      </w:pPr>
      <w:r>
        <w:t xml:space="preserve">Diez cotizadas de equipos de agua, calefacción y climatización para edificios. Calentadores y calderas: Rinnai y Ariston; climatización con peso en Norteamérica: Lennox y Carrier. Agua y fontanería: Watts, Zurn Elkay, Pentair, Franklin Electric, Masco y Fortune Brands. Rheem y Bradford White, los dos rivales directos en calentadores de EE. UU., no cotizan. Fuera Mueller Industries (tubo de cobre), Xylem y Mueller Water (redes municipales) y Fluidra (piscinas). Todas las cifras de Yahoo Finance con el cierre del 29-oct-2026 (Rinnai y Ariston, sesión del 30-oct, convertidas a USD al cambio de Yahoo) [77]: valor empresa con la deuda y la caja del último balance, EBITDA y ventas de los últimos 12 meses, y PER y ventas de los próximos 12 meses con el consenso de Yahoo (2/12 de 2026e y 10/12 de 2027e; Rinnai, con ejercicio a marzo, 5/12 y 7/12), que en EE. UU. es BPA ajustado, la misma base que el nuestro. ROIC: EBIT de 2025 después de impuestos sobre capital invertido de Yahoo. Sin EBITDA de consenso gratuito a la misma fecha, EV/EBITDA de los próximos 12 meses en blanco.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 O. Smith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Watts Water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Zurn Elkay Water Solutions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Pentair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Lennox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Carrier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Fortune Brands Innovations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Franklin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Rinnai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Ariston Holding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11,9x / 15,0x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 / 16,0x / 18,4x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 / 2,5x / 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Con la misma fuente, A. O. Smith cotiza a 11,6 veces el EBITDA de los últimos 12 meses y a 16,0 veces el BPA ajustado de los próximos 12 meses del consenso (que aún incluye China), justo en la mediana de los diez comparables (11,9 y 16,0 veces) [77]. Con nuestro BPA de 2027 sin China, 16,4 veces. La muestra se parte en tres grupos. Los especialistas de agua de EE. UU. (Watts, Zurn) cotizan a 22-25 veces el beneficio con un crecimiento esperado del 6-11 %; climatización y fontanería de EE. UU. (Lennox, Carrier, Masco, Franklin, Fortune Brands, Pentair) a 13-19 veces; Rinnai y Ariston, fuera de EE. UU. y con margen de un solo dígito alto o bajo, a 9-13 veces. A. O. Smith crece menos que casi todos (unos 4 % sin China), pero tiene uno de los márgenes más altos y un ROIC del 28 %, por detrás solo de Lennox y Masco, con deuda baja. El crecimiento de Pentair (18 %) lleva una compra; el de Ariston, la consolidación de compras. El múltiplo razonable es la mediana: la prima de Watts y Zurn paga un crecimiento que A. O. Smith no tiene.</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O. Smith China (81 %)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CPE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del 100 % del negocio de China de unos 400 M USD sin caja ni deuda, antes de las regalías por la marca; con ellas, más de 500 M [17, 34]. Sobre las ventas de China de 2025 (674,9 M) son 0,59 veces [19]. No se publica el EBITDA de China; con el beneficio neto que la empresa le atribuye en 2025 (60,4 M) son unas 6,6 veces, y unas 11 veces el de 2026 anualizado (0,20 USD por acción en nueve meses, unos 27,5 M; estimación propia) [19]. Es la venta de un negocio en declive (ventas −17 % en moneda local en el tercer trimestre) en otro mercado: se excluye del cálculo del valor de control.</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Leonard Valve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O. Smith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470 M USD en efectivo (cerrada el 6-ene-2026; 469,5 M pagados), unos 412 M netos del valor actual de las ventajas fiscales. La empresa publica unas 12 veces el EBITDA previsto de 2026 sobre el precio neto; sobre los 470 M del precio, 13,7 veces (estimación propia: 470 / (412 / 12)) [66, 82]. Control de temperatura y caudal de agua para edificios; la empresa preveía unos 70 M USD de ventas en 2026, de ahí 6,7 veces las ventas [1]; en nueve meses ha aportado 46,6 M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Bradley Corporation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Watts Water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303 M USD sobre unas ventas anuales de unos 200 M; 268 M netos de ventajas fiscales, que Watts sitúa por debajo de 8,0 veces el EBITDA ajustado proforma de 2023 con las sinergias de costes; sin múltiplo antes de sinergias [83]. Lavabos, duchas de emergencia y accesorios para baños comerciales.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Viessmann Climate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Carrier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12.000 M EUR en efectivo y acciones sobre unos 4.000 M EUR de ventas y unos 700 M de EBITDA previsto de 2023; Carrier publica unas 13 veces con sinergias. Convertido a USD con el BCE del 25-abr-2023 (1,1022) [84, 85]. Bombas de calor y calderas en Europa, en pleno auge de subvenciones: múltiplo de techo para calefacción.</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Evoqua Water Technologies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Xylem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Canje de acciones con un valor empresa implícito de unos 7.500 M USD, sobre ventas de 1.740 M y EBITDA ajustado de 297,7 M del ejercicio fiscal 2022 (septiembre) [86, 87]. Tratamiento de agua industrial con servicios recurrentes: se excluye del cálculo porque es otro negocio y su múltiplo duplica al resto.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CENTROTEC Climate Systems (Brötje, Wolf)</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Ariston Holding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703 M EUR en efectivo, sin caja ni deuda, más 41,42 M de acciones de Ariston, sobre ventas de 599 M EUR y EBITDA ajustado de 84,8 M en 2021; Ariston publica un múltiplo con sinergias (20-25 M EUR) por debajo de 10 veces, sin valor empresa total [88]. Calderas y bombas de calor en Alemania y Países Bajos.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Manitowoc Ice (de Welbilt)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Pentair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1.600 M USD sobre ventas de 308 M y un margen EBITDA de cerca del 30 % en 2021 (unos 92 M; estimación propia del EBITDA); neto de 220 M de ventajas fiscales, 1.380 M y unas 15,0 veces [89]. Equipos de agua para hostelería.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Elkay Manufacturing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Water Solutions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 en acciones valorado en 1.560 M USD al cierre del 11-feb-2022: 14,2 veces el EBITDA ajustado previsto para 2022 y 9,8 veces con las sinergias [90]. Fuentes de agua potable y fregaderos comerciales.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15,7x (14,1x – 17,2x)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81,88 – 99,91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cuatro operaciones de agua y calefacción para edificios con múltiplo pagaron entre 13,7 y 17,4 veces el EBITDA antes de sinergias, y entre 8 y 13 veces con las sinergias que publicaron los compradores [82, 83, 84, 89, 90]: el valor de control del sector queda por encima de las 11,6 veces a las que cotiza A. O. Smith. La venta de China a CPE va en sentido contrario, a unas 0,6 veces las ventas: es un negocio de consumo en declive en otro mercado y no sirve de referencia para el núcleo [17]. Una operación sobre A. O. Smith pasa por la familia Smith: la clase A, no cotizada y con voto reforzado, son 25,86 M de los 134,33 M de acciones [20]. Su tamaño, unos 9.000 M USD de valor empresa, está al alcance de los grandes de climatización y agua.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 proyección es la de la empresa que queda tras vender China, que pasa a actividades interrumpidas desde el cuarto trimestre [19, 20]. Por eso 2026e cae un 14,4 % frente a los 3.830 M de 2025 con China: es el punto medio de la guía sin China (3.280 M, +4 % sobre los 3.155 M de 2025 sin China) y queda fijo [19]. De 2027e a 2031e, 3,5-4,5 % al año: subidas de precio del 4-7 % (abril) y de hasta el 9,5 % en calentadores (diciembre) frente a un acero y unos fletes que suben a doble dígito, con un volumen residencial plano o algo negativo, calderas al alza (+13 % en el tercer trimestre) y la norma de eficiencia de 2029 [19, 20]. Sin China, el crecimiento orgánico de 2026 es del 1 % en Norteamérica [19]. El consenso con China da +3,7 % en 2027 [70].</w:t>
      </w:r>
    </w:p>
    <w:p>
      <w:pPr>
        <w:keepNext/>
        <w:spacing w:after="100"/>
      </w:pPr>
      <w:r>
        <w:rPr>
          <w:b/>
          <w:bCs/>
        </w:rPr>
        <w:t xml:space="preserve">Márgenes.</w:t>
      </w:r>
    </w:p>
    <w:p>
      <w:pPr>
        <w:spacing w:after="100"/>
      </w:pPr>
      <w:r>
        <w:t xml:space="preserve">Margen EBITDA del 22,4 % en 2026e sin China y sin los 22,6 M de reestructuración: sale de la guía de BPA ajustado (3,47 USD × 136,6 M de acciones, tipo del 23,5 %, unos 31 M de intereses y unos 84 M de amortización sin China; estimación propia) [19, 20]. En 2025 sin China fue de un 23,4 % (EBIT de 668,2 M que publica la empresa más unos 69 M de amortización) [1, 19]: 2026 baja por el acero y los fletes. Sube al 22,6 % en 2027e y al 23,0 % desde 2029e con los precios y los 6-8 M de ahorros del tratamiento de agua [20]. Norteamérica gana un 23,6-24,8 % de margen de segmento antes de gastos centrales [19]: no es un máximo nuevo.</w:t>
      </w:r>
    </w:p>
    <w:p>
      <w:pPr>
        <w:keepNext/>
        <w:spacing w:after="100"/>
      </w:pPr>
      <w:r>
        <w:rPr>
          <w:b/>
          <w:bCs/>
        </w:rPr>
        <w:t xml:space="preserve">Inversión y circulante.</w:t>
      </w:r>
    </w:p>
    <w:p>
      <w:pPr>
        <w:spacing w:after="100"/>
      </w:pPr>
      <w:r>
        <w:t xml:space="preserve">Capex del 2,0 % de las ventas en 2026e (33,2 M en nueve meses con China, guía anual de 70-80 M) que sube al 2,5 % en 2031e; la media de 2016-2025 está en el 2,2 % [1, 20]. La amortización sin China baja del 2,6 % al 2,4 %: de los 19,6 M del resto del mundo en 2025, unos 16 M son de China (estimación propia por sus activos fijos: 193,6 M de 778,4 M) y Leonard Valve suma intangibles [1]. En el último año el capex supera a la amortización. Circulante comercial del 14,0 % de las ventas (14,6 % en 2025 con China; 12,7-12,9 % en 2022-2024) [1]. Tipo impositivo del 23,5 %, el efectivo de 2023-2025 [1].</w:t>
      </w:r>
    </w:p>
    <w:p>
      <w:pPr>
        <w:keepNext/>
        <w:spacing w:after="100"/>
      </w:pPr>
      <w:r>
        <w:rPr>
          <w:b/>
          <w:bCs/>
        </w:rPr>
        <w:t xml:space="preserve">Coste del capital.</w:t>
      </w:r>
    </w:p>
    <w:p>
      <w:pPr>
        <w:spacing w:after="100"/>
      </w:pPr>
      <w:r>
        <w:t xml:space="preserve">Tasa libre del 4,98 %, el Tesoro a 10 años del 29-oct-2026 [74]. Beta de 1,03: la mensual a 5 años ajustada frente al S&amp;P 500 (1,04 sin ajustar; semanal 0,85 a 5 años y 0,58 a 2 años) [69], igual que la de Damodaran de materiales de construcción reapalancada (1,02) [76]. Prima de mercado del 5,5 %. Coste de la deuda del 5,7 %: el préstamo de 470 M cuesta SOFR + 0,88 (4,56 % en el tercer trimestre), pero es variable y vence en 2029; como coste a largo plazo, el Tesoro más 0,7 puntos (estimación propia para un emisor sin rating publicado y 0,6 veces de deuda neta sobre EBITDA) [20]. Peso de la deuda a mercado del 7,3 %: 673,1 M sobre 673,1 M más 8.528 M de capitalización (134,33 M de acciones) [19, 20].</w:t>
      </w:r>
    </w:p>
    <w:p>
      <w:pPr>
        <w:keepNext/>
        <w:spacing w:after="100"/>
      </w:pPr>
      <w:r>
        <w:rPr>
          <w:b/>
          <w:bCs/>
        </w:rPr>
        <w:t xml:space="preserve">Valor terminal.</w:t>
      </w:r>
    </w:p>
    <w:p>
      <w:pPr>
        <w:spacing w:after="100"/>
      </w:pPr>
      <w:r>
        <w:t xml:space="preserve">Crecimiento a perpetuidad del 3,0 %: inflación esperada en dólares de unos 2,5 % y medio punto real, por debajo de la tasa libre menos medio punto (4,48 %). Coherente con un mercado de reposición (80-85 % de las ventas) que crece en volumen con el parque de viviendas y en valor con el precio y la eficiencia [34]. Como contraste, un múltiplo de salida de 11,0 veces el EBITDA, algo por debajo de la mediana de los comparables a 12 meses (11,9 veces) [77].</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M (-0 %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 (reinvierte el 15 %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 (histórico: 32,5 %)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frente al 1,2 %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-12 M, con un capex bruto medio del 2,3 % de las ventas). En un negocio de activos ligeros, el crecimiento medio del 1,2 %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China (−17,6 puntos: 674,9 M de 3.830 M) y Leonard Valve (+1,6 puntos, unos 62 M en el año) [19, 20]; en Norteamérica, precio de las subidas de abril y volumen residencial a la baja (−1 % en calentadores en el tercer trimestre) [20].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hasta el 9,5 % en calentadores desde diciembre de 2026, que en parte se comerá el acero [20]; volumen residencial plano y calderas e India al alza; otros, tratamiento de agua y Leonard Valve [19, 20].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en línea con la historia (2-3 % al año) y algo de recuperación de volumen comercial tras el retraso de la norma de gas del Departamento de Energía [20].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Norma de eficiencia de calentadores residenciales de 2029, que sube el precio medio por la mezcla hacia bombas de calor [1].</w:t>
            </w:r>
          </w:p>
        </w:tc>
      </w:tr>
    </w:tbl>
    <w:p>
      <w:pPr>
        <w:spacing w:after="160" w:before="0"/>
      </w:pPr>
    </w:p>
    <w:p>
      <w:pPr>
        <w:spacing w:after="100"/>
      </w:pPr>
      <w:r>
        <w:t xml:space="preserve">El crecimiento proyectado (4 % al año) sale sobre todo del precio, no de ganar cuota: A. O. Smith lleva décadas subiendo precios en un mercado de reposición con tres fabricantes, y en 2026 ha subido dos veces (4-7 % y hasta 9,5 %) [20]. Necesita poca inversión neta: capex del 2-2,5 % de las ventas y circulante del 14 %, con un ROIC de cerca del 28 % [1, 77]. La cuota publicada es de calentadores en EE. UU. y no del grupo, por eso el mercado final va en blanco y la prueba de cuota se hace aparte: con un volumen plano, la cuota no sube. El riesgo está en el margen (acero y fletes), no en el crecimiento.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 (base: 3,8 %)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25,7 % (base: 23,0 %)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 (WACC: 10,2 %)</w:t>
            </w:r>
          </w:p>
        </w:tc>
      </w:tr>
    </w:tbl>
    <w:p>
      <w:pPr>
        <w:spacing w:after="160" w:before="0"/>
      </w:pPr>
    </w:p>
    <w:p>
      <w:pPr>
        <w:spacing w:after="100"/>
      </w:pPr>
      <w:r>
        <w:t xml:space="preserve">El DCF da 56,07 USD por acción, un 11,7 % por debajo del cierre del 29-oct (63,49), con un WACC del 10,19 % (bono de EE. UU. al 4,98 %) y un 65 % del valor en el terminal; incluye unos 3,3 USD por acción de China por el valor de la operación. Con la prima de riesgo que hoy pide el mercado (4,20 %) sale 67,56 USD (+6,4 %). El DCF inverso dice que a 63,49 USD el mercado descuenta un crecimiento del 7,0 % anual en 2027e-2032e, casi el doble del 3,8 % de nuestro caso base (o un margen del 25,7 % frente al 23,0 %): con nuestro WACC el precio no es barato.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vivienda en EE. UU. cae en 2027, el acero y los fletes se comen las subidas de precio y el margen vuelve al de 2019-2020: crecimiento 3 puntos menor y margen 1,5 puntos menor que en el caso base, con un terminal del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China, ventas de 3.279 M en 2026e y +4 % al año después (precio y calderas), con el margen EBITDA del 22,4 % al 23,0 %; el dinero de la venta va a recompras.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subidas de precio se quedan, el volumen residencial vuelve y las calderas y el tratamiento de agua crecen más: crecimiento 2 puntos mayor y un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63,4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55,01 USD (-13,4 %).</w:t>
      </w:r>
    </w:p>
    <w:p>
      <w:pPr>
        <w:spacing w:after="100"/>
      </w:pPr>
      <w:r>
        <w:t xml:space="preserve">En el DCF el bajista (44,10 USD, −30,5 %) pesa mucho más que el alcista (63,78 USD, +0,5 %): con un WACC del 10,2 % el precio ya está por encima del caso alcista. En el objetivo a 12 meses es al revés (bajista −20,7 %, alcista +52,5 %), porque ahí el múltiplo de partida es el PER de hoy.</w:t>
      </w:r>
    </w:p>
    <w:p>
      <w:pPr>
        <w:pStyle w:val="Heading1"/>
      </w:pPr>
      <w:r>
        <w:t xml:space="preserve">22. Suma de partes</w:t>
      </w:r>
    </w:p>
    <w:p>
      <w:pPr>
        <w:pStyle w:val="Confianza"/>
        <w:spacing w:after="100"/>
      </w:pPr>
      <w:r>
        <w:t xml:space="preserve">Confianza: Media</w:t>
      </w:r>
    </w:p>
    <w:p>
      <w:pPr>
        <w:spacing w:after="100"/>
      </w:pPr>
      <w:r>
        <w:t xml:space="preserve">No aplica a la empresa que queda: Norteamérica es el 94 % de las ventas sin China. China, en venta, entra en el puente por el valor de la operación (en asociadas) [D].</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63,4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58,07 USD (-8,5 % sobre 63,49).</w:t>
      </w:r>
    </w:p>
    <w:p>
      <w:pPr>
        <w:spacing w:after="100"/>
      </w:pPr>
      <w:r>
        <w:t xml:space="preserve">Pesos: DCF 50 %, comparables 30 % y escenarios 20 %. Valor intrínseco de 58,07 USD (−8,5 %). La rentabilidad a 12 meses (regla v3) es buena, +17,9 % ponderado y +19,8 % en el caso base, y la v2 da +17,3 %; pero el valor intrínseco queda por debajo del precio, así que la regla da Mantener. Con un BPA un 10 % peor la rentabilidad baja al +6,3 %. La calidad es completa: ROIC del 30,7 % frente a un WACC del 10,2 % (20,5 puntos) y sostenibilidad «Sí».</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(16.4x) a mitad de camino hacia la mediana de 5 años (18x)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95,40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+52,5 %</w:t>
            </w:r>
          </w:p>
        </w:tc>
      </w:tr>
    </w:tbl>
    <w:p>
      <w:pPr>
        <w:spacing w:after="160" w:before="0"/>
      </w:pPr>
    </w:p>
    <w:p>
      <w:pPr>
        <w:spacing w:after="100"/>
      </w:pPr>
      <w:r>
        <w:rPr>
          <w:b/>
          <w:bCs/>
        </w:rPr>
        <w:t xml:space="preserve">Objetivo a 12 meses (ponderado):</w:t>
      </w:r>
      <w:r>
        <w:t xml:space="preserve"> 73,40 USD · rentabilidad +17,9 % (base +19,8 %) · señal Mantener.</w:t>
      </w:r>
    </w:p>
    <w:p>
      <w:pPr>
        <w:spacing w:after="100"/>
      </w:pPr>
      <w:r>
        <w:t xml:space="preserve">Para comparar, con la regla v2 (historia al cierre, mismo precio): 13,9x / 16,4x / 21,0x, 17,3 %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El consenso (Yahoo y MarketBeat, 29-oct) sigue con China: 3,72 USD de BPA en 2026e y 4,03 en 2027e, frente a la guía sin China de 3,42-3,52 para 2026. Nuestro BPA de 2027e sin China (3,86) no es comparable con el suyo hasta que lo revisen [D].</w:t>
      </w:r>
    </w:p>
    <w:p>
      <w:pPr>
        <w:keepNext/>
        <w:spacing w:after="100"/>
      </w:pPr>
      <w:r>
        <w:rPr>
          <w:b/>
          <w:bCs/>
        </w:rPr>
        <w:t xml:space="preserve">Del valor intrínseco al objetivo a 12 meses.</w:t>
      </w:r>
    </w:p>
    <w:p>
      <w:pPr>
        <w:spacing w:after="100"/>
      </w:pPr>
      <w:r>
        <w:t xml:space="preserve">El objetivo ponderado (73,40 USD; base 74,65) usa en el caso base un PER de 17,2 veces (el actual de 16,4 con la regla, hacia la mediana adelantada de 18,0) sobre un BPA de 2028e sin China de 4,34 USD, un 25 % por encima de la guía de 2026 (3,42-3,52): crecimiento del 4 % en ventas, algo más de margen, la renta del 19 % y las regalías de China, y unos 5,7 M de acciones menos con el dinero de la venta. Con la historia al cierre (v2), +17,3 % ponderado y +14,4 % en el base. El objetivo de los analistas (66,20 USD) aún es con China.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ene-2027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guía de 2027 sin China y segmentos nuevos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completa de la empresa que queda; reexpresión de los años anteriores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del 81 % de China (aprobaciones)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350 M USD netos para recompras (≈4 % del capital)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precios de hasta el 9,5 % en calentadores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Defiende el margen frente al acero y los fletes; la competencia anuncia lo mismo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Revisión del consenso al perímetro sin China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de 2026e de 3,72 con China frente a una guía de 3,42-3,52 sin ella: los recortes son de perímetro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Vivienda y reposición en EE. UU.: mercado residencial con caída de un dígito bajo en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(bajista del objetivo a 12 meses: 48,91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85 % de los calentadores es reposición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Envíos de la AHRI a la baja otro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Acero y fletes (+10 % cada uno) y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en diciembre en todo el sector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Norteamérica por debajo del 22 %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 China: aprobaciones, impuesto y costes que se quedan sin cuantificar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−3 % (≈3,3 USD por acción en el puente)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Comprador con financiación y acuerdo firmado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 del cierre más allá del 1S27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que rinden menos de lo previsto (Leonard Valve: 55 M de ventas frente a 70 M esperados)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baja (0,6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del fondo de comercio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la familia controla el consejo con la clase A (6 de 10 consejeros)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Descuento de múltiplo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 de dividendo y recompras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en contra altos a consejeros (52 % a uno en 2026)</w:t>
            </w:r>
          </w:p>
        </w:tc>
      </w:tr>
    </w:tbl>
    <w:p>
      <w:pPr>
        <w:spacing w:after="160" w:before="0"/>
      </w:pPr>
    </w:p>
    <w:p>
      <w:pPr>
        <w:pStyle w:val="Heading2"/>
      </w:pPr>
      <w:r>
        <w:t xml:space="preserve">Pre-mortem</w:t>
      </w:r>
    </w:p>
    <w:p>
      <w:pPr>
        <w:spacing w:after="100"/>
      </w:pPr>
      <w:r>
        <w:t xml:space="preserve">Octubre de 2027: la acción vale 48 USD. La vivienda en EE. UU. siguió cayendo, el acero se comió la subida de precios y el BPA de 2027 sin China se quedó en 3,40 USD; el mercado pagó 14 veces. La señal: el margen de Norteamérica del 4T26 y del 1T27 por debajo del 22 %.</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Neutral · </w:t>
      </w:r>
      <w:r>
        <w:rPr>
          <w:b/>
          <w:bCs/>
        </w:rPr>
        <w:t xml:space="preserve">Efecto en valor (3-5 años):</w:t>
      </w:r>
      <w:r>
        <w:t xml:space="preserve"> Ninguno apreciable</w:t>
      </w:r>
    </w:p>
    <w:p>
      <w:pPr>
        <w:spacing w:after="100"/>
      </w:pPr>
      <w:r>
        <w:t xml:space="preserve">Calentadores, calderas y tratamiento de agua no dependen de la inteligencia artificial; el efecto posible es indirecto (consumo eléctrico y obra de centros de datos) y pequeño para la empresa [B].</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para AOS es la eficiencia de sus productos en uso, no sus fábricas: la norma residencial del DOE ahorrará según el regulador 332 Mt de CO₂ acumuladas, con un sobrecoste de equipos de ≈ 2.623 M USD al año que trasladan los fabricantes [26]. Las prohibiciones del gas en obra nueva desplazan demanda a eléctricos y bombas de calor, que AOS fabrica [1], aunque en EE. UU. el péndulo regulatorio va al revés: el Congreso anuló la norma de instantáneos de gas y el crédito 25C desapareció en 2026 [28, 39]. En sus operaciones, cumplió el objetivo de reducir un 10 % la intensidad de gases de efecto invernadero entre 2019 y 2025 [1]. En tratamiento de agua, las normas sobre PFAS y plomo son una oportunidad de demanda [1]. En gobierno, la familia Smith controla el 67,8 % del voto con acciones de clase A [1].</w:t>
      </w:r>
    </w:p>
    <w:p>
      <w:pPr>
        <w:pStyle w:val="Heading2"/>
      </w:pPr>
      <w:r>
        <w:t xml:space="preserve">Controversias</w:t>
      </w:r>
    </w:p>
    <w:p>
      <w:pPr>
        <w:spacing w:after="100"/>
      </w:pPr>
      <w:r>
        <w:t xml:space="preserve">No constan sanciones ni litigios materiales en los últimos tres años. AOS tiene pleitos ordinarios por responsabilidad de producto (reserva de 26,6 M USD a cierre de 2025, con seguro de 125 M USD por encima de 7,5 M por siniestro), exposición al amianto y lugares contaminados donde figura como parte responsable, y declara que ninguno es material [1]. La provisión de garantías subió de 190,4 a 209,7 M USD en 2025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impuesto y qué costes deja la venta y cuánto llega neto a recompras?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vale unos 3,3 USD por acción en el puente [D].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EBIT real sin China, restando su EBIT y no su beneficio neto?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del 21 % puede estar inflado [A].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 subida del 9,5 % de diciembre se queda tras los descuentos?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margen de 2027 [B].</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Leonard Valve vende 55 M y no 70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de la mayor compra reciente [A].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colaboradores y noticias del valor)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artículos de opinión del verano van de la cautela («China y demanda débil», junio) a la tesis de suelo de beneficios y valoración atractiva (septiembre), con otro que ve resiliencia por la reposición pero problemas a corto plazo. La venta de China y los resultados del 3T26 se reciben como simplificación del negocio, con ventas por debajo de lo esperado y beneficio ajustado por encima [91].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Corriente de particulares mayoritariamente alcista desde mayo (compras en los mínimos, «barata», «suelo»), con alguna voz que temía una caída tras resultados por exceso de problemas. Tras el 3T26 la duda más repetida es si la nueva guía sin China implica que este año no crece el beneficio [92].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 vía Yahoo Finanzas)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narrativa más seguida pone el valor razonable por debajo de la cotización y habla de poco margen de seguridad; otra pieza recoge que los analistas se vuelven más prudentes por acero, tipos y China, aunque el PER queda por debajo del sector [93, 94].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Insider Monkey (comentario para inversores de dividendo)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 el dividendo sostenible por el pago moderado y la caja, pero duda de que el beneficio crezca lo bastante para compensar la compresión de múltiplos con China y la vivienda de EE. UU. flojas [95].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 (titulares y opinión agregada)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Octubre mezcla rebajas de recomendación y de precio objetivo (Stifel a mantener, Longbow, Goldman con objetivo menor) con titulares positivos sobre la venta de China, la subida del dividendo y una subida de la acción el día de resultados por el beneficio mejor de lo esperado [72].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del 81 % de China: simplificación y caja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gente y la prensa la leen como quitarse el lastre que hundía el resto del mundo y como dinero para el accionista [72, 91]. Tiene razón en el fondo, pero el precio, el uso del dinero y el efecto en ventas y BPA hay que tomarlos del 8-K y del 10-Q (secciones de negocio y capital), no de los titulares; el 19 % retenido y la licencia de marca dejan algo de exposición a China.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2026 sin China: ¿se acaba el crecimiento?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Stocktwits se compara la guía nueva sin China con la anterior con China y se concluye que el beneficio no crece [92]. Es en buena parte un cambio de perímetro: la comparación correcta es con la base sin China, que el informe separa en financieros y trimestres. Si la base comparable también cae, la preocupación sí está justificada.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o trampa de valor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la ven barata tras un año de caída y algunos la tratan como refugio [92]; la narrativa más seguida de Simply Wall St la ve algo cara y el comentario de dividendo atribuye el descuento a menor crecimiento, no a un error del mercado [94, 95]. La respuesta está en el DCF, los múltiplos históricos y los comparables del informe, no en el foro.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residencial de calentadores en EE. UU.</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que la vivienda y la reposición flojas frenan los volúmenes y que solo calderas, precios y la compra de Leonard Valve sostienen Norteamérica [72, 91, 95]. Es coherente con la composición del crecimiento del 3T26; los trimestres del informe dicen cuánto es volumen y cuánto precio o adquisición.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Acero, tipos y aranceles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razón de las rebajas de analistas de octubre (Stifel, Goldman) [72, 93], más que de los particulares, que apenas lo mencionan [92]. La empresa ha trasladado subidas de costes con precio en el pasado; el riesgo es de márgenes si la demanda no acompaña, y va en la sección de riesgos.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subida del dividendo de octubre y la larga racha de aumentos se citan como apoyo, y la venta de China se lee como más recompras [72, 95]. El pago sobre beneficio es moderado y la caja libre lo cubre; el informe debe confirmar en capital cuánto del dinero de China va al accionista y cuánto a deuda tras Leonard Valve.</w:t>
            </w:r>
          </w:p>
        </w:tc>
      </w:tr>
    </w:tbl>
    <w:p>
      <w:pPr>
        <w:spacing w:after="160" w:before="0"/>
      </w:pPr>
    </w:p>
    <w:p>
      <w:pPr>
        <w:spacing w:after="100"/>
      </w:pPr>
      <w:r>
        <w:t xml:space="preserve">El sentimiento no es extremo: no hay euforia ni capitulación. Los particulares llevan desde mayo comprando en mínimos y la venta de China les da la razón a corto plazo, mientras que los analistas se volvieron más prudentes en octubre (acero, tipos, China), justo antes de la noticia. Esa divergencia es el dato útil: si la base sin China crece, el consenso de analistas tiene recorrido al alza y la subida del último mes puede seguir; si no, la lectura de «trampa de valor» se impone. El foro anticipa el debate de 2027: la confusión entre guía con y sin China. No aporta ningún riesgo que el análisis no recoja; sí avisa de que la mejora del tono depende de que la venta se cierre en plazo.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95 (64 primarias); citas distintas en el texto: 95.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14,0 % frente a 14,6 % real: genera una variación de circulante de -98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95 fuentes (64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de China por año (2023-2024 y 9M26 en millones)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Form 10-K 2025, nota de segmentos: solo ventas de China, el resultado va dentro de Rest of World; 2) presentación de la venta a CPE (anexo 99.2) y nota del 3T26: solo el beneficio neto de 2025 (60,4 M) y el BPA de 2025 y de los 9M26; 3) transcripción de la conferencia del 3T26: la dirección no lo desglosa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AOS en calentadores de agua de EE. UU. (residencial y comercial)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10-Q del 3T26 y presentación de la venta de China: solo «cuota líder», sin cifra; 2) 10-K de 2010 y norma del DOE de 2024 (el análisis de fabricantes solo dice que los entrevistados suman ≈ 84 % de las ventas, sin reparto); 3) búsqueda de estimaciones de terceros (Arizton, GMI): ninguna publica cuotas por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conjunta de los cinco primeros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AOS (solo nombra competidores); 2) norma del DOE de 2024 (analiza la industria sin cuotas por empresa); 3) resúmenes públicos de Arizton y GMI: nombran a los grandes sin porcentajes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Envíos AHRI de 2022 en la 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PDF de diciembre de 2022 en ahrinet.org/sites/default/files (404 con tres nombres distintos); 2) misma nota en ahrinet.org/system/files (403); 3) nota de diciembre de 2023, que traería 2022 como comparación (404)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 Rheem y Bradford White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corporativa de Paloma (solo ventas de 2021); 2) búsqueda de cifras de Paloma Rheem de 2025 (solo fuentes de asesores sin documento); 3) búsqueda de Bradford White (privada, sin cuentas publicadas)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web de calificaciones MSCI, Sustainalytics y CDP; 2) ficha de Sustainalytics de la empresa (sin datos sin JavaScript); 3) 10-K 2025 (remite al informe de sostenibilidad sin calificaciones externas)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final para la prueba de cuota (dcf.sostenibilidad.mercado_final)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AHRI: solo unidades de calentadores de acumulación, sin valor ni instantáneos; 2) Arizton: 3.450 M USD en 2023, incompatible con las ventas de AOS; 3) sin cuota publicada de AOS no hay perímetro común con competencia.cuota_pct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la prueba de cuota se hace a mano con unidades AHRI y la cuota que la empresa dice mantener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BPA, ventas y EBITDA sin China (tras la venta)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Finance (earningsTrend, 29-oct): sigue con ventas de 3.886 M en 2026, con China; 2) MarketBeat (página de resultados, 30-oct): FY2026 de 3,90 con 8 analistas, de antes de julio; 3) MarketScreener: sus datos son del 8-oct y tarda días en actualizar; se usa el consenso con China y se dice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Causa de la subida del 22-oct-2026 (+4,7 %)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MarketBeat, noticias de AOS de octubre: nada ese día; 2) búsqueda web de la subida del 22-oct; 3) Yahoo, historial de recomendaciones: ningún cambio ese día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Impuesto de la venta de China y base fiscal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y presentación del 27-oct (solo «after-tax proceeds»); 2) 10-Q del tercer trimestre, nota 16 de hechos posteriores: no lo da; 3) se supone un 10 % de los 324 M (estimación propia)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Comentarios de lectores de Seeking Alpha y Reddit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Páginas de artículos de Seeking Alpha: bloqueo antirrobots (403); 2) Stockchase: sin ficha de AOS (redirige al índice); 3) Motley Fool, índices de ago-oct 2026: solo transcripciones de las conferencias, sin artículos de opinión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O. Smith,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https://www.sec.gov/Archives/edgar/data/91142/000009114226000008/aos-20251231.htm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O. Smith,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https://www.sec.gov/Archives/edgar/data/91142/000009114224000041/aos-20231231.htm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Form 10-K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https://www.sec.gov/Archives/edgar/data/91142/000009114222000028/aos-20211231.htm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Form 10-K del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https://www.sec.gov/Archives/edgar/data/91142/000119312520046736/d846284d10k.htm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Form 10-K del ejercicio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https://www.sec.gov/Archives/edgar/data/91142/000119312519042339/d678397d10k.htm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https://www.sec.gov/Archives/edgar/data/91142/000009114226000098/aos-20260630.htm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datos XBRL de los estados financieros (companyfacts, CIK 0000091142)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https://data.sec.gov/api/xbrl/companyfacts/CIK0000091142.json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Form 8-K: contrato de préstamo a plazo de 470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https://www.sec.gov/Archives/edgar/data/91142/000009114226000003/aos-20260105.htm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3T24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https://www.sec.gov/Archives/edgar/data/91142/000009114224000169/a9302024exhibit991.htm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4T24 y del ejercicio 2024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https://www.sec.gov/Archives/edgar/data/91142/000009114225000002/a12312024exhibit991.htm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1T25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https://www.sec.gov/Archives/edgar/data/91142/000009114225000073/a3312025exhibit991.htm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2T25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https://www.sec.gov/Archives/edgar/data/91142/000009114225000098/a6302025exhibit991.htm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3T25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https://www.sec.gov/Archives/edgar/data/91142/000009114225000148/a9302025exhibit991.htm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4T25 y del ejercicio 2025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https://www.sec.gov/Archives/edgar/data/91142/000009114226000005/a12312025exhibit991.htm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1T26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https://www.sec.gov/Archives/edgar/data/91142/000009114226000082/a3312026exhibit991.htm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2T26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https://www.sec.gov/Archives/edgar/data/91142/000009114226000096/a6302026exhibit991.htm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Form 8-K: acuerdo con CPE para vender el 81 % del negocio de China (nota de prensa, anexo 99.1, y presentación,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https://www.sec.gov/Archives/edgar/data/91142/000009114226000100/a10272026exhibit991.htm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(AOS): historial de resultados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https://www.marketbeat.com/stocks/NYSE/AOS/earnings/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nota de resultados del 3T26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https://www.sec.gov/Archives/edgar/data/91142/000009114226000102/a9302026exhibit991.htm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Form 10-Q del tercer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https://www.sec.gov/Archives/edgar/data/91142/000009114226000104/aos-20260930.htm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(AOS), transcripción de la conferencia de resultados del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https://www.fool.com/earnings/call-transcripts/2026/10/29/a-o-smith-aos-q3-2026-earnings-call-transcript/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tercer trimestre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https://www.sec.gov/Archives/edgar/data/91142/000009114225000150/aos-20250930.htm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December 2025 Statistical Release (envíos de calentadores de agua)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AHRI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https://www.ahrinet.org/sites/default/files/2026-02/December2025StatisticalRelease.pdf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August 2026 Statistical Release (envíos de calentadores de agua)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AHRI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https://www.ahrinet.org/sites/default/files/2026-10/August2026StatisticalRelease.pdf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December 2021 Statistical Release (envíos de calentadores de agua)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AHRI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https://www.ahrinet.org/sites/default/files/2023-02/December2021Stats.pdf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Conservation Standards for Consumer Water Heaters, final rule (89 FR 37778)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Energy, Federal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https://www.govinfo.gov/content/pkg/FR-2024-05-06/pdf/2024-09209.pdf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Energy Delays Enforcement of Commercial Water Heater Efficiency Standards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PHCC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https://www.phccweb.org/news/u-s-department-of-energy-delays-enforcement-of-commercial-water-heater-efficiency-standards/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FAQs for modification of sections 25C, 25D, 25E, 30C, 30D, 45L, 45W and 179D under Public Law 119-21 (One Big Beautiful Bill Act), FS-2025-05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Internal Revenue Service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https://www.irs.gov/newsroom/faqs-for-modification-of-sections-25c-25d-25e-30c-30d-45l-45w-and-179d-under-public-law-119-21-139-stat-72-july-4-2025-commonly-known-as-the-one-big-beautiful-bill-act-obbb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Water Heater Market Projected to Reach $5.08 Billion by 2029 (Arizton, Research and Markets)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Contractor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https://www.contractormag.com/construction-data/article/55039925/us-water-heater-market-projected-to-reach-508-billion-by-2029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Consumer Water Heaters: rulemakings and notices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Energy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https://www.energy.gov/cmei/buildings/consumer-water-heaters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Ariston Group FY 2025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Ariston Holding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https://www.aristongroup.com/content/dam/aristoninvestors/documents/press-releases/20260303%20PR%20-%20Ariston%20FY%202025%20Results_EN%20.pdf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de Watts Water Technologies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https://www.sec.gov/Archives/edgar/data/795403/000110465926018541/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de Pentair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plc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https://www.sec.gov/Archives/edgar/data/77360/000007736026000007/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CPE to Acquire Majority Interest in China Business, presentación (8-K,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https://www.sec.gov/Archives/edgar/data/91142/000009114226000100/cpetoacquiremajorityinte.htm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Rinnai Corporation (TYO:5947), income statement anual y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https://stockanalysis.com/quote/tyo/5947/financials/income-statement/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Paloma, General information (company outline)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Paloma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https://www.palomaglobal.com/company/outline.html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JPY y KRW), 31-12-2025 y 31-03-2026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https://data-api.ecb.europa.eu/service/data/EXR/D.USD+JPY+KRW.EUR.SP00.A?startPeriod=2025-12-30&amp;endPeriod=2026-03-31&amp;format=csvdata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History Timeline (actualizada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https://www.aosmith.com/on/demandware.static/-/Sites-aosmith-Library/default/dwcde6a190/pdf/about/History%20Timeline_updated%202024.pdf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 Trump Signs Joint Resolution to Disapprove DOE Energy Standards for Gas-Burning Consumer Water Heaters (H.J. Res. 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Sabin Center, Columbia Law School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https://climate.law.columbia.edu/content/president-trump-signs-joint-resolution-disapprove-doe-energy-standards-gas-burning-consumer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DOE Seeks Comment on Petition to Amend Furnace and Water Heater Standards Compliance Timelines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Sabin Center, Columbia Law School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https://climate.law.columbia.edu/content/doe-seeks-comment-petition-amend-furnace-and-water-heater-standards-compliance-timelines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Reports Third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plc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https://www.sec.gov/Archives/edgar/data/77360/000007736026000055/q32026pressrelease.htm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Technologies Reports Record Second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https://www.sec.gov/Archives/edgar/data/795403/000110465926091165/wts-20260805xex99d1.htm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Noritz Corporation (TYO:5943),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https://stockanalysis.com/quote/tyo/5943/financials/income-statement/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Kyung Dong Navien (KRX:009450),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https://stockanalysis.com/quote/krx/009450/financials/income-statement/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Retail Sales of Consumer Goods from January to September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Bureau of Statistics of China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https://www.stats.gov.cn/english/PressRelease/202610/t20261020_1965662.html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Analysis: As Trade-In Subsidies Fade, China Bets on Services to Keep Consumers Spending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Caixin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https://www.caixinglobal.com/2026-08-05/analysis-as-trade-in-subsidies-fade-china-bets-on-services-to-keep-consumers-spending-102471533.html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https://www.sec.gov/Archives/edgar/data/91142/000119312526089938/d79196ddef14a.htm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2025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https://www.sec.gov/Archives/edgar/data/91142/000119312525037641/d897404ddef14a.htm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13-abr-26 (Item 5.07 y 8.01)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https://www.sec.gov/Archives/edgar/data/91142/000009114226000078/aos-20260413.htm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8-abr-25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https://www.sec.gov/Archives/edgar/data/91142/000009114225000069/aos-20250408.htm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9-abr-24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https://www.sec.gov/Archives/edgar/data/91142/000009114224000128/aos-20240409.htm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Kevin Wheeler pasa a presidente ejecutivo y Stephen Shafer, a primer ejecutivo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https://www.sec.gov/Archives/edgar/data/91142/000009114225000071/a04252025exhibit991.htm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Kevin Wheeler se retira como presidente ejecutivo; Stephen Shafer, presidente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https://www.sec.gov/Archives/edgar/data/91142/000009114226000091/a06222026exhibit991.htm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Carrie Anderson como directora financiera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https://www.sec.gov/Archives/edgar/data/91142/000009114226000086/aos-20260519.htm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cambios en secretaría general y desarrollo corporativo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https://www.sec.gov/Archives/edgar/data/91142/000009114225000112/aos-20250828.htm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State Street Corporation sobre A. O. Smith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https://www.sec.gov/Archives/edgar/data/91142/000009375126000017/primary_doc.xml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FMR LLC sobre A. O. Smith (posición a 31-jul-26)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https://www.sec.gov/Archives/edgar/data/91142/000031506626002247/primary_doc.xml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Portfolio Management sobre A. O. Smith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https://www.sec.gov/Archives/edgar/data/91142/000210012126000060/primary_doc.xml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A. O. Smith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https://www.sec.gov/Archives/edgar/data/91142/000210011926000101/primary_doc.xml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A. O. Smith (posición a 13-mar-26)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https://www.sec.gov/Archives/edgar/data/91142/000010290926000358/primary_doc.xml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2019 y guía de 2020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https://www.sec.gov/Archives/edgar/data/91142/000119312520015988/d876025dex991.htm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2020 y guía de 2021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https://www.sec.gov/Archives/edgar/data/91142/000009114221000003/a1282021exhibit991.htm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2021 y guía de 2022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https://www.sec.gov/Archives/edgar/data/91142/000009114222000004/a12312021exhibit991.htm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2022 y guía de 2023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https://www.sec.gov/Archives/edgar/data/91142/000009114223000003/a12312022exhibit991.htm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2023 y guía de 2024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https://www.sec.gov/Archives/edgar/data/91142/000009114224000004/a12312023exhibit991.htm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completa la compra de Leonard Valve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https://www.sec.gov/Archives/edgar/data/91142/000009114226000003/a01062026exhibit991.htm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A. O. Smith presentados del 1-oct-25 al 30-oct-26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https://www.sec.gov/cgi-bin/browse-edgar?action=getcompany&amp;CIK=0000091142&amp;type=4&amp;dateb=&amp;owner=include&amp;count=40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4/A de Darrell W. Schuh: la operación del 13-feb-26 era retención fiscal, no venta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https://www.sec.gov/Archives/edgar/data/91142/000009114226000064/wk-form4a_1772655255.xml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AOS, SPY y XLI hasta el 29-oct-2026 (bolsa.mjs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https://finance.yahoo.com/quote/AOS/history/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(AOS): estimaciones de BPA y ventas, tendencia, recomendaciones, objetivos, cambios de recomendación y posición corta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https://finance.yahoo.com/quote/AOS/analysis/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(AOS)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https://www.marketbeat.com/stocks/NYSE/AOS/forecast/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(AOS) news today: why is A. O. Smith up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https://www.marketbeat.com/stocks/NYSE/AOS/news/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previsiones financieras 2023-2028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https://www.marketscreener.com/quote/stock/A-O-SMITH-CORPORATION-40311155/finances/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4,98 % el 29-oct)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de 2026 (betas.xls)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https://pages.stern.nyu.edu/~adamodar/pc/datasets/betas.xls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balance, cuentas de los últimos 12 meses y consenso de WTS, ZWS, PNR, LII, CARR, MAS, FBIN, FELE, 5947.T, ARIS.MI y AOS (quoteSummary y fundamentals)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https://finance.yahoo.com/quote/WTS/key-statistics/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reports 2017 results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https://www.sec.gov/Archives/edgar/data/91142/000119312518024390/d501580dex991.htm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reports 2018 results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https://www.sec.gov/Archives/edgar/data/91142/000119312519019744/d689645dex991.htm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stock: Stifel downgrade and 2026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Modeling Prep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https://site.financialmodelingprep.com/market-news/a-o-smith-stock-stifel-downgrade-2026-outlook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A. O. Smith (AOS) stock is trading up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 (StockStory)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https://www.barchart.com/story/news/2633286/why-a-o-smith-aos-stock-is-trading-up-today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announces agreement to acquire Leonard Valve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https://www.sec.gov/Archives/edgar/data/91142/000009114225000153/a11122025exhibit991.htm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Technologies Inc. to acquire Bradley Corporation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Technologies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https://www.sec.gov/Archives/edgar/data/795403/000155837023015442/wts-20230830xex99d1.htm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announces portfolio transformation to create global leader in intelligent climate and energy solutions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https://www.sec.gov/Archives/edgar/data/1783180/000095014223001199/eh230352694_ex9901.htm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dólar/euro, sep-2022 a abr-2023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https://data-api.ecb.europa.eu/service/data/EXR/D.USD.EUR.SP00.A?startPeriod=2022-09-12&amp;endPeriod=2023-04-28&amp;format=csvdata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Xylem to acquire Evoqua in $7.5 billion all-stock transaction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Xylem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https://www.sec.gov/Archives/edgar/data/1524472/000119312523012563/d441004dex991.htm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Evoqua: resultados del cuarto trimestre y del ejercicio fiscal 2022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Evoqua Water Technologies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https://www.sec.gov/Archives/edgar/data/1604643/000160464322000122/q4fy22exhibit991.htm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Ariston Group to acquire CENTROTEC Climate Systems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Ariston Holding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https://aristongroup.com/content/dam/aristoninvestors/documents/press-releases/2022-09-15%20Ariston%20-%20Centrotec%20Climate%20Systems_EN.pdf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to acquire Manitowoc Ice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https://www.sec.gov/Archives/edgar/data/77360/000007736022000008/exhibit991manitowocdefinit.htm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and Elkay to combine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Water Solutions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https://www.sec.gov/Archives/edgar/data/1439288/000110465922021717/tm226396d2_ex99-1.htm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(AOS): artículos y noticias del valor (canal RSS combinado)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https://seekingalpha.com/api/sa/combined/AOS.xml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Corriente de mensajes del símbolo AOS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https://api.stocktwits.com/api/2/streams/symbol/AOS.json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(AOS) Stock Sees Modest Fair Value Cut As Analysts Turn More Cautious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(Yahoo Finanzas)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https://finance.yahoo.com/markets/stocks/articles/o-smith-aos-stock-sees-052032508.html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(AOS) Could Be 7% Overvalued As Dividend Rises 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(Yahoo Finanzas)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https://finance.yahoo.com/markets/stocks/articles/o-smith-aos-could-7-101453340.html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Smith's Dividend Looks Sustainable Despite a Mixed Growth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https://www.insidermonkey.com/news/a-o-smiths-dividend-looks-sustainable-despite-a-mixed-growth-outlook-1855409/</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91,4 %</w:t>
      </w:r>
      <w:r>
        <w:t xml:space="preserve"> · Secciones con menos del 60 % de campos cubiertos: </w:t>
      </w:r>
      <w:r>
        <w:rPr>
          <w:b/>
          <w:bCs/>
        </w:rPr>
        <w:t xml:space="preserve">ninguna</w:t>
      </w:r>
      <w:r>
        <w:t xml:space="preserve"> · Generado el 30 oct 2026.</w:t>
      </w:r>
    </w:p>
    <w:p>
      <w:pPr>
        <w:pStyle w:val="Nota"/>
        <w:spacing w:after="100"/>
      </w:pPr>
      <w:r>
        <w:t xml:space="preserve">Se valora la acción de A. O. Smith en la Bolsa de Nueva York (AOS), en dólares, al cierre del 29-oct-2026 (63,49 USD): la sesión del 30 no había cerrado al corte [D]. Acciones: 135,06 M diluidas, las dos clases juntas (10-Q del 3T26) [D]. La empresa vende el 81 % de su negocio en China (acuerdo del 27-oct, cierre previsto en el 1S27) [A]. El DCF y los escenarios valoran solo la empresa que queda, sin China; China entra en el puente como asociada por 444 M USD (unos 3,3 USD por acción: el 81 % a precio de la operación con un 10 % de impuestos supuestos, el 19 % que conserva y las regalías de marca), una estimación propia porque la empresa no publica el impuesto ni la base fiscal [D]. La cuenta histórica es con China (aún no reexpresada); la caída de ventas del 14,4 % en 2026e es el cambio de perímetro [A, D]. El BPA de los escenarios es el ajustado de la empresa sin China; la historia del PER usa el ajustado publicado de cada año, con China: el PER de hoy, sin el valor de China que lleva el precio, sería de unas 15,6 veces en lugar de 16,4 [D]. El margen sin China que da la empresa (21 % de EBIT en 2025) resta al EBIT el beneficio neto de China y puede estar algo inflado [A, B]. El consenso del corte aún incluye China [D].</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30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 O. Smith Corporation (AOS)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63,49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(54,16 – 81,87)</c:v>
                </c:pt>
                <c:pt idx="1">
                  <c:v>Precio objetivo de los analistas (55,00 – 80,00)</c:v>
                </c:pt>
                <c:pt idx="2">
                  <c:v>Comparables: PER NTM (52,60 – 73,18)</c:v>
                </c:pt>
                <c:pt idx="3">
                  <c:v>Transacciones precedentes (EV/EBITDA) (81,88 – 99,91)</c:v>
                </c:pt>
                <c:pt idx="4">
                  <c:v>DCF (WACC y g ± 0,5) (50,32 – 63,66)</c:v>
                </c:pt>
                <c:pt idx="5">
                  <c:v>Escenarios (bajista – alcista) (44,10 – 63,78)</c:v>
                </c:pt>
                <c:pt idx="6">
                  <c:v>DCF con la prima implícita del mercado (4,2 %)</c:v>
                </c:pt>
                <c:pt idx="7">
                  <c:v>Precio actual (63,49)</c:v>
                </c:pt>
              </c:strCache>
            </c:strRef>
          </c:cat>
          <c:val>
            <c:numRef>
              <c:f>Hoja1!$B$2:$B$9</c:f>
              <c:numCache>
                <c:formatCode>#,##0.0</c:formatCode>
                <c:ptCount val="8"/>
                <c:pt idx="0">
                  <c:v>54.16</c:v>
                </c:pt>
                <c:pt idx="1">
                  <c:v>55</c:v>
                </c:pt>
                <c:pt idx="2">
                  <c:v>52.6</c:v>
                </c:pt>
                <c:pt idx="3">
                  <c:v>81.88</c:v>
                </c:pt>
                <c:pt idx="4">
                  <c:v>50.32</c:v>
                </c:pt>
                <c:pt idx="5">
                  <c:v>44.1</c:v>
                </c:pt>
                <c:pt idx="6">
                  <c:v>62.4</c:v>
                </c:pt>
                <c:pt idx="7">
                  <c:v>63.17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(54,16 – 81,87)</c:v>
                </c:pt>
                <c:pt idx="1">
                  <c:v>Precio objetivo de los analistas (55,00 – 80,00)</c:v>
                </c:pt>
                <c:pt idx="2">
                  <c:v>Comparables: PER NTM (52,60 – 73,18)</c:v>
                </c:pt>
                <c:pt idx="3">
                  <c:v>Transacciones precedentes (EV/EBITDA) (81,88 – 99,91)</c:v>
                </c:pt>
                <c:pt idx="4">
                  <c:v>DCF (WACC y g ± 0,5) (50,32 – 63,66)</c:v>
                </c:pt>
                <c:pt idx="5">
                  <c:v>Escenarios (bajista – alcista) (44,10 – 63,78)</c:v>
                </c:pt>
                <c:pt idx="6">
                  <c:v>DCF con la prima implícita del mercado (4,2 %)</c:v>
                </c:pt>
                <c:pt idx="7">
                  <c:v>Precio actual (63,49)</c:v>
                </c:pt>
              </c:strCache>
            </c:strRef>
          </c:cat>
          <c:val>
            <c:numRef>
              <c:f>Hoja1!$C$2:$C$9</c:f>
              <c:numCache>
                <c:formatCode>#,##0.0</c:formatCode>
                <c:ptCount val="8"/>
                <c:pt idx="0">
                  <c:v>27.710000000000008</c:v>
                </c:pt>
                <c:pt idx="1">
                  <c:v>25</c:v>
                </c:pt>
                <c:pt idx="2">
                  <c:v>20.580000000000005</c:v>
                </c:pt>
                <c:pt idx="3">
                  <c:v>18.03</c:v>
                </c:pt>
                <c:pt idx="4">
                  <c:v>13.339999999999996</c:v>
                </c:pt>
                <c:pt idx="5">
                  <c:v>19.68</c:v>
                </c:pt>
                <c:pt idx="6">
                  <c:v>11.270000000000003</c:v>
                </c:pt>
                <c:pt idx="7">
                  <c:v>0.6400000000000006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North America</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1743.2</c:v>
                </c:pt>
                <c:pt idx="1">
                  <c:v>1904.8</c:v>
                </c:pt>
                <c:pt idx="2">
                  <c:v>2044.7</c:v>
                </c:pt>
                <c:pt idx="3">
                  <c:v>2083.5</c:v>
                </c:pt>
                <c:pt idx="4">
                  <c:v>2118.3</c:v>
                </c:pt>
                <c:pt idx="5">
                  <c:v>2529.5</c:v>
                </c:pt>
                <c:pt idx="6">
                  <c:v>2819.1</c:v>
                </c:pt>
                <c:pt idx="7">
                  <c:v>2922.9</c:v>
                </c:pt>
                <c:pt idx="8">
                  <c:v>2950.1</c:v>
                </c:pt>
                <c:pt idx="9">
                  <c:v>2984.2</c:v>
                </c:pt>
              </c:numCache>
            </c:numRef>
          </c:val>
        </c:ser>
        <c:ser>
          <c:idx val="1"/>
          <c:order val="1"/>
          <c:tx>
            <c:strRef>
              <c:f>Hoja1!$C$1</c:f>
              <c:strCache>
                <c:ptCount val="1"/>
                <c:pt idx="0">
                  <c:v>Rest of World</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965.6</c:v>
                </c:pt>
                <c:pt idx="1">
                  <c:v>1116.3</c:v>
                </c:pt>
                <c:pt idx="2">
                  <c:v>1173.6</c:v>
                </c:pt>
                <c:pt idx="3">
                  <c:v>935.8</c:v>
                </c:pt>
                <c:pt idx="4">
                  <c:v>800.3</c:v>
                </c:pt>
                <c:pt idx="5">
                  <c:v>1036.5</c:v>
                </c:pt>
                <c:pt idx="6">
                  <c:v>965.8</c:v>
                </c:pt>
                <c:pt idx="7">
                  <c:v>956.9</c:v>
                </c:pt>
                <c:pt idx="8">
                  <c:v>918.6</c:v>
                </c:pt>
                <c:pt idx="9">
                  <c:v>880.4</c:v>
                </c:pt>
              </c:numCache>
            </c:numRef>
          </c:val>
        </c:ser>
        <c:ser>
          <c:idx val="2"/>
          <c:order val="2"/>
          <c:tx>
            <c:strRef>
              <c:f>Hoja1!$D$1</c:f>
              <c:strCache>
                <c:ptCount val="1"/>
                <c:pt idx="0">
                  <c:v>Eliminaciones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-22.9</c:v>
                </c:pt>
                <c:pt idx="1">
                  <c:v>-24.4</c:v>
                </c:pt>
                <c:pt idx="2">
                  <c:v>-30.4</c:v>
                </c:pt>
                <c:pt idx="3">
                  <c:v>-26.6</c:v>
                </c:pt>
                <c:pt idx="4">
                  <c:v>-23.3</c:v>
                </c:pt>
                <c:pt idx="5">
                  <c:v>-27.1</c:v>
                </c:pt>
                <c:pt idx="6">
                  <c:v>-31</c:v>
                </c:pt>
                <c:pt idx="7">
                  <c:v>-27</c:v>
                </c:pt>
                <c:pt idx="8">
                  <c:v>-50.6</c:v>
                </c:pt>
                <c:pt idx="9">
                  <c:v>-34.4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North America</c:v>
                </c:pt>
                <c:pt idx="1">
                  <c:v>Rest of World</c:v>
                </c:pt>
                <c:pt idx="2">
                  <c:v>Eliminaciones</c:v>
                </c:pt>
              </c:strCache>
            </c:strRef>
          </c:cat>
          <c:val>
            <c:numRef>
              <c:f>Hoja1!$B$2:$B$4</c:f>
              <c:numCache>
                <c:formatCode>General</c:formatCode>
                <c:ptCount val="3"/>
                <c:pt idx="0">
                  <c:v>77.9</c:v>
                </c:pt>
                <c:pt idx="1">
                  <c:v>23</c:v>
                </c:pt>
                <c:pt idx="2">
                  <c:v>-0.9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c:v>
                </c:pt>
                <c:pt idx="1">
                  <c:v>China</c:v>
                </c:pt>
                <c:pt idx="2">
                  <c:v>Canadá</c:v>
                </c:pt>
                <c:pt idx="3">
                  <c:v>Otros</c:v>
                </c:pt>
              </c:strCache>
            </c:strRef>
          </c:cat>
          <c:val>
            <c:numRef>
              <c:f>Hoja1!$B$2:$B$5</c:f>
              <c:numCache>
                <c:formatCode>0"%"</c:formatCode>
                <c:ptCount val="4"/>
                <c:pt idx="0">
                  <c:v>68.4</c:v>
                </c:pt>
                <c:pt idx="1">
                  <c:v>17.6</c:v>
                </c:pt>
                <c:pt idx="2">
                  <c:v>8.5</c:v>
                </c:pt>
                <c:pt idx="3">
                  <c:v>5.5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calentadores residenciales de acumulación (gas y eléctricos) enviados en EE. UU.; 2026e, estimación propia)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2023</c:v>
                </c:pt>
                <c:pt idx="4">
                  <c:v>2024</c:v>
                </c:pt>
                <c:pt idx="5">
                  <c:v>2025</c:v>
                </c:pt>
                <c:pt idx="6">
                  <c:v>2026e</c:v>
                </c:pt>
              </c:strCache>
            </c:strRef>
          </c:cat>
          <c:val>
            <c:numRef>
              <c:f>Hoja1!$B$2:$B$8</c:f>
              <c:numCache>
                <c:formatCode>#,##0</c:formatCode>
                <c:ptCount val="7"/>
                <c:pt idx="0">
                  <c:v>8578</c:v>
                </c:pt>
                <c:pt idx="1">
                  <c:v>9238</c:v>
                </c:pt>
                <c:pt idx="2">
                  <c:v>9848</c:v>
                </c:pt>
                <c:pt idx="3">
                  <c:v>9197</c:v>
                </c:pt>
                <c:pt idx="4">
                  <c:v>9234</c:v>
                </c:pt>
                <c:pt idx="5">
                  <c:v>9280</c:v>
                </c:pt>
                <c:pt idx="6">
                  <c:v>8955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A. O. Smith</c:v>
                </c:pt>
                <c:pt idx="1">
                  <c:v>Rheem (Paloma Rheem Holdings)</c:v>
                </c:pt>
                <c:pt idx="2">
                  <c:v>Bradford White</c:v>
                </c:pt>
                <c:pt idx="3">
                  <c:v>Rinnai</c:v>
                </c:pt>
                <c:pt idx="4">
                  <c:v>Kyung Dong Navien</c:v>
                </c:pt>
                <c:pt idx="5">
                  <c:v>Noritz</c:v>
                </c:pt>
                <c:pt idx="6">
                  <c:v>Ariston Holding</c:v>
                </c:pt>
                <c:pt idx="7">
                  <c:v>Watts Water Technologies</c:v>
                </c:pt>
                <c:pt idx="8">
                  <c:v>Pentair</c:v>
                </c:pt>
              </c:strCache>
            </c:strRef>
          </c:cat>
          <c:val>
            <c:numRef>
              <c:f>Hoja1!$B$2:$B$10</c:f>
              <c:numCache>
                <c:formatCode>0.0"%"</c:formatCode>
                <c:ptCount val="9"/>
                <c:pt idx="0">
                  <c:v>19</c:v>
                </c:pt>
                <c:pt idx="3">
                  <c:v>10.7</c:v>
                </c:pt>
                <c:pt idx="4">
                  <c:v>9.6</c:v>
                </c:pt>
                <c:pt idx="5">
                  <c:v>2.1</c:v>
                </c:pt>
                <c:pt idx="6">
                  <c:v>6.6</c:v>
                </c:pt>
                <c:pt idx="7">
                  <c:v>18.4</c:v>
                </c:pt>
                <c:pt idx="8">
                  <c:v>20.5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strCache>
            </c:strRef>
          </c:cat>
          <c:val>
            <c:numRef>
              <c:f>Hoja1!$B$2:$B$18</c:f>
              <c:numCache>
                <c:formatCode>#,##0</c:formatCode>
                <c:ptCount val="17"/>
                <c:pt idx="0">
                  <c:v>2685.9</c:v>
                </c:pt>
                <c:pt idx="1">
                  <c:v>2996.7</c:v>
                </c:pt>
                <c:pt idx="2">
                  <c:v>3187.9</c:v>
                </c:pt>
                <c:pt idx="3">
                  <c:v>2992.7</c:v>
                </c:pt>
                <c:pt idx="4">
                  <c:v>2895.3</c:v>
                </c:pt>
                <c:pt idx="5">
                  <c:v>3538.9</c:v>
                </c:pt>
                <c:pt idx="6">
                  <c:v>3753.9</c:v>
                </c:pt>
                <c:pt idx="7">
                  <c:v>3852.8</c:v>
                </c:pt>
                <c:pt idx="8">
                  <c:v>3818.1</c:v>
                </c:pt>
                <c:pt idx="9">
                  <c:v>3830.2</c:v>
                </c:pt>
                <c:pt idx="10">
                  <c:v>3279</c:v>
                </c:pt>
                <c:pt idx="11">
                  <c:v>3410</c:v>
                </c:pt>
                <c:pt idx="12">
                  <c:v>3546</c:v>
                </c:pt>
                <c:pt idx="13">
                  <c:v>3706</c:v>
                </c:pt>
                <c:pt idx="14">
                  <c:v>3854</c:v>
                </c:pt>
                <c:pt idx="15">
                  <c:v>3989</c:v>
                </c:pt>
                <c:pt idx="16">
                  <c:v>4109</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strCache>
            </c:strRef>
          </c:cat>
          <c:val>
            <c:numRef>
              <c:f>Hoja1!$C$2:$C$18</c:f>
              <c:numCache>
                <c:formatCode>#,##0</c:formatCode>
                <c:ptCount val="17"/>
                <c:pt idx="0">
                  <c:v>516.8</c:v>
                </c:pt>
                <c:pt idx="1">
                  <c:v>579.7</c:v>
                </c:pt>
                <c:pt idx="2">
                  <c:v>623.6</c:v>
                </c:pt>
                <c:pt idx="3">
                  <c:v>543.4</c:v>
                </c:pt>
                <c:pt idx="4">
                  <c:v>527.9000000000001</c:v>
                </c:pt>
                <c:pt idx="5">
                  <c:v>687.4</c:v>
                </c:pt>
                <c:pt idx="6">
                  <c:v>739.9</c:v>
                </c:pt>
                <c:pt idx="7">
                  <c:v>835.6999999999999</c:v>
                </c:pt>
                <c:pt idx="8">
                  <c:v>795.6</c:v>
                </c:pt>
                <c:pt idx="9">
                  <c:v>813.1</c:v>
                </c:pt>
                <c:pt idx="10">
                  <c:v>734</c:v>
                </c:pt>
                <c:pt idx="11">
                  <c:v>771</c:v>
                </c:pt>
                <c:pt idx="12">
                  <c:v>812</c:v>
                </c:pt>
                <c:pt idx="13">
                  <c:v>852</c:v>
                </c:pt>
                <c:pt idx="14">
                  <c:v>886</c:v>
                </c:pt>
                <c:pt idx="15">
                  <c:v>917</c:v>
                </c:pt>
                <c:pt idx="16">
                  <c:v>945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41.5</c:v>
                </c:pt>
                <c:pt idx="1">
                  <c:v>41.1</c:v>
                </c:pt>
                <c:pt idx="2">
                  <c:v>41</c:v>
                </c:pt>
                <c:pt idx="3">
                  <c:v>39.5</c:v>
                </c:pt>
                <c:pt idx="4">
                  <c:v>38.3</c:v>
                </c:pt>
                <c:pt idx="5">
                  <c:v>37</c:v>
                </c:pt>
                <c:pt idx="6">
                  <c:v>35.4</c:v>
                </c:pt>
                <c:pt idx="7">
                  <c:v>38.5</c:v>
                </c:pt>
                <c:pt idx="8">
                  <c:v>38.1</c:v>
                </c:pt>
                <c:pt idx="9">
                  <c:v>38.8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19.2</c:v>
                </c:pt>
                <c:pt idx="1">
                  <c:v>19.3</c:v>
                </c:pt>
                <c:pt idx="2">
                  <c:v>19.6</c:v>
                </c:pt>
                <c:pt idx="3">
                  <c:v>18.2</c:v>
                </c:pt>
                <c:pt idx="4">
                  <c:v>18.2</c:v>
                </c:pt>
                <c:pt idx="5">
                  <c:v>19.4</c:v>
                </c:pt>
                <c:pt idx="6">
                  <c:v>19.7</c:v>
                </c:pt>
                <c:pt idx="7">
                  <c:v>21.7</c:v>
                </c:pt>
                <c:pt idx="8">
                  <c:v>20.8</c:v>
                </c:pt>
                <c:pt idx="9">
                  <c:v>21.2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16.8</c:v>
                </c:pt>
                <c:pt idx="1">
                  <c:v>17</c:v>
                </c:pt>
                <c:pt idx="2">
                  <c:v>17.3</c:v>
                </c:pt>
                <c:pt idx="3">
                  <c:v>15.5</c:v>
                </c:pt>
                <c:pt idx="4">
                  <c:v>15.5</c:v>
                </c:pt>
                <c:pt idx="5">
                  <c:v>17.2</c:v>
                </c:pt>
                <c:pt idx="6">
                  <c:v>17.7</c:v>
                </c:pt>
                <c:pt idx="7">
                  <c:v>19.7</c:v>
                </c:pt>
                <c:pt idx="8">
                  <c:v>18.8</c:v>
                </c:pt>
                <c:pt idx="9">
                  <c:v>19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12.2</c:v>
                </c:pt>
                <c:pt idx="1">
                  <c:v>9.9</c:v>
                </c:pt>
                <c:pt idx="2">
                  <c:v>13.9</c:v>
                </c:pt>
                <c:pt idx="3">
                  <c:v>12.4</c:v>
                </c:pt>
                <c:pt idx="4">
                  <c:v>11.9</c:v>
                </c:pt>
                <c:pt idx="5">
                  <c:v>13.8</c:v>
                </c:pt>
                <c:pt idx="6">
                  <c:v>6.3</c:v>
                </c:pt>
                <c:pt idx="7">
                  <c:v>14.4</c:v>
                </c:pt>
                <c:pt idx="8">
                  <c:v>14</c:v>
                </c:pt>
                <c:pt idx="9">
                  <c:v>14.3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-7.7</c:v>
                </c:pt>
                <c:pt idx="1">
                  <c:v>-1.5</c:v>
                </c:pt>
                <c:pt idx="2">
                  <c:v>-1.3</c:v>
                </c:pt>
                <c:pt idx="3">
                  <c:v>4.4</c:v>
                </c:pt>
                <c:pt idx="4">
                  <c:v>0</c:v>
                </c:pt>
                <c:pt idx="5">
                  <c:v>-1.9</c:v>
                </c:pt>
                <c:pt idx="6">
                  <c:v>-0.7</c:v>
                </c:pt>
                <c:pt idx="7">
                  <c:v>-0.2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7">
                  <c:v>-2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70</c:v>
                </c:pt>
                <c:pt idx="1">
                  <c:v>72</c:v>
                </c:pt>
                <c:pt idx="2">
                  <c:v>74</c:v>
                </c:pt>
                <c:pt idx="3">
                  <c:v>72</c:v>
                </c:pt>
                <c:pt idx="4">
                  <c:v>74</c:v>
                </c:pt>
                <c:pt idx="5">
                  <c:v>65</c:v>
                </c:pt>
                <c:pt idx="6">
                  <c:v>57</c:v>
                </c:pt>
                <c:pt idx="7">
                  <c:v>56</c:v>
                </c:pt>
                <c:pt idx="8">
                  <c:v>52</c:v>
                </c:pt>
                <c:pt idx="9">
                  <c:v>55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58</c:v>
                </c:pt>
                <c:pt idx="1">
                  <c:v>61</c:v>
                </c:pt>
                <c:pt idx="2">
                  <c:v>59</c:v>
                </c:pt>
                <c:pt idx="3">
                  <c:v>61</c:v>
                </c:pt>
                <c:pt idx="4">
                  <c:v>61</c:v>
                </c:pt>
                <c:pt idx="5">
                  <c:v>73</c:v>
                </c:pt>
                <c:pt idx="6">
                  <c:v>78</c:v>
                </c:pt>
                <c:pt idx="7">
                  <c:v>77</c:v>
                </c:pt>
                <c:pt idx="8">
                  <c:v>82</c:v>
                </c:pt>
                <c:pt idx="9">
                  <c:v>75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123</c:v>
                </c:pt>
                <c:pt idx="1">
                  <c:v>111</c:v>
                </c:pt>
                <c:pt idx="2">
                  <c:v>105</c:v>
                </c:pt>
                <c:pt idx="3">
                  <c:v>103</c:v>
                </c:pt>
                <c:pt idx="4">
                  <c:v>122</c:v>
                </c:pt>
                <c:pt idx="5">
                  <c:v>122</c:v>
                </c:pt>
                <c:pt idx="6">
                  <c:v>94</c:v>
                </c:pt>
                <c:pt idx="7">
                  <c:v>93</c:v>
                </c:pt>
                <c:pt idx="8">
                  <c:v>91</c:v>
                </c:pt>
                <c:pt idx="9">
                  <c:v>79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365.90000000000003</c:v>
                </c:pt>
                <c:pt idx="1">
                  <c:v>232.2</c:v>
                </c:pt>
                <c:pt idx="2">
                  <c:v>363.7</c:v>
                </c:pt>
                <c:pt idx="3">
                  <c:v>391.79999999999995</c:v>
                </c:pt>
                <c:pt idx="4">
                  <c:v>505.3</c:v>
                </c:pt>
                <c:pt idx="5">
                  <c:v>566</c:v>
                </c:pt>
                <c:pt idx="6">
                  <c:v>321.09999999999997</c:v>
                </c:pt>
                <c:pt idx="7">
                  <c:v>597.6999999999999</c:v>
                </c:pt>
                <c:pt idx="8">
                  <c:v>473.79999999999995</c:v>
                </c:pt>
                <c:pt idx="9">
                  <c:v>546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326.5</c:v>
                </c:pt>
                <c:pt idx="1">
                  <c:v>296.5</c:v>
                </c:pt>
                <c:pt idx="2">
                  <c:v>444.2</c:v>
                </c:pt>
                <c:pt idx="3">
                  <c:v>370</c:v>
                </c:pt>
                <c:pt idx="4">
                  <c:v>344.9</c:v>
                </c:pt>
                <c:pt idx="5">
                  <c:v>487.1</c:v>
                </c:pt>
                <c:pt idx="6">
                  <c:v>235.7</c:v>
                </c:pt>
                <c:pt idx="7">
                  <c:v>556.6</c:v>
                </c:pt>
                <c:pt idx="8">
                  <c:v>533.6</c:v>
                </c:pt>
                <c:pt idx="9">
                  <c:v>546.2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29.5</c:v>
                </c:pt>
                <c:pt idx="1">
                  <c:v>26.4</c:v>
                </c:pt>
                <c:pt idx="2">
                  <c:v>34.7</c:v>
                </c:pt>
                <c:pt idx="3">
                  <c:v>27.1</c:v>
                </c:pt>
                <c:pt idx="4">
                  <c:v>26.1</c:v>
                </c:pt>
                <c:pt idx="5">
                  <c:v>35.6</c:v>
                </c:pt>
                <c:pt idx="6">
                  <c:v>44.1</c:v>
                </c:pt>
                <c:pt idx="7">
                  <c:v>35.7</c:v>
                </c:pt>
                <c:pt idx="8">
                  <c:v>32</c:v>
                </c:pt>
                <c:pt idx="9">
                  <c:v>30.7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10.2</c:v>
                </c:pt>
                <c:pt idx="1">
                  <c:v>10.2</c:v>
                </c:pt>
                <c:pt idx="2">
                  <c:v>10.2</c:v>
                </c:pt>
                <c:pt idx="3">
                  <c:v>10.2</c:v>
                </c:pt>
                <c:pt idx="4">
                  <c:v>10.2</c:v>
                </c:pt>
                <c:pt idx="5">
                  <c:v>10.2</c:v>
                </c:pt>
                <c:pt idx="6">
                  <c:v>10.2</c:v>
                </c:pt>
                <c:pt idx="7">
                  <c:v>10.2</c:v>
                </c:pt>
                <c:pt idx="8">
                  <c:v>10.2</c:v>
                </c:pt>
                <c:pt idx="9">
                  <c:v>10.2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21.6</c:v>
                </c:pt>
                <c:pt idx="1">
                  <c:v>18.8</c:v>
                </c:pt>
                <c:pt idx="2">
                  <c:v>26.4</c:v>
                </c:pt>
                <c:pt idx="3">
                  <c:v>21.9</c:v>
                </c:pt>
                <c:pt idx="4">
                  <c:v>19.6</c:v>
                </c:pt>
                <c:pt idx="5">
                  <c:v>26.5</c:v>
                </c:pt>
                <c:pt idx="6">
                  <c:v>13.2</c:v>
                </c:pt>
                <c:pt idx="7">
                  <c:v>31</c:v>
                </c:pt>
                <c:pt idx="8">
                  <c:v>28.6</c:v>
                </c:pt>
                <c:pt idx="9">
                  <c:v>29.2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-0.83</c:v>
                </c:pt>
                <c:pt idx="1">
                  <c:v>-0.71</c:v>
                </c:pt>
                <c:pt idx="2">
                  <c:v>-0.68</c:v>
                </c:pt>
                <c:pt idx="3">
                  <c:v>-0.49</c:v>
                </c:pt>
                <c:pt idx="4">
                  <c:v>-1.09</c:v>
                </c:pt>
                <c:pt idx="5">
                  <c:v>-0.63</c:v>
                </c:pt>
                <c:pt idx="6">
                  <c:v>-0.19</c:v>
                </c:pt>
                <c:pt idx="7">
                  <c:v>-0.28</c:v>
                </c:pt>
                <c:pt idx="8">
                  <c:v>-0.1</c:v>
                </c:pt>
                <c:pt idx="9">
                  <c:v>-0.05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42.3</c:v>
                </c:pt>
                <c:pt idx="1">
                  <c:v>114.4</c:v>
                </c:pt>
                <c:pt idx="2">
                  <c:v>24.9</c:v>
                </c:pt>
                <c:pt idx="3">
                  <c:v>494.9</c:v>
                </c:pt>
                <c:pt idx="4">
                  <c:v>10</c:v>
                </c:pt>
                <c:pt idx="5">
                  <c:v>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90.8</c:v>
                </c:pt>
                <c:pt idx="1">
                  <c:v>43.1</c:v>
                </c:pt>
                <c:pt idx="2">
                  <c:v>0</c:v>
                </c:pt>
                <c:pt idx="3">
                  <c:v>107</c:v>
                </c:pt>
                <c:pt idx="4">
                  <c:v>0</c:v>
                </c:pt>
                <c:pt idx="5">
                  <c:v>207.6</c:v>
                </c:pt>
                <c:pt idx="6">
                  <c:v>8</c:v>
                </c:pt>
                <c:pt idx="7">
                  <c:v>16.8</c:v>
                </c:pt>
                <c:pt idx="8">
                  <c:v>145.9</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84.2</c:v>
                </c:pt>
                <c:pt idx="1">
                  <c:v>96.9</c:v>
                </c:pt>
                <c:pt idx="2">
                  <c:v>130.1</c:v>
                </c:pt>
                <c:pt idx="3">
                  <c:v>149.2</c:v>
                </c:pt>
                <c:pt idx="4">
                  <c:v>158.7</c:v>
                </c:pt>
                <c:pt idx="5">
                  <c:v>170.1</c:v>
                </c:pt>
                <c:pt idx="6">
                  <c:v>177.2</c:v>
                </c:pt>
                <c:pt idx="7">
                  <c:v>183.5</c:v>
                </c:pt>
                <c:pt idx="8">
                  <c:v>190.4</c:v>
                </c:pt>
                <c:pt idx="9">
                  <c:v>195.7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135.2</c:v>
                </c:pt>
                <c:pt idx="1">
                  <c:v>139.1</c:v>
                </c:pt>
                <c:pt idx="2">
                  <c:v>202.6</c:v>
                </c:pt>
                <c:pt idx="3">
                  <c:v>287.7</c:v>
                </c:pt>
                <c:pt idx="4">
                  <c:v>56.7</c:v>
                </c:pt>
                <c:pt idx="5">
                  <c:v>366.5</c:v>
                </c:pt>
                <c:pt idx="6">
                  <c:v>403.5</c:v>
                </c:pt>
                <c:pt idx="7">
                  <c:v>306.5</c:v>
                </c:pt>
                <c:pt idx="8">
                  <c:v>305.8</c:v>
                </c:pt>
                <c:pt idx="9">
                  <c:v>400.8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Otro externo</c:v>
                </c:pt>
                <c:pt idx="2">
                  <c:v>Dominical</c:v>
                </c:pt>
                <c:pt idx="3">
                  <c:v>Independiente</c:v>
                </c:pt>
              </c:strCache>
            </c:strRef>
          </c:cat>
          <c:val>
            <c:numRef>
              <c:f>Hoja1!$B$2:$B$5</c:f>
              <c:numCache>
                <c:formatCode>0</c:formatCode>
                <c:ptCount val="4"/>
                <c:pt idx="0">
                  <c:v>1</c:v>
                </c:pt>
                <c:pt idx="1">
                  <c:v>1</c:v>
                </c:pt>
                <c:pt idx="2">
                  <c:v>1</c:v>
                </c:pt>
                <c:pt idx="3">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Smith Family Voting Trust (familia Smith)</c:v>
                </c:pt>
                <c:pt idx="1">
                  <c:v>Mark D. Smith (a título propio, fuera del trust)</c:v>
                </c:pt>
                <c:pt idx="2">
                  <c:v>Vanguard (Vanguard Capital Management y Vanguard Portfolio Management)</c:v>
                </c:pt>
                <c:pt idx="3">
                  <c:v>FMR (Fidelity)</c:v>
                </c:pt>
                <c:pt idx="4">
                  <c:v>BlackRock</c:v>
                </c:pt>
                <c:pt idx="5">
                  <c:v>State Street</c:v>
                </c:pt>
                <c:pt idx="6">
                  <c:v>Autocartera</c:v>
                </c:pt>
                <c:pt idx="7">
                  <c:v>Consejeros y directivos (24 personas)</c:v>
                </c:pt>
              </c:strCache>
            </c:strRef>
          </c:cat>
          <c:val>
            <c:numRef>
              <c:f>Hoja1!$B$2:$B$9</c:f>
              <c:numCache>
                <c:formatCode>0.0"%"</c:formatCode>
                <c:ptCount val="8"/>
                <c:pt idx="0">
                  <c:v>18.92</c:v>
                </c:pt>
                <c:pt idx="1">
                  <c:v>0.29</c:v>
                </c:pt>
                <c:pt idx="2">
                  <c:v>11.16</c:v>
                </c:pt>
                <c:pt idx="3">
                  <c:v>8.5</c:v>
                </c:pt>
                <c:pt idx="4">
                  <c:v>5.03</c:v>
                </c:pt>
                <c:pt idx="5">
                  <c:v>4.28</c:v>
                </c:pt>
                <c:pt idx="6">
                  <c:v>27.51</c:v>
                </c:pt>
                <c:pt idx="7">
                  <c:v>0.52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25.1</c:v>
                </c:pt>
                <c:pt idx="1">
                  <c:v>30.8</c:v>
                </c:pt>
                <c:pt idx="2">
                  <c:v>-29.3</c:v>
                </c:pt>
                <c:pt idx="3">
                  <c:v>13.6</c:v>
                </c:pt>
                <c:pt idx="4">
                  <c:v>17.5</c:v>
                </c:pt>
                <c:pt idx="5">
                  <c:v>59.3</c:v>
                </c:pt>
                <c:pt idx="6">
                  <c:v>-32.1</c:v>
                </c:pt>
                <c:pt idx="7">
                  <c:v>46.7</c:v>
                </c:pt>
                <c:pt idx="8">
                  <c:v>-15.9</c:v>
                </c:pt>
                <c:pt idx="9">
                  <c:v>0.1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15.4</c:v>
                </c:pt>
                <c:pt idx="1">
                  <c:v>17.8</c:v>
                </c:pt>
                <c:pt idx="2">
                  <c:v>11.1</c:v>
                </c:pt>
                <c:pt idx="3">
                  <c:v>14.1</c:v>
                </c:pt>
                <c:pt idx="4">
                  <c:v>15.8</c:v>
                </c:pt>
                <c:pt idx="5">
                  <c:v>19.5</c:v>
                </c:pt>
                <c:pt idx="6">
                  <c:v>11.9</c:v>
                </c:pt>
                <c:pt idx="7">
                  <c:v>14.6</c:v>
                </c:pt>
                <c:pt idx="8">
                  <c:v>12.5</c:v>
                </c:pt>
                <c:pt idx="9">
                  <c:v>11.6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14.6</c:v>
                </c:pt>
                <c:pt idx="1">
                  <c:v>14.6</c:v>
                </c:pt>
                <c:pt idx="2">
                  <c:v>14.6</c:v>
                </c:pt>
                <c:pt idx="3">
                  <c:v>14.6</c:v>
                </c:pt>
                <c:pt idx="4">
                  <c:v>14.6</c:v>
                </c:pt>
                <c:pt idx="5">
                  <c:v>14.6</c:v>
                </c:pt>
                <c:pt idx="6">
                  <c:v>14.6</c:v>
                </c:pt>
                <c:pt idx="7">
                  <c:v>14.6</c:v>
                </c:pt>
                <c:pt idx="8">
                  <c:v>14.6</c:v>
                </c:pt>
                <c:pt idx="9">
                  <c:v>14.6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A. O. Smith</c:v>
                </c:pt>
                <c:pt idx="1">
                  <c:v>Watts Water Technologies</c:v>
                </c:pt>
                <c:pt idx="2">
                  <c:v>Zurn Elkay Water Solutions</c:v>
                </c:pt>
                <c:pt idx="3">
                  <c:v>Pentair</c:v>
                </c:pt>
                <c:pt idx="4">
                  <c:v>Lennox International</c:v>
                </c:pt>
                <c:pt idx="5">
                  <c:v>Carrier Global</c:v>
                </c:pt>
                <c:pt idx="6">
                  <c:v>Masco</c:v>
                </c:pt>
                <c:pt idx="7">
                  <c:v>Fortune Brands Innovations</c:v>
                </c:pt>
                <c:pt idx="8">
                  <c:v>Franklin Electric</c:v>
                </c:pt>
                <c:pt idx="9">
                  <c:v>Rinnai</c:v>
                </c:pt>
                <c:pt idx="10">
                  <c:v>Ariston Holding</c:v>
                </c:pt>
              </c:strCache>
            </c:strRef>
          </c:cat>
          <c:val>
            <c:numRef>
              <c:f>Hoja1!$B$2:$B$12</c:f>
              <c:numCache>
                <c:formatCode>0.0"x"</c:formatCode>
                <c:ptCount val="11"/>
                <c:pt idx="0">
                  <c:v>10.2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A. O. Smith China (81 %)</c:v>
                </c:pt>
                <c:pt idx="1">
                  <c:v>Leonard Valve</c:v>
                </c:pt>
                <c:pt idx="2">
                  <c:v>Bradley Corporation</c:v>
                </c:pt>
                <c:pt idx="3">
                  <c:v>Viessmann Climate Solutions</c:v>
                </c:pt>
                <c:pt idx="4">
                  <c:v>Evoqua Water Technologies</c:v>
                </c:pt>
                <c:pt idx="5">
                  <c:v>CENTROTEC Climate Systems (Brötje, Wolf)</c:v>
                </c:pt>
                <c:pt idx="6">
                  <c:v>Manitowoc Ice (de Welbilt)</c:v>
                </c:pt>
                <c:pt idx="7">
                  <c:v>Elkay Manufacturing</c:v>
                </c:pt>
              </c:strCache>
            </c:strRef>
          </c:cat>
          <c:val>
            <c:numRef>
              <c:f>Hoja1!$B$2:$B$9</c:f>
              <c:numCache>
                <c:formatCode>0.0"x"</c:formatCode>
                <c:ptCount val="8"/>
                <c:pt idx="1">
                  <c:v>13.7</c:v>
                </c:pt>
                <c:pt idx="3">
                  <c:v>17.1</c:v>
                </c:pt>
                <c:pt idx="4">
                  <c:v>25.2</c:v>
                </c:pt>
                <c:pt idx="6">
                  <c:v>17.4</c:v>
                </c:pt>
                <c:pt idx="7">
                  <c:v>14.2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615</c:v>
                </c:pt>
                <c:pt idx="1">
                  <c:v>517</c:v>
                </c:pt>
                <c:pt idx="2">
                  <c:v>541</c:v>
                </c:pt>
                <c:pt idx="3">
                  <c:v>562</c:v>
                </c:pt>
                <c:pt idx="4">
                  <c:v>587</c:v>
                </c:pt>
                <c:pt idx="5">
                  <c:v>606</c:v>
                </c:pt>
                <c:pt idx="6">
                  <c:v>627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2638</c:v>
                </c:pt>
                <c:pt idx="1">
                  <c:v>4936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63,49</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44.1</c:v>
                </c:pt>
                <c:pt idx="1">
                  <c:v>56.07</c:v>
                </c:pt>
                <c:pt idx="2">
                  <c:v>63.78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63,49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(54,16 – 81,87)</c:v>
                </c:pt>
                <c:pt idx="1">
                  <c:v>Precio objetivo de los analistas (55,00 – 80,00)</c:v>
                </c:pt>
                <c:pt idx="2">
                  <c:v>Comparables: PER NTM (52,60 – 73,18)</c:v>
                </c:pt>
                <c:pt idx="3">
                  <c:v>Transacciones precedentes (EV/EBITDA) (81,88 – 99,91)</c:v>
                </c:pt>
                <c:pt idx="4">
                  <c:v>DCF (WACC y g ± 0,5) (50,32 – 63,66)</c:v>
                </c:pt>
                <c:pt idx="5">
                  <c:v>Escenarios (bajista – alcista) (44,10 – 63,78)</c:v>
                </c:pt>
                <c:pt idx="6">
                  <c:v>DCF con la prima implícita del mercado (4,2 %)</c:v>
                </c:pt>
                <c:pt idx="7">
                  <c:v>Precio actual (63,49)</c:v>
                </c:pt>
              </c:strCache>
            </c:strRef>
          </c:cat>
          <c:val>
            <c:numRef>
              <c:f>Hoja1!$B$2:$B$9</c:f>
              <c:numCache>
                <c:formatCode>#,##0.0</c:formatCode>
                <c:ptCount val="8"/>
                <c:pt idx="0">
                  <c:v>54.16</c:v>
                </c:pt>
                <c:pt idx="1">
                  <c:v>55</c:v>
                </c:pt>
                <c:pt idx="2">
                  <c:v>52.6</c:v>
                </c:pt>
                <c:pt idx="3">
                  <c:v>81.88</c:v>
                </c:pt>
                <c:pt idx="4">
                  <c:v>50.32</c:v>
                </c:pt>
                <c:pt idx="5">
                  <c:v>44.1</c:v>
                </c:pt>
                <c:pt idx="6">
                  <c:v>62.4</c:v>
                </c:pt>
                <c:pt idx="7">
                  <c:v>63.17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(54,16 – 81,87)</c:v>
                </c:pt>
                <c:pt idx="1">
                  <c:v>Precio objetivo de los analistas (55,00 – 80,00)</c:v>
                </c:pt>
                <c:pt idx="2">
                  <c:v>Comparables: PER NTM (52,60 – 73,18)</c:v>
                </c:pt>
                <c:pt idx="3">
                  <c:v>Transacciones precedentes (EV/EBITDA) (81,88 – 99,91)</c:v>
                </c:pt>
                <c:pt idx="4">
                  <c:v>DCF (WACC y g ± 0,5) (50,32 – 63,66)</c:v>
                </c:pt>
                <c:pt idx="5">
                  <c:v>Escenarios (bajista – alcista) (44,10 – 63,78)</c:v>
                </c:pt>
                <c:pt idx="6">
                  <c:v>DCF con la prima implícita del mercado (4,2 %)</c:v>
                </c:pt>
                <c:pt idx="7">
                  <c:v>Precio actual (63,49)</c:v>
                </c:pt>
              </c:strCache>
            </c:strRef>
          </c:cat>
          <c:val>
            <c:numRef>
              <c:f>Hoja1!$C$2:$C$9</c:f>
              <c:numCache>
                <c:formatCode>#,##0.0</c:formatCode>
                <c:ptCount val="8"/>
                <c:pt idx="0">
                  <c:v>27.710000000000008</c:v>
                </c:pt>
                <c:pt idx="1">
                  <c:v>25</c:v>
                </c:pt>
                <c:pt idx="2">
                  <c:v>20.580000000000005</c:v>
                </c:pt>
                <c:pt idx="3">
                  <c:v>18.03</c:v>
                </c:pt>
                <c:pt idx="4">
                  <c:v>13.339999999999996</c:v>
                </c:pt>
                <c:pt idx="5">
                  <c:v>19.68</c:v>
                </c:pt>
                <c:pt idx="6">
                  <c:v>11.270000000000003</c:v>
                </c:pt>
                <c:pt idx="7">
                  <c:v>0.6400000000000006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