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Iberdrola, S.A.</w:t>
      </w:r>
    </w:p>
    <w:p>
      <w:pPr>
        <w:spacing w:after="60"/>
        <w:rPr>
          <w:color w:val="52514E"/>
          <w:sz w:val="22"/>
          <w:szCs w:val="22"/>
        </w:rPr>
      </w:pPr>
      <w:r>
        <w:rPr>
          <w:color w:val="52514E"/>
          <w:sz w:val="22"/>
          <w:szCs w:val="22"/>
        </w:rPr>
        <w:t xml:space="preserve">IBE.MC · Bolsa de Madrid (SIBE) · ISIN ES0144580Y14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20,09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-5,1 % (base +1,4 %)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9,70 EUR · mercado 13,33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143.730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Iberdrola,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IBE.MC / ES0144580Y14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(SIBE)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Electric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Bilbao · 1992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www.iberdrola.com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16,98 – 22,08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143.730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212.999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20,09 EUR</w:t>
      </w:r>
      <w:r>
        <w:t xml:space="preserve"> frente a 21,90 · Rentabilidad a 12 meses </w:t>
      </w:r>
      <w:r>
        <w:rPr>
          <w:b/>
          <w:bCs/>
        </w:rPr>
        <w:t xml:space="preserve">-5,1 % (base +1,4 %)</w:t>
      </w:r>
      <w:r>
        <w:t xml:space="preserve"> · Valor intrínseco 9,70 EUR · con la prima implícita del mercado: 13,33 (-39,1 %) · Alcista / bajista -41,0 % / -78,8 %</w:t>
      </w:r>
    </w:p>
    <w:p>
      <w:pPr>
        <w:spacing w:after="100"/>
      </w:pPr>
      <w:r>
        <w:rPr>
          <w:b/>
        </w:rPr>
        <w:t xml:space="preserve">La recomendación y por qué.</w:t>
      </w:r>
      <w:r>
        <w:t xml:space="preserve"> Mantener con convicción media. A 21,90 € (cierre del 23-oct), nuestro objetivo a 12 meses es de 20,09 €: una rentabilidad ponderada del −5,1 % con dividendo y del +1,4 % en el caso base, lejos de los umbrales de compra (+15 %) y de venta (−10 %). El objetivo medio de 23 analistas, 21,38 € [25], coincide con nuestro base (21,53 €). El valor intrínseco es muy inferior, 9,70 € (−55,7 %): Iberdrola reinvierte casi toda su caja a un ROIC del 6,7 %, apenas por encima del WACC (6,52 %), y el mercado le paga un múltiplo de red de crecimiento (21,3 veces nuestro BPA de 2027e frente a una mediana adelantada de 15,3x). La convicción es media: las dos reglas coinciden y la señal está lejos de los umbrales, pero el objetivo depende de un múltiplo que la regla solo acerca un 10 % a su historia. La convicción subiría si el precio bajara sin que lo hiciera la guía, y bajaría si el plan de marzo de 2027 elevara el crecimiento por encima del 10 % anual con mejores retornos.</w:t>
      </w:r>
    </w:p>
    <w:p>
      <w:pPr>
        <w:spacing w:after="100"/>
      </w:pPr>
      <w:r>
        <w:rPr>
          <w:b/>
        </w:rPr>
        <w:t xml:space="preserve">Qué ha cambiado desde el informe del 14-oct.</w:t>
      </w:r>
      <w:r>
        <w:t xml:space="preserve"> Los resultados de 9M26 (21-oct) fueron mejores de lo esperado: EBITDA ajustado +7,5 % (los analistas esperaban ≈+3 % en el trimestre), beneficio ajustado +9 % (+13 % sin divisas) y guía de 2026 subida por tercera vez, a ≥ +10 %, con ≈+10 % anual durante cinco años [4, 10]. Subimos el BPA base de 2028e de 1,051 € a 1,110 € (+5,6 %) y la señal mejora de −8,2 % a −5,1 % ponderada y de −1 % a +1,4 % en el base: sigue en Mantener. El valor intrínseco baja de 13,83 € a 9,70 € por método, no por la noticia: ahora el circulante va a su nivel real (14 % de las ventas), la beta se reapalanca con la deuda propia (0,66) y la inversión terminal es la que exige un 2 % de crecimiento con el ROIC actual.</w:t>
      </w:r>
    </w:p>
    <w:p>
      <w:pPr>
        <w:spacing w:after="100"/>
      </w:pPr>
      <w:r>
        <w:rPr>
          <w:b/>
        </w:rPr>
        <w:t xml:space="preserve">El negocio.</w:t>
      </w:r>
      <w:r>
        <w:t xml:space="preserve"> Las redes reguladas en España, Reino Unido, EE. UU. y Brasil son el 54 % del EBITDA ajustado y crecen un 15 %; la base de activos sube un 14 %, hasta 56.000 M [3, 4]. Generación y Clientes cae un 1,5 % por España. El foso es regulatorio. Sostenibilidad del crecimiento: «Sí»: la reinversión del 59 % del NOPAT financia un 4,0 % anual con el ROIC actual, más que el 3,5 % proyectado, pero crea poco valor.</w:t>
      </w:r>
    </w:p>
    <w:p>
      <w:pPr>
        <w:spacing w:after="100"/>
      </w:pPr>
      <w:r>
        <w:rPr>
          <w:b/>
        </w:rPr>
        <w:t xml:space="preserve">Finanzas.</w:t>
      </w:r>
      <w:r>
        <w:t xml:space="preserve"> El beneficio pasó de 3.885 M en 2021 a 6.285 M en 2025 [1]. La inversión supera al flujo de explotación (flujo libre de −3.081 M en 2025) y el dividendo, las recompras (4.149 M en 9M26) y las compras se pagan con rotación de activos, una ampliación de 4.979 M y deuda: 56.983 M de deuda neta en septiembre, FFO/deuda del 22,4 % [2, 3].</w:t>
      </w:r>
    </w:p>
    <w:p>
      <w:pPr>
        <w:spacing w:after="100"/>
      </w:pPr>
      <w:r>
        <w:rPr>
          <w:b/>
        </w:rPr>
        <w:t xml:space="preserve">Equipo y gobierno.</w:t>
      </w:r>
      <w:r>
        <w:t xml:space="preserve"> La dirección cumple y sube la guía; el consejo es independiente en un 80 % y la auditoría la presiden independientes. Restan el presidente ejecutivo desde 2001, el límite estatutario de voto del 10 % y el LTIP 2026-2028, aprobado con un 25,4 % en contra [17, 19].</w:t>
      </w:r>
    </w:p>
    <w:p>
      <w:pPr>
        <w:spacing w:after="100"/>
      </w:pPr>
      <w:r>
        <w:rPr>
          <w:b/>
        </w:rPr>
        <w:t xml:space="preserve">Valoración.</w:t>
      </w:r>
      <w:r>
        <w:t xml:space="preserve"> DCF 9,93 € (WACC 6,52 %; 13,63 € con la prima implícita del mercado). A 21,90 € el precio descuenta un crecimiento de las ventas del 10,0 % anual en 2027-2035, frente al 3,3 % de nuestro base, o una rentabilidad anual del 5,0 %, por debajo de lo que pide el mercado (5,9 %). Los comparables europeos cotizan a 14,8 veces el beneficio previsto y 7,3 veces el EBITDA [25].</w:t>
      </w:r>
    </w:p>
    <w:p>
      <w:pPr>
        <w:spacing w:after="100"/>
      </w:pPr>
      <w:r>
        <w:rPr>
          <w:b/>
        </w:rPr>
        <w:t xml:space="preserve">Riesgos y catalizadores.</w:t>
      </w:r>
      <w:r>
        <w:t xml:space="preserve"> El riesgo principal es de múltiplo: si vuelve a su mediana adelantada, −22 %. Le siguen la regulación (RIIO-ED3, casos de EE. UU.) y los tipos. Catalizadores: dividendo a cuenta en enero, cierre de Caruna en el 1T27, resultados anuales en febrero y día del inversor en marzo de 2027. Regla 13: no cambia (acción en máximos sin movimientos fuertes ni noticias pendientes).</w:t>
      </w:r>
    </w:p>
    <w:p>
      <w:pPr>
        <w:spacing w:after="100"/>
      </w:pPr>
      <w:r>
        <w:rPr>
          <w:b/>
        </w:rPr>
        <w:t xml:space="preserve">Qué cambiaría la decisión.</w:t>
      </w:r>
      <w:r>
        <w:t xml:space="preserve"> Compraríamos por debajo de 9,70 € y venderíamos por encima de 23,09 €. Un plan en marzo con crecimiento del beneficio claramente por encima del 10 % y ROIC del capital nuevo por encima del 8 % mejoraría la tesis; una tasa de RIIO-ED3 inferior a la actual o un FFO/deuda por debajo del 20 % la empeoraría.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(la tesis de valor es a más de un año) · Objetivo a 12 meses: </w:t>
      </w:r>
      <w:r>
        <w:rPr>
          <w:b/>
          <w:bCs/>
        </w:rPr>
        <w:t xml:space="preserve">20,09 EUR</w:t>
      </w:r>
      <w:r>
        <w:t xml:space="preserve"> (rentabilidad -5,1 % (base +1,4 %)) · Valor intrínseco: 9,70 EUR (-55,7 % sobre 21,90) · con la prima implícita del mercado: 13,33 (-39,1 %)</w:t>
      </w:r>
    </w:p>
    <w:p>
      <w:pPr>
        <w:spacing w:after="100"/>
      </w:pPr>
      <w:r>
        <w:t xml:space="preserve">Iberdrola es la mayor eléctrica europea por capitalización (≈144.000 M) y ya es sobre todo una empresa de redes: el 54 % del EBITDA ajustado viene de redes reguladas en cuatro países, que crecen un 15 %, y la base de activos regulada sube un 14 % [3, 4]. La dirección acaba de subir la guía a ≥ +10 % en 2026 y ≈+10 % anual a cinco años.</w:t>
      </w:r>
    </w:p>
    <w:p>
      <w:pPr>
        <w:spacing w:after="100"/>
      </w:pPr>
      <w:r>
        <w:t xml:space="preserve">El precio ya lo descuenta: 21,3 veces nuestro BPA de 2027e frente a una mediana adelantada de 15,3x y a 14,8x de los comparables, y un crecimiento de ventas del 10 % anual en el DCF inverso frente al 3,3 % de nuestro base.</w:t>
      </w:r>
    </w:p>
    <w:p>
      <w:pPr>
        <w:spacing w:after="100"/>
      </w:pPr>
      <w:r>
        <w:t xml:space="preserve">El mercado acierta en la previsibilidad, pero paga el crecimiento como si creara mucho valor, y no lo hace: el ROIC (6,7 %) apenas supera el WACC (6,52 %). A 12 meses el precio puede sostenerse si se cumple la guía; para comprar haría falta un precio muy inferior o una rentabilidad del capital nuevo claramente mayor.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0,96 = 13,99 · 19,4x × 1,11 = 21,53 · 19,4x × 1,20 = 23,32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 (nuestro base +0,7 %)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 / -78,8 %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frente a 6,5 % y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financiable al ROIC actual: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9,70 y 23,09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23,09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9,70 €: Comprar; por encima de 23,09 €: Vender.</w:t>
      </w:r>
    </w:p>
    <w:p>
      <w:pPr>
        <w:pStyle w:val="ListParagraph"/>
        <w:numPr>
          <w:ilvl w:val="0"/>
          <w:numId w:val="2"/>
        </w:numPr>
        <w:spacing w:after="60"/>
      </w:pPr>
      <w:r>
        <w:t xml:space="preserve">Plan de marzo de 2027 con beneficio por encima de ≈+10 % anual y ROIC del capital nuevo &gt; 8 %.</w:t>
      </w:r>
    </w:p>
    <w:p>
      <w:pPr>
        <w:pStyle w:val="ListParagraph"/>
        <w:numPr>
          <w:ilvl w:val="0"/>
          <w:numId w:val="2"/>
        </w:numPr>
        <w:spacing w:after="60"/>
      </w:pPr>
      <w:r>
        <w:t xml:space="preserve">Tasa financiera de RIIO-ED3 inferior a la de RIIO-ED2.</w:t>
      </w:r>
    </w:p>
    <w:p>
      <w:pPr>
        <w:pStyle w:val="ListParagraph"/>
        <w:numPr>
          <w:ilvl w:val="0"/>
          <w:numId w:val="2"/>
        </w:numPr>
        <w:spacing w:after="60"/>
      </w:pPr>
      <w:r>
        <w:t xml:space="preserve">FFO/deuda por debajo del 20 % (hoy 22,4 %) [3].</w:t>
      </w:r>
    </w:p>
    <w:p>
      <w:pPr>
        <w:pStyle w:val="Heading2"/>
      </w:pPr>
      <w:r>
        <w:t xml:space="preserve">Dónde discrepamos del mercado</w:t>
      </w:r>
    </w:p>
    <w:p>
      <w:pPr>
        <w:keepNext/>
        <w:spacing w:after="100"/>
      </w:pPr>
      <w:r>
        <w:rPr>
          <w:b/>
          <w:bCs/>
        </w:rPr>
        <w:t xml:space="preserve">Lo que descuenta el precio.</w:t>
      </w:r>
    </w:p>
    <w:p>
      <w:pPr>
        <w:spacing w:after="100"/>
      </w:pPr>
      <w:r>
        <w:t xml:space="preserve">Que Iberdrola merece un múltiplo de red de crecimiento (≈21 veces el beneficio previsto) porque la inversión récord en redes y la electrificación sostienen un crecimiento del beneficio del ≈10 % anual [4].</w:t>
      </w:r>
    </w:p>
    <w:p>
      <w:pPr>
        <w:keepNext/>
        <w:spacing w:after="100"/>
      </w:pPr>
      <w:r>
        <w:rPr>
          <w:b/>
          <w:bCs/>
        </w:rPr>
        <w:t xml:space="preserve">Lo que creemos nosotros.</w:t>
      </w:r>
    </w:p>
    <w:p>
      <w:pPr>
        <w:spacing w:after="100"/>
      </w:pPr>
      <w:r>
        <w:t xml:space="preserve">El crecimiento es real y sostenible, pero exige reinvertir toda la caja a un ROIC que apenas cubre el coste de capital: el valor intrínseco es de 9,70 € y el múltiplo debería ir bajando hacia su historia.</w:t>
      </w:r>
    </w:p>
    <w:p>
      <w:pPr>
        <w:keepNext/>
        <w:spacing w:after="100"/>
      </w:pPr>
      <w:r>
        <w:rPr>
          <w:b/>
          <w:bCs/>
        </w:rPr>
        <w:t xml:space="preserve">Por qué podemos tener razón.</w:t>
      </w:r>
    </w:p>
    <w:p>
      <w:pPr>
        <w:spacing w:after="100"/>
      </w:pPr>
      <w:r>
        <w:t xml:space="preserve">Entre 2023 y 2025 la inversión (34.707 M) igualó el flujo de explotación (35.690 M) y el ROIC se quedó en el 5,2-6,7 % [1]: el crecimiento se compra con capital y deuda, no con poder de precios.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Redes reguladas</w:t>
      </w:r>
      <w:r>
        <w:t xml:space="preserve">: el 54 % del EBITDA ajustado, +15 % en 9M26; base de activos +14 % [3, 4].</w:t>
      </w:r>
    </w:p>
    <w:p>
      <w:pPr>
        <w:pStyle w:val="ListParagraph"/>
        <w:numPr>
          <w:ilvl w:val="0"/>
          <w:numId w:val="2"/>
        </w:numPr>
        <w:spacing w:after="60"/>
      </w:pPr>
      <w:r>
        <w:rPr>
          <w:b/>
        </w:rPr>
        <w:t xml:space="preserve">Guía al alza</w:t>
      </w:r>
      <w:r>
        <w:t xml:space="preserve">: beneficio ajustado ≥ +10 % en 2026 (tercera subida del año) y ≈+10 % anual a cinco años [4].</w:t>
      </w:r>
    </w:p>
    <w:p>
      <w:pPr>
        <w:pStyle w:val="ListParagraph"/>
        <w:numPr>
          <w:ilvl w:val="0"/>
          <w:numId w:val="2"/>
        </w:numPr>
        <w:spacing w:after="60"/>
      </w:pPr>
      <w:r>
        <w:rPr>
          <w:b/>
        </w:rPr>
        <w:t xml:space="preserve">Financiación disciplinada</w:t>
      </w:r>
      <w:r>
        <w:t xml:space="preserve">: FFO/deuda del 22,4 % y rating BBB+/Baa1 [3].</w:t>
      </w:r>
    </w:p>
    <w:p>
      <w:pPr>
        <w:pStyle w:val="ListParagraph"/>
        <w:numPr>
          <w:ilvl w:val="0"/>
          <w:numId w:val="2"/>
        </w:numPr>
        <w:spacing w:after="60"/>
      </w:pPr>
      <w:r>
        <w:rPr>
          <w:b/>
        </w:rPr>
        <w:t xml:space="preserve">Dividendo creciente</w:t>
      </w:r>
      <w:r>
        <w:t xml:space="preserve">: 0,275 € a cuenta (+8,7 %), ≈3,1 % de rentabilidad [4].</w:t>
      </w:r>
    </w:p>
    <w:p>
      <w:pPr>
        <w:pStyle w:val="Heading2"/>
      </w:pPr>
      <w:r>
        <w:t xml:space="preserve">En contra</w:t>
      </w:r>
    </w:p>
    <w:p>
      <w:pPr>
        <w:pStyle w:val="ListParagraph"/>
        <w:numPr>
          <w:ilvl w:val="0"/>
          <w:numId w:val="2"/>
        </w:numPr>
        <w:spacing w:after="60"/>
      </w:pPr>
      <w:r>
        <w:rPr>
          <w:b/>
        </w:rPr>
        <w:t xml:space="preserve">Múltiplo alto</w:t>
      </w:r>
      <w:r>
        <w:t xml:space="preserve">: 21,3 veces nuestro BPA de 2027e frente a una mediana adelantada de 15,3x.</w:t>
      </w:r>
    </w:p>
    <w:p>
      <w:pPr>
        <w:pStyle w:val="ListParagraph"/>
        <w:numPr>
          <w:ilvl w:val="0"/>
          <w:numId w:val="2"/>
        </w:numPr>
        <w:spacing w:after="60"/>
      </w:pPr>
      <w:r>
        <w:rPr>
          <w:b/>
        </w:rPr>
        <w:t xml:space="preserve">ROIC ≈ WACC</w:t>
      </w:r>
      <w:r>
        <w:t xml:space="preserve">: 6,7 % frente a 6,52 %; el crecimiento crea poco valor.</w:t>
      </w:r>
    </w:p>
    <w:p>
      <w:pPr>
        <w:pStyle w:val="ListParagraph"/>
        <w:numPr>
          <w:ilvl w:val="0"/>
          <w:numId w:val="2"/>
        </w:numPr>
        <w:spacing w:after="60"/>
      </w:pPr>
      <w:r>
        <w:rPr>
          <w:b/>
        </w:rPr>
        <w:t xml:space="preserve">Flujo libre negativo</w:t>
      </w:r>
      <w:r>
        <w:t xml:space="preserve">: −3.081 M en 2025; dividendo y recompras con rotación y deuda [1].</w:t>
      </w:r>
    </w:p>
    <w:p>
      <w:pPr>
        <w:pStyle w:val="ListParagraph"/>
        <w:numPr>
          <w:ilvl w:val="0"/>
          <w:numId w:val="2"/>
        </w:numPr>
        <w:spacing w:after="60"/>
      </w:pPr>
      <w:r>
        <w:rPr>
          <w:b/>
        </w:rPr>
        <w:t xml:space="preserve">Precio por encima del consenso</w:t>
      </w:r>
      <w:r>
        <w:t xml:space="preserve">: objetivo medio de 21,38 € [25].</w:t>
      </w:r>
    </w:p>
    <w:p>
      <w:pPr>
        <w:pStyle w:val="ListParagraph"/>
        <w:numPr>
          <w:ilvl w:val="0"/>
          <w:numId w:val="2"/>
        </w:numPr>
        <w:spacing w:after="60"/>
      </w:pPr>
      <w:r>
        <w:rPr>
          <w:b/>
        </w:rPr>
        <w:t xml:space="preserve">Riesgo regulatorio concentrado</w:t>
      </w:r>
      <w:r>
        <w:t xml:space="preserve">: Reino Unido y EE. UU., el 41 % del EBITDA [3].</w:t>
      </w:r>
    </w:p>
    <w:p>
      <w:pPr>
        <w:pStyle w:val="Heading2"/>
      </w:pPr>
      <w:r>
        <w:t xml:space="preserve">Qué tiene que pasar para que la tesis funcione</w:t>
      </w:r>
    </w:p>
    <w:p>
      <w:pPr>
        <w:spacing w:after="100"/>
      </w:pPr>
      <w:r>
        <w:t xml:space="preserve">La tesis depende del múltiplo y de la rentabilidad del capital nuevo. La señal de que nos equivocamos: un plan en marzo de 2027 con crecimiento del beneficio por encima del 10 % y retornos sobre la base de activos claramente superiores al coste de capital; la de que acertamos, un PER previsto que baje de 19x con la guía cumplida.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 M en 9M26 (+9 %)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anual &lt;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FFO/deuda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del rating para financiar la inversión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previsto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nuestro BPA de 2027e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19x (el múltiplo empieza a ajustar)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es de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Base de activos regulada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56.000 M (+14 %)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Crecimiento &lt;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del beneficio de redes [4].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22,5x / 20,2x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 · 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Media-alta</w:t>
      </w:r>
    </w:p>
    <w:p>
      <w:pPr>
        <w:spacing w:after="100"/>
      </w:pPr>
      <w:r>
        <w:t xml:space="preserve">Iberdrola nace en 1992 de la fusión de Hidroeléctrica Española e Iberduero [13]. Con Ignacio Galán como primer ejecutivo desde 2001 apostó pronto por la eólica, compró ScottishPower en 2007 y Energy East en EE. UU. en 2008, sacó a bolsa Iberdrola Renovables en 2007 y la reintegró en 2011 [13]. En la última década ha girado hacia las redes reguladas: excluyó de bolsa Avangrid (2024), compró Electricity North West (2024-2025), llevó Neoenergia al 100 % (marzo de 2026) y vendió casi todo México [4, 7]. En 2026 acordó comprar el 80 % de Caruna, la mayor distribuidora finlandesa, y en octubre subió la guía de beneficio a ≥ +10 % [4,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Hidroeléctrica Española e Iberduero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Ignacio Galán, primer ejecutivo; apuesta por la eólica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ScottishPower y salida a bolsa de Iberdrola Renovables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Energy East (EE. UU.), origen de Avangrid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de Avangrid y venta de 13 centrales en México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plan de 58.000 M a 2028 y ampliación de capital de 5.000 M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Neoenergia al 100 %, compra del 80 % de Caruna y guía de beneficio ≥ +10 % [4,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Iberdrola es la mayor eléctrica europea por capitalización (≈146.000 M). Desde 2026 informa en dos negocios: Redes (transporte y distribución regulados en España, Reino Unido, EE. UU. y Brasil, con una base de activos de 56.000 M) y Generación y Clientes (renovables, nuclear, ciclos combinados y comercialización en España, Reino Unido, EE. UU., Brasil y otros países europeos) [3, 4]. Por EBITDA ajustado de 9M26, España pesa el 38 %, Reino Unido el 22 %, EE. UU. el 19 % y Brasil el 17 % [3]. El plan destina el grueso de la inversión a redes en países con rating A: en 9M26 invirtió 10.087 M, el 62 % en redes [4].</w:t>
      </w:r>
    </w:p>
    <w:p>
      <w:pPr>
        <w:pStyle w:val="Heading2"/>
      </w:pPr>
      <w:r>
        <w:t xml:space="preserve">Cómo gana dinero</w:t>
      </w:r>
    </w:p>
    <w:p>
      <w:pPr>
        <w:spacing w:after="100"/>
      </w:pPr>
      <w:r>
        <w:t xml:space="preserve">En redes cobra una retribución regulada sobre su base de activos (una tasa fijada por cada regulador más la amortización): el beneficio crece con la inversión reconocida, no con el volumen. Es la parte que más pesa (6.430 M de EBITDA en 9M26, el 54 % del ajustado) y la que más crece (+15 %) [3]. En generación y clientes vende la energía con contratos a largo plazo o al mercado y gana el margen entre el coste de producir o comprar y el precio al cliente: 5.359 M en 9M26, con España a la baja por precios y servicios de ajuste [3]. El apalancamiento operativo es bajo; los riesgos son la regulación, los tipos de interés y los precios mayoristas.</w:t>
      </w:r>
    </w:p>
    <w:p>
      <w:pPr>
        <w:pStyle w:val="Heading2"/>
      </w:pPr>
      <w:r>
        <w:t xml:space="preserve">Segmentos (9M26)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Generación y Clientes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corporación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9M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9M25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9M26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Generación y Clientes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corporación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regulados de redes (los consumidores de cada zona pagan peajes fijados por el regulador) y clientes minoristas y mayoristas de energía; no hay concentración. El poder de precios es regulatorio: depende de las revisiones tarifarias (RIIO-ED2/ED3 y RIIO-T3 en Reino Unido, casos tarifarios en Nueva York, Maine y Connecticut, CNMC en España y renovación de concesiones en Brasil).</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activos regulados (RAB)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M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56.000 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Transporte +31 %; objetivo de más de 90.000 M en 2030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nueve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≈8.930 M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6.277 M (+28 %), 62 % del total; ≈75 % en Reino Unido, EE. UU. y Brasil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de Redes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 M (9M25, sin los costes pasados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 M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 del EBITDA ajustado del grupo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 renovable nueva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 MW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MW (9M26); 3.300 MW en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MW más previstos en el 4T26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FFO ajustado / deuda neta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Dentro de los umbrales de BBB+/Baa1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Producción renovable 9M26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64.881 GWh</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Eólica marina +16 %, hidráulica −6,3 %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Redes eléctricas reguladas y generación renovable en Europa, EE. UU. y Brasil. La medida de mercado relevante para Iberdrola es la inversión en redes, que define el crecimiento de su base de activos. Se contrastan dos fuentes: la AIE estima unos 400.000 M USD al año de inversión mundial en redes en 2025 [14], y Eurelectric estima que la UE invierte unos 33.000 M EUR al año en distribución y necesita 67.000 M EUR al año en 2025-2050 [15]. Usamos la AIE como tamaño y Eurelectric para el crecimiento previsto en Europa.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400.000 M USD al año de inversión mundial en redes en 2025 (AIE) [14]; ≈ 33.000 M EUR al año en distribución en la UE (Eurelectric)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UE debe duplicar la inversión en distribución (de 33.000 M a 67.000 M EUR al año) [15]; la base de activos de Iberdrola crece un 14 %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medio de la deuda del 4,9 %; las tasas reguladas se ajustan con retraso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mayoristas de la electricidad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Generación y Clientes cae en España en 9M26 por precios y costes de servicios de ajuste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Revisiones regulatorias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RIIO-T3 en Reino Unido hasta 2031 y renovación de concesiones en Brasil por 30 años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no hay competencia (monopolio regulado por zona); en comercialización y renovables, sí.</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regulador fija la retribución en nombre de los clientes.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Escasez de transformadores, cables y turbinas marinas; la AIE la cita como freno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son concesiones; invertir 13.000-14.000 M al año está al alcance de pocos.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autoconsumo reduce volumen, no la necesidad de red.</w:t>
            </w:r>
          </w:p>
        </w:tc>
      </w:tr>
    </w:tbl>
    <w:p>
      <w:pPr>
        <w:spacing w:after="160" w:before="0"/>
      </w:pPr>
    </w:p>
    <w:p>
      <w:pPr>
        <w:pStyle w:val="Heading2"/>
      </w:pPr>
      <w:r>
        <w:t xml:space="preserve">Ciclo</w:t>
      </w:r>
    </w:p>
    <w:p>
      <w:pPr>
        <w:spacing w:after="100"/>
      </w:pPr>
      <w:r>
        <w:t xml:space="preserve">El ciclo inversor en redes está en expansión por la electrificación: la AIE señala que la inversión en redes va por detrás de la demanda [14]. Las eléctricas reguladas resistieron 2008-09 y 2020; en 2022 los precios dispararon las ventas pero no el beneficio de redes.</w:t>
      </w:r>
    </w:p>
    <w:p>
      <w:pPr>
        <w:pStyle w:val="Heading2"/>
      </w:pPr>
      <w:r>
        <w:t xml:space="preserve">Regulación</w:t>
      </w:r>
    </w:p>
    <w:p>
      <w:pPr>
        <w:spacing w:after="100"/>
      </w:pPr>
      <w:r>
        <w:t xml:space="preserve">Reino Unido (Ofgem: RIIO-ED2 hasta 2028 y transporte RIIO-T3 hasta 2031), EE. UU. (casos tarifarios estatales en Nueva York, Maine y Connecticut), España (CNMC, nuevo periodo de retribución de redes) y Brasil (concesiones renovadas por 30 años). Las revisiones fijan la tasa sobre la base de activos y, con ella, más de la mitad del EBITDA [3, 7].</w:t>
      </w:r>
    </w:p>
    <w:p>
      <w:pPr>
        <w:pStyle w:val="Heading2"/>
      </w:pPr>
      <w:r>
        <w:t xml:space="preserve">Tendencias y disrupción</w:t>
      </w:r>
    </w:p>
    <w:p>
      <w:pPr>
        <w:spacing w:after="100"/>
      </w:pPr>
      <w:r>
        <w:t xml:space="preserve">Electrificación, centros de datos y conexiones a red impulsan la inversión en redes; la eólica marina sufre sobrecostes y en EE. UU. la política federal frena las renovables. Iberdrola gana con el giro a redes (Caruna, ENW, transporte británico) y pierde margen en generación y clientes en España [3,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eléctrica europea por capitalización (≈146.000 M frente a 92.000 M de Enel y 73.000 M de National Grid) y una de las mayores redes reguladas cotizadas, con 56.000 M de base de activos [3,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ENEL.MI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redes en Italia, España (Endesa) y Latinoamérica; la mayor red de distribución de Europa.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España (distribución y comercialización), controlada por Enel.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y electricidad en España; rival en comercialización.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Portugal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EDP.LS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Renovables (EDPR) y redes en Portugal, España y Brasil.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SSE.L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y renovables (eólica marina) en Reino Unido; rival de ScottishPower.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Grid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puras en Reino Unido y Nueva York: el comparable regulado.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EOAN.DE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distribución en Alemania y comercialización en Reino Unido (rival de ScottishPower).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Engie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con gas, renovables y redes; presencia en Brasil.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eléctrica.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redes el cliente no puede cambiar de distribuidor; en comercialización, sí.</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y licencias de redes en cuatro países, Brasil renovado por 30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deuda del 4,9 % y acceso a capital (ampliación de 5.000 M en 2025)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Monopolios regulados por zona; 10.087 M de inversión en nueve meses [2].</w:t>
            </w:r>
          </w:p>
        </w:tc>
      </w:tr>
    </w:tbl>
    <w:p>
      <w:pPr>
        <w:spacing w:after="160" w:before="0"/>
      </w:pPr>
    </w:p>
    <w:p>
      <w:pPr>
        <w:pStyle w:val="Heading2"/>
      </w:pPr>
      <w:r>
        <w:t xml:space="preserve">Amenazas</w:t>
      </w:r>
    </w:p>
    <w:p>
      <w:pPr>
        <w:spacing w:after="100"/>
      </w:pPr>
      <w:r>
        <w:t xml:space="preserve">El foso de las redes es regulatorio: la retribución la fija un regulador que puede bajar la tasa en cada revisión (Reino Unido en cada RIIO, EE. UU. en cada caso tarifario). En generación no hay foso: los precios en España restan margen en 2026. La política de EE. UU. contra la eólica marina es la amenaza más concreta.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2020-2025: ingresos </w:t>
      </w:r>
      <w:r>
        <w:rPr>
          <w:b/>
          <w:bCs/>
        </w:rPr>
        <w:t xml:space="preserve">5,9 %</w:t>
      </w:r>
      <w:r>
        <w:t xml:space="preserve">, EBITDA </w:t>
      </w:r>
      <w:r>
        <w:rPr>
          <w:b/>
          <w:bCs/>
        </w:rPr>
        <w:t xml:space="preserve">9,7 %</w:t>
      </w:r>
      <w:r>
        <w:t xml:space="preserve">, BPA </w:t>
      </w:r>
      <w:r>
        <w:rPr>
          <w:b/>
          <w:bCs/>
        </w:rPr>
        <w:t xml:space="preserve">11,0 %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van de 33.145 M en 2020 a 44.076 M en 2025, pero no son la medida del negocio: en una eléctrica suben y bajan con el precio de la energía (53.949 M en 2022, año de la crisis del gas) y con el perímetro (México fuera desde 2024) [1]. Lo que crece de forma estable es el EBITDA: de 10.038 M a 15.956 M en cinco años (+9,7 % anual), impulsado por la base de activos regulados, que pasó de unos 40.000 M a 51.000 M en 2025 y a 56.000 M en septiembre de 2026 [1, 3, 7]. El margen sobre ventas pasa del 30,3 % al 36,2 % porque las redes (54 % del EBITDA ajustado en 9M26) cobran por activo y no por energía [3]. En 9M26 el EBITDA publicado baja un 0,7 % (11.891 M) porque 9M25 llevaba 912 M de ingresos no recurrentes (530 M de costes pasados reconocidos en EE. UU. y 382 M de plusvalía de contadores británicos); en términos ajustados sube un 7,5 %: Redes +15 % (6.430 M) y Generación y Clientes −2 % (5.359 M) [2, 3]. El beneficio neto publicado de 9M26 (5.816 M, +10 %) incluye 953 M de plusvalía neta por la venta de México [3].</w:t>
      </w:r>
    </w:p>
    <w:p>
      <w:pPr>
        <w:pStyle w:val="Heading2"/>
      </w:pPr>
      <w:r>
        <w:t xml:space="preserve">Ajustes y partidas no recurrentes</w:t>
      </w:r>
    </w:p>
    <w:p>
      <w:pPr>
        <w:spacing w:after="100"/>
      </w:pPr>
      <w:r>
        <w:t xml:space="preserve">Iberdrola publica un beneficio neto ajustado que en 2025 fue de 6.231 M frente a 6.285 M contables [7, 8]: excluye los costes pasados reconocidos en EE. UU. y la plusvalía de los contadores británicos (ingresos de 2025) y suma los «capital allowances» británicos; los 464 M de ajustes de valor de la cartera renovable del 4T25 quedaron dentro del contable [7]. En 9M26 el ajustado (5.141 M, +9 %; +13 % sin divisas) quita la plusvalía de México (953 M) y suma 278 M de «capital allowances» [3]. El BPA de este informe es el publicado (después de los cupones de los híbridos, 231 M en 2025): 0,899 € en 2025 (0,845 € de actividades continuadas y 0,054 € de México) [1]. El de 2024 es el reexpresado en las cuentas de 2025 (0,813 €; 0,837 € el publicado entonces). El EBITDA es el de la empresa (deja fuera las correcciones de valor de deudores, 398 M en 2025, que van con las amortizaciones); las «amortizaciones» del informe incluyen provisiones y deterioros (6.201 M en 2025, de ellos 464 M de ajustes de valor renovables) [1, 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presentación del 1S26 (22-jul) la dirección anunció la compra del 80 % de Caruna, la mayor distribuidora finlandesa (valor del 100 % ≈5.000 M; desembolso de 2.000 M, la mitad aplazada un año), financiada con la venta de México, y mantuvo la guía de beneficio ajustado de 2026 por encima del +8 % [2, 6]. En la del 9M26 (21-oct; Galán, Azagra y Sainz) el mensaje cambió de escala: guía de 2026 elevada a «al menos +10 %» de beneficio neto ajustado (≈6.850 M sobre 6.231 M), objetivo nuevo de +10 % anual de media en los cinco años siguientes, base de activos regulados de más de 90.000 M en 2030 (56.000 M hoy) y más de 15.000 MW nuevos en 2025-2030, con el detalle aplazado al día del inversor de marzo de 2027 [3, 4]. El trimestre fue mejor de lo esperado: el EBITDA ajustado del 3T subió ≈7,6 % (3.841 M frente a ≈3.570 M), cuando Jefferies y Deutsche Bank esperaban +3 % y RBC preveía caída por la presión en España [3, 10]. Las dudas que dejan los documentos son la deuda (54.600 M ajustada, +4.400 M en nueve meses; FFO/deuda 22,4 % frente al 25,5 % de diciembre), la caída de Generación y Clientes en España (−4,6 % por vender a precios de 2025 con compras a precios de 2026) y el coste de la deuda con Brasil (4,93 %, +22 pb) [2, 3]. No encontramos transcripción pública de la conferencia: no podemos decir qué preguntaron los analistas ni qué evitó contestar la dirección.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México pasa a actividad interrumpida (NIIF 5): 2024 está reexpresado sin México en las cuentas de 2025 (ingresos 42.988 M frente a 44.739 M publicados en su día) y 2020-2023 lo incluyen. Electricity North West (88 %) se integra por el método de la participación hasta el 1-mar-2025.; 2025: ENW consolidada por integración global desde el 1-mar-2025; compra del 30,3 % de Neoenergia a Previ (sep-2025) y ampliación de capital de 4.979 M (jul-2025).).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financiera bruta (bancos y bonos) subió de 38.037 M en 2020 a 54.090 M en 2025 y la deuda financiera neta con arrendamientos y derivados llega a 56.983 M en septiembre de 2026 (54.600 M ajustada por la empresa, +4.400 M en nueve meses por inversión, recompras de acciones de 4.149 M, la sustitución de un híbrido y la apreciación del real y el dólar) [1, 3, 5]. El ratio deuda neta ajustada/EBITDA ajustado sube de 3,3 a 3,4 veces y el FFO/deuda baja del 24,9 % al 22,4 %, todavía dentro de lo que piden las agencias para BBB+/Baa1 [3]. El 78 % de la deuda es a tipo fijo [3]. El circulante comercial es pequeño (existencias + deudores − acreedores ≈ 6.200 M, 14 % de las ventas) y sube con el precio de la energía: en 2025 consumió 3.040 M de caja (deudores +2.454 M, existencias +644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2020-2025: FCF </w:t>
      </w:r>
      <w:r>
        <w:rPr>
          <w:b/>
          <w:bCs/>
        </w:rPr>
        <w:t xml:space="preserve">-7.965</w:t>
      </w:r>
      <w:r>
        <w:t xml:space="preserve">, conversión </w:t>
      </w:r>
      <w:r>
        <w:rPr>
          <w:b/>
          <w:bCs/>
        </w:rPr>
        <w:t xml:space="preserve">-28 %</w:t>
      </w:r>
      <w:r>
        <w:t xml:space="preserve"> del beneficio neto; adquisiciones 9.955, dividendos 5.412, recompras 14.372.</w:t>
      </w:r>
    </w:p>
    <w:p>
      <w:pPr>
        <w:spacing w:after="100"/>
      </w:pPr>
      <w:r>
        <w:t xml:space="preserve">El flujo de explotación del estado de flujos (11.635 M en 2025) va antes de intereses: Iberdrola paga los intereses de la deuda y de los arrendamientos en actividades de financiación (1.998 M en 2025), así que el informe los resta [1]. El capex suma lo que la empresa invierte en caja: compras de inmovilizado material (7.607 M) e intangible (711 M), personal activado (1.179 M), intereses activados (474 M) y «otras inversiones» (2.569 M, activos de concesiones y contratos de redes), 12.540 M en 2025, casi igual a la inversión orgánica que publica (12.563 M) [1, 7]. Con esa inversión el flujo libre después de intereses es negativo todos los años desde 2022 (−3.081 M en 2025): el dividendo en efectivo (la mayoría de accionistas cobra en acciones), las recompras para compensar esa dilución y las compras se han pagado con deuda, con rotación de activos (5.680 M por México en 2024, 1.289 M en 2025) y con la ampliación de 4.979 M de julio de 2025 [1]. En 9M26 el FFO ajustado fue de 9.264 M y la inversión bruta de 8.978 M más 1.108 M de no orgánica (minoritarios de Neoenergia) [2]. La empresa no separa mantenimiento y crecimiento; estimación propia: el mantenimiento se acerca a la amortización (≈4.700 M sin deterioros) y el resto, ≈7.000-8.000 M al año, es crecimiento de la base de activos.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consolidadas de 2020-2025 se han tomado del XBRL que Iberdrola presenta con su informe financiero anual (formato ESEF, sin errores de validación en el repositorio) [1]. Tres cosas complican la lectura. Primera, el perímetro: México es actividad interrumpida desde 2024 (los años 2020-2023 lo incluyen), ENW consolida desde marzo de 2025 y Neoenergia pasó al 100 % en 2025-2026 [1, 2]. Segunda, las partidas no recurrentes dentro del EBITDA: 912 M de ingresos no recurrentes en 9M25 (costes pasados de EE. UU. y plusvalía de contadores) frente a ninguno en 9M26, lo que hace que el EBITDA publicado caiga un 0,7 % mientras el ajustado sube un 7,5 % [3]. Tercera, los deterioros: 464 M de ajustes de valor en la cartera renovable en el 4T25 [7]. El beneficio ajustado de la empresa suma los «capital allowances» británicos (278 M en 9M26), un incentivo fiscal recurrente mientras dure la inversión [3]. Los híbridos (8.250 M) figuran como patrimonio de minoritarios, no como deuda; sus cupones se restan del BPA publicado [1, 2]. Lectura de los indicadores del motor: un Altman Z bajo es normal en una eléctrica muy apalancada con activos regulados y no indica riesgo de quiebra; el Beneish M queda distorsionado por los cambios de perímetro de 2024-2025.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frecuentes y de signo cambiante (EE. UU., contadores británicos, México, ajustes de valor renovables)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ajustado de la empresa las quita; el informe usa el publicado y lo explica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negativo y deuda creciente financiada en parte con rotación de activos y ampliaciones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modelo de crecimiento de una red regulada; depende del acceso al mercado y del rating BBB+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Derivados de autocartera de 1.793 M excluidos de la deuda ajustada de la empresa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Aquí se dejan dentro de la deuda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115.296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8.389 M en 2025 (el 7 % del capital invertido medio); ha subido más de un 5 % en 1 de 5 años: compras pequeñas. ROIC publicado 6,7 %; sin fondo de comercio, 7,2 %.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10,7 % · </w:t>
      </w:r>
      <w:r>
        <w:rPr>
          <w:b/>
          <w:bCs/>
        </w:rPr>
        <w:t xml:space="preserve">WACC</w:t>
      </w:r>
      <w:r>
        <w:t xml:space="preserve">: 6,5 %.</w:t>
      </w:r>
    </w:p>
    <w:p>
      <w:pPr>
        <w:spacing w:after="100"/>
      </w:pPr>
      <w:r>
        <w:t xml:space="preserve">El ROIC del motor fue del 6,7 % en 2025 (5,2-6,7 % en 2020-2025) frente a un WACC del 6,52 %: Iberdrola gana más o menos su coste de capital, como corresponde a un negocio regulado cuya tasa fija el regulador. El ROIC incremental histórico (10,7 %) es mejor que el medio porque las redes nuevas en EE. UU. y Reino Unido se retribuyen mejor que la generación vieja. El ROE (12,9 % en 2025) depende del apalancamiento (3,6 veces deuda neta/EBITDA) y de los híbridos, que figuran como patrimonio. Comparado con Endesa (13,4 %) o Naturgy (11,8 %) [25], el ROIC de Iberdrola es medio, no superior.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23.046 M a 30-sep-2026: caja 6.873 M, líneas de crédito no dispuestas 14.449 M y otra financiación disponible 1.721 M; cubre 20 meses de necesidades de financiación (29 meses en diciembre de 2025) [3,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estable), Standard &amp; Poor's BBB+ y Fitch BBB+ (estable)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Además de la deuda financiera, el puente recoge: 8.250 M de obligaciones perpetuas subordinadas (híbridos) que la empresa presenta dentro del patrimonio de minoritarios (9.250 M en diciembre; en 2026 recompró 1.000 M y emitió 600 M verdes) y cuyos cupones (231 M en 2025) se restan del BPA; 4.378 M de participaciones no dominantes contables (Neoenergia ya está al 100 % tras la OPA de marzo de 2026); 919 M de instrumentos de capital con características de pasivo financiero (inversores fiscales en renovables de EE. UU.); 958 M de provisiones para pensiones; 3.320 M de otras provisiones (desmantelamiento nuclear y renovable) y 7.228 M de instalaciones cedidas y financiadas por terceros, que no son deuda financiera [2]. Los derivados de autocartera con liquidación física suman 1.793 M: la empresa los descuenta de su deuda ajustada porque no espera ejecutarlos; aquí se dejan dentro de la deuda (criterio prudente) [2, 3]. La compra de Caruna (2.000 M por el 80 % del capital, 1.000 M aplazados un año, más su deuda) está pendiente de autorizaciones y no está en el balance [2].</w:t>
      </w:r>
    </w:p>
    <w:p>
      <w:pPr>
        <w:pStyle w:val="Heading1"/>
      </w:pPr>
      <w:r>
        <w:t xml:space="preserve">12. Asignación de capital</w:t>
      </w:r>
    </w:p>
    <w:p>
      <w:pPr>
        <w:pStyle w:val="Confianza"/>
        <w:spacing w:after="100"/>
      </w:pPr>
      <w:r>
        <w:t xml:space="preserve">Confianza: Alta</w:t>
      </w:r>
    </w:p>
    <w:p>
      <w:pPr>
        <w:spacing w:after="100"/>
      </w:pPr>
      <w:r>
        <w:t xml:space="preserve">Política de dividendos con pay-out del 65-75 % del beneficio neto ajustado y un suelo creciente; dividendo de 2025 de 0,68 € (+6,3 %) y a cuenta de 2026 de 0,275 € (+8,7 %), pagado en enero de 2027 con el sistema Iberdrola Retribución Flexible (acciones nuevas o efectivo) [3, 4, 7]. Para que la elección de acciones no diluya, Iberdrola recompra y amortiza: en junio de 2026 amortizó 182,8 M de acciones (el capital quedó en 6.575 M de acciones) y en 9M26 dedicó 4.149 M a comprar autocartera; tras la ampliación liberada de julio hay 6.673,1 M de acciones emitidas [2, 5, 9]. Prioridad declarada: inversión en redes en países con rating A (82 % del EBITDA) y mantener el rating BBB+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Avangrid (EE. UU.) y exclusión de bolsa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y venta de 13 centrales en México (5.680 M cobrados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Avangrid al 100 %; EBITDA de EE. UU. en redes +19 % en dólares en 9M26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 distribución en el noroeste de Inglaterra)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consolidada desde el 1-mar-2025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Reino Unido es la geografía que más crece en redes (+20 % en libras en 9M26)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Neoenergia (30,3 % de Previ en 2025 y 16,2 % por OPA en marzo de 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4.979 M (jul-2025)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la cuenta −65 % en 9M26 (de 398 M a 140 M)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 de Caruna (distribución eléctrica, Finlandia; 2.500 M de RAB)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caja de la venta de México; 1.000 M aplazados un año; valor del 100 % ≈5.000 M con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autorizaciones (avanzan según lo previsto en octubre de 2026) [2, 6].</w:t>
            </w:r>
          </w:p>
        </w:tc>
      </w:tr>
    </w:tbl>
    <w:p>
      <w:pPr>
        <w:spacing w:after="160" w:before="0"/>
      </w:pPr>
    </w:p>
    <w:p>
      <w:pPr>
        <w:spacing w:after="100"/>
      </w:pPr>
      <w:r>
        <w:t xml:space="preserve">La dirección asigna capital con disciplina de financiación y rentabilidades ajustadas. En 2023-2025 invirtió 34.707 M (10.634, 11.533 y 12.540 M) frente a un flujo de explotación de 35.690 M, y además pagó 3.390 M en dividendos en efectivo y compró 7.880 M de acciones propias [1]: el hueco se cubrió con rotación de activos (México, 6.129 M en 2024), una ampliación de 4.979 M en 2025 y más deuda (de 48.278 M a 54.090 M de deuda financiera) [1]. En 9M26 invirtió 10.087 M más y compró 4.149 M de autocartera [2]. Las compras (ENW, minoritarios de Avangrid y Neoenergia, Caruna) son de redes reguladas en países con buen rating. El ROIC del motor (6,7 % en 2025) apenas supera el WACC (6,52 %): el capital nuevo crea poco valor por encima de su coste, aunque de forma muy previsible.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Sánchez Galán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2001 y presidente desde 2006; llevó a Iberdrola de eléctrica española a grupo de redes en EE. UU., Reino Unido, Brasil y España. Tiene el 0,21 % del capital (≈300 M EUR)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Pedro Azagra Blázquez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desde el 24-jun-2025 en sustitución de Armando Martínez; antes consejero delegado de Avangrid y responsable de desarrollo corporativo. La Junta de 2026 lo ratificó con el 99,53 % [18,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ajustado (sin plusvalías): crecimiento de un dígito medio (febrero), dígito alto (abril) y dos dígitos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5.612 M publicado (+17 %) [22]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ajustado &gt; 6.200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6.231 M ajustado (+10,5 %); 6.285 M publicado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ajustado &gt; +6 % (febrero), &gt; +8 % (abril y julio), ≥ +10 % (octubre)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5.141 M ajustado (+9 %; +13 % sin divisas)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2025-2028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&gt; 7.600 M en 2028; ≈ +10 % anual en cinco años (octubre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día del inversor en marzo de 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lo que promete y suele subir la guía durante el año: 2024 y 2025 se superaron tras subir la guía durante el año y la de 2026 ha subido tres veces (de &gt; +6 % a ≥ +10 %) [4, 6, 7]. El plan se ejecuta, con 10.087 M de inversión en nueve meses. El punto débil sigue siendo la concentración de poder en un presidente ejecutivo con 25 años en el cargo; el relevo del consejero delegado (Azagra, 2025) perfila la sucesión, que no tiene fecha.</w:t>
      </w:r>
    </w:p>
    <w:p>
      <w:pPr>
        <w:pStyle w:val="Heading1"/>
      </w:pPr>
      <w:r>
        <w:t xml:space="preserve">14. Gobierno corporativo</w:t>
      </w:r>
    </w:p>
    <w:p>
      <w:pPr>
        <w:pStyle w:val="Confianza"/>
        <w:spacing w:after="100"/>
      </w:pPr>
      <w:r>
        <w:t xml:space="preserve">Confianza: Media-alta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Sánchez Galán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Azagra Blázquez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Juan Manuel González Serna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primero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Anthony L. Gardner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segundo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Ángel Jesús Acebes Paniagua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Xabier Sagredo Ormaza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Supervisión del Riesgo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Manuel Moreu Munaiz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Sara de la Rica Goiricelaya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Sostenible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Nicola Mary Brewer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Sostenible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Regina Helena Jorge Nunes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Supervisión del Riesgo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Ángeles Alcalá Díaz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Supervisión del Riesgo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Isabel García Tejerina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Sostenible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 Colonques García-Planas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Íñigo Víctor de Oriol Ibarra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Marina Freitas Gonçalves de Araújo Grossi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Íñigo Víctor de Oriol Ibarra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Qatar Investment Authority (Qatar Holding y DIC Holding)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relevante declarado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0,02 % en instrumentos financieros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de administración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M de acciones; el presidente, 0,21 %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83,7 M de acciones a dic-2025; 182,8 M amortizadas el 30-jun-2026; compras de 4.149 M en 9M26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presidente (3,2 M en 2025) depende de objetivos financieros (beneficio neto, EBITDA, solidez financiera, dividendo, eficiencia), operativos y de sostenibilidad, con tope del 100 % de logro. El variable a largo plazo (Bono Estratégico 2023-2025) pesaba un 70 % en lo financiero: beneficio neto de 2025 (30 %), rentabilidad total frente al Euro STOXX Utilities (20 %) y rating (15 %); se cumplió al 100 % [18]. El total de 15,9 M equivale a 193 veces el coste medio por empleado (82.000 EUR). Hay cláusulas malus y clawback. El consejero delegado saliente cobró una indemnización de dos anualidades (4,4 M). La Junta de 2026 aprobó el LTIP Transformador 2026-2028 con un 25,4 % en contra, el voto más disputado: proxies críticos con la cuantía, situada «en la banda superior» de la muestra. El informe de remuneraciones tuvo un 7,2 % en contra y la política, un 5,2 % [19]; en las tres últimas juntas, el voto en contra más alto sobre informe o política fue del 7,5 % (2024) [20, 21].</w:t>
      </w:r>
    </w:p>
    <w:p>
      <w:pPr>
        <w:pStyle w:val="Heading2"/>
      </w:pPr>
      <w:r>
        <w:t xml:space="preserve">Operaciones vinculadas, estructura de control y defensas</w:t>
      </w:r>
    </w:p>
    <w:p>
      <w:pPr>
        <w:spacing w:after="100"/>
      </w:pPr>
      <w:r>
        <w:t xml:space="preserve">Capital disperso, sin accionista de control: los dos mayores (Qatar, 7,0 %; BlackRock, 6,0 %) no tienen consejeros dominicales. Los estatutos limitan al 10 % los votos que puede ejercer un mismo accionista (art. 30.2), una defensa frente a OPA: no rige una acción, un voto. La comisión de auditoría la componen tres independientes y la preside uno. La Junta de 2026 tuvo un quórum del 73,6 % y un apoyo medio del 97,9 % [17, 19].</w:t>
      </w:r>
    </w:p>
    <w:p>
      <w:pPr>
        <w:pStyle w:val="Heading2"/>
      </w:pPr>
      <w:r>
        <w:t xml:space="preserve">Señales de alerta</w:t>
      </w:r>
    </w:p>
    <w:p>
      <w:pPr>
        <w:pStyle w:val="ListParagraph"/>
        <w:numPr>
          <w:ilvl w:val="0"/>
          <w:numId w:val="2"/>
        </w:numPr>
        <w:spacing w:after="60"/>
      </w:pPr>
      <w:r>
        <w:t xml:space="preserve">Presidente ejecutivo con 25 años en el cargo y sucesión sin fecha.</w:t>
      </w:r>
    </w:p>
    <w:p>
      <w:pPr>
        <w:pStyle w:val="ListParagraph"/>
        <w:numPr>
          <w:ilvl w:val="0"/>
          <w:numId w:val="2"/>
        </w:numPr>
        <w:spacing w:after="60"/>
      </w:pPr>
      <w:r>
        <w:t xml:space="preserve">Límite estatutario de voto del 10 %, defensa anti-OPA.</w:t>
      </w:r>
    </w:p>
    <w:p>
      <w:pPr>
        <w:pStyle w:val="ListParagraph"/>
        <w:numPr>
          <w:ilvl w:val="0"/>
          <w:numId w:val="2"/>
        </w:numPr>
        <w:spacing w:after="60"/>
      </w:pPr>
      <w:r>
        <w:t xml:space="preserve">LTIP Transformador 2026-2028 aprobado con un 25,4 % en contra: cuantía en la banda alta de la muestra.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beneficio neto ajustado con crecimiento de al menos un 10 % sin plusvalías de rotación (elevada el 21-oct-2026 desde &gt; +8 %, que ya se había subido desde &gt; +6 % en abril) [4]. A medio plazo, la empresa espera ahora crecer en torno a un 10 % anual de media en los próximos cinco años y una base de activos regulados de más de 90.000 M en 2030; actualizará el plan en un día del inversor en marzo de 2027 [4]. El plan vigente (sep-2025) fijaba &gt; 7.600 M de beneficio ajustado en 2028, un pay-out del 65-75 % y un dividendo con suelo creciente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26-oct-2026 [23]; Yahoo: BPA 1,024 (9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26-oct-2026 [23]; Yahoo: BPA 1,114 (12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26-oct-2026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15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18,00 – 25,00</w:t>
            </w:r>
          </w:p>
        </w:tc>
      </w:tr>
    </w:tbl>
    <w:p>
      <w:pPr>
        <w:spacing w:after="160" w:before="0"/>
      </w:pPr>
    </w:p>
    <w:p>
      <w:pPr>
        <w:pStyle w:val="Heading2"/>
      </w:pPr>
      <w:r>
        <w:t xml:space="preserve">Revisiones de estimaciones</w:t>
      </w:r>
    </w:p>
    <w:p>
      <w:pPr>
        <w:spacing w:after="100"/>
      </w:pPr>
      <w:r>
        <w:t xml:space="preserve">El BPA del consenso de Yahoo para 2026 ha subido un 1,0 % en 90 días (de 1,014 a 1,024) y el de 2027 un 3,4 % (de 1,077 a 1,114), casi todo tras la subida de guía [25]. Stock Analysis da un objetivo medio de 21,16 € (18-25 €, 23 analistas) y Yahoo, de 21,38 € (18-25 €); ambos por debajo del precio [24, 25]. Tras los resultados, DZ Bank pasó de vender a mantener con objetivo de 22 € [26]; antes, Deutsche Bank tenía comprar (22 €) y Jefferies mantener (20,70 €) [10]. Ojo a la base: el BPA de MarketScreener y Yahoo divide el beneficio neto entre las acciones sin restar los cupones de los híbridos (≈230 M al año), que el BPA publicado sí resta.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precio, Iberdrola gana al IBEX y al sector en el año (+18,6 % frente a +9,7 % y +12,5 %) y en 1, 5 y 10 años, pero queda algo por detrás del IBEX a tres años (27,7 % frente a 28,4 % anual), cuando la banca tiró del índice [28]. La explicación es el giro a redes reguladas: la base de activos crece un 14 % y el beneficio ajustado, a doble dígito, con la guía subida tres veces en 2026. La beta frente al sector es baja (0,63 mensual a cinco años; 0,35 semanal a dos años) y la volatilidad, del 15 %. La peor racha de cinco años fue de −17 % (mayo-junio de 2022).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 +6,0 % / +9,5 % / +23,9 %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 +24,6 %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 beneficio +10 % (ajustado +9 %, +13 % sin divisas), EBITDA ajustado +7,5 %, inversión 10.087 M; guía 2026 elevada a ≥ +10 % y ≈ +10 % anual a cinco años. La acción subió un 1,95 % ese día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DZ Bank sube de vender a mantener y el objetivo de 19 € a 22 € (fecha aproximada: días posteriores a los resultados)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Previas: Deutsche Bank mantiene comprar (22 €) y Jefferies mantener (20,70 €); ambos esperaban un EBITDA ajustado del +3 % en el trimestre, frente al +7,6 % publicado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HSBC reitera comprar y sube el objetivo a 23,5 €, su máximo, por redes, centros de datos y regulación constructiva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80 % de Caruna (Finlandia) por ≈2.000 M de capital (≈5.000 M de valor empresa al 100 %), pendiente de autorizaciones; pagada con la caja de México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182,8 M de acciones propias y ampliación liberada del dividendo flexible; el capital emitido queda en 6.673 M de acciones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venta del resto del negocio de México a Cox, con 953 M de plusvalía neta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máximos (−0,2 % del máximo histórico de cierre), con tendencia alcista (+8,5 % sobre la media de 200 sesiones) y sin movimientos fuertes: la mayor subida mensual en seis meses fue del +12,8 % (junio) y la mayor caída, del −6,0 % (agosto). La subida de 1, 3 y 12 meses la explican la subida de guía y las revisiones al alza del consenso, no una noticia pendiente. No hay colocaciones, ofertas ni litigios abiertos que puedan mover el precio más de un 5 %; los próximos resultados (anuales) llegarán hacia el 24-feb-2027 (fecha estimada por el calendario de 2026) y el día del inversor, en marzo. Veredicto: no cambia. Se buscó en primarias de Iberdrola, CNMV (OIR) y prensa financiera española y alemana.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Iberdrola cotizaba a 13-16 veces el beneficio del año siguiente entre 2020 y 2024 y ha pasado a ≈20 veces: el mercado paga ahora una eléctrica que es sobre todo de redes reguladas, con la base de activos creciendo al 12-14 % anual y la guía de beneficio subida a ≈10 % anual. Parte de la prima es estructural (más redes, menos generación expuesta a precios), pero parte es de múltiplo: los tipos a largo no han bajado (Bund al 3,39 %) y la prima de la acción sobre su mediana histórica supera la mejora del crecimiento. Ningún año se excluye: 2020 y 2022 tuvieron beneficios normales.</w:t>
      </w:r>
    </w:p>
    <w:p>
      <w:pPr>
        <w:pStyle w:val="Heading1"/>
      </w:pPr>
      <w:r>
        <w:t xml:space="preserve">18. Comparables cotizados</w:t>
      </w:r>
    </w:p>
    <w:p>
      <w:pPr>
        <w:pStyle w:val="Confianza"/>
        <w:spacing w:after="100"/>
      </w:pPr>
      <w:r>
        <w:t xml:space="preserve">Confianza: Media</w:t>
      </w:r>
    </w:p>
    <w:p>
      <w:pPr>
        <w:spacing w:after="100"/>
      </w:pPr>
      <w:r>
        <w:t xml:space="preserve">Eléctricas europeas grandes con redes reguladas: las españolas (Endesa, Naturgy, Redeia), las integradas con redes y renovables (Enel, EDP, E.ON, RWE, Engie) y las británicas con redes (SSE, National Grid), que compiten por el mismo capital y en los mismos mercados. No se incluyen las eléctricas de EE. UU. (NextEra, Duke): cotizan en otra moneda, con otra fiscalidad y otro coste de capital. Todo a 26-oct-2026, en EUR al cambio del BCE [25,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Iberdrola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RWE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Grid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7,3x / 10,1x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14,8x / 15,4x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2,6x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Iberdrola es la más cara del grupo: ≈20 veces el beneficio de los próximos 12 meses frente a una mediana de ≈15 de los comparables, y ≈13 veces el EBITDA de los últimos 12 meses frente a 7-10 de las integradas. Solo National Grid y SSE, más puras en redes, se le acercan en EV/EBITDA (12-13), pero cotizan a 12-13 veces beneficios. La prima se apoya en un crecimiento de beneficio mayor (≈10 % anual frente a 3-6 % de la mayoría) y en una base de activos en países con rating A, pero su ROIC (≈6 %) es medio, no superior. Usaríamos el PER, en la misma base de BPA tras cupones de híbridos; el EBITDA de Yahoo de Iberdrola (14.785 M) es más bajo que el de la empresa y exagera su EV/EBITDA. El crecimiento de Enel y RWE de Yahoo se descarta por incoherente (cambios de perímetro).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Caruna (80 %, distribución eléctrica en Finlandia)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≈2.000 M por el 80 % del capital; ≈5.000 M de valor empresa al 100 %; ROE regulado esperado ≈8 % hasta 2031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Neoenergia (16,2 % por OPA de exclusión)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Completa el 100 % tras comprar el 30,3 % a Previ en 2025; 3.012 M entre las dos compras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Resto del negocio de Iberdrola en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24-abr-2026, plusvalía neta de 953 M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3.123 M pagados en 2024-2025; acuerdo en 2024 y consolidación desde marzo de 2025.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Avangrid (18,4 % de minoritarios)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2.517 M; exclusión de bolsa de la filial estadounidense.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centrales de ciclo combinado y eólica en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Mexico Infrastructure Partners (Gobierno de México)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5.680 M cobrados en 2024; desinversión de generación térmica.</w:t>
            </w:r>
          </w:p>
        </w:tc>
      </w:tr>
    </w:tbl>
    <w:p>
      <w:pPr>
        <w:spacing w:after="160" w:before="0"/>
      </w:pPr>
    </w:p>
    <w:p>
      <w:pPr>
        <w:spacing w:after="160" w:before="0"/>
      </w:pPr>
    </w:p>
    <w:p>
      <w:pPr>
        <w:spacing w:after="100"/>
      </w:pPr>
      <w:r>
        <w:t xml:space="preserve">Iberdrola es compradora de redes reguladas, no objetivo: con ≈144.000 M de capitalización, capital disperso y el límite estatutario de voto del 10 %, una OPA es improbable. Las compras recientes (Caruna, ENW, minoritarios de Avangrid y Neoenergia) se pagan con la venta de generación (México) y ampliaciones de capital. Los múltiplos de las redes se publican como valor empresa sobre base de activos y no los hemos podido verificar para estas operaciones, por eso van en blanco.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+5 % en 2026 (9M26 +6,2 % [2]; consenso +3,5 % [23]), +5 % en 2027-2028 (base de activos de redes +14 % [4]; Caruna aporta ≈1 punto desde 2027 [6]) y bajada gradual al 2 % en 2034-2035. Las ventas de una eléctrica siguen también al precio mayorista: medimos la actividad con el EBITDA, que crece un 5,6 % anual en 2025-2028.</w:t>
      </w:r>
    </w:p>
    <w:p>
      <w:pPr>
        <w:keepNext/>
        <w:spacing w:after="100"/>
      </w:pPr>
      <w:r>
        <w:rPr>
          <w:b/>
          <w:bCs/>
        </w:rPr>
        <w:t xml:space="preserve">Márgenes.</w:t>
      </w:r>
    </w:p>
    <w:p>
      <w:pPr>
        <w:spacing w:after="100"/>
      </w:pPr>
      <w:r>
        <w:t xml:space="preserve">Margen EBITDA (el de la empresa) del 36,2 % en 2025 con partidas no recurrentes y del 34,6 % en 9M26 sin ellas [1, 2]. Sube al 35,0 % en 2026 (11.891 M en 9M y ≈4.300 M en el 4T), al 37,3 % en 2028 por la mezcla (Redes, el 54 % del EBITDA ajustado, crece un 15 %; Generación y Clientes cae un 1,5 % [3]) y se queda en el 38 %. EBITDA de 19.032 M en 2028, un 1,2 % por debajo del consenso [23].</w:t>
      </w:r>
    </w:p>
    <w:p>
      <w:pPr>
        <w:keepNext/>
        <w:spacing w:after="100"/>
      </w:pPr>
      <w:r>
        <w:rPr>
          <w:b/>
          <w:bCs/>
        </w:rPr>
        <w:t xml:space="preserve">Inversión y circulante.</w:t>
      </w:r>
    </w:p>
    <w:p>
      <w:pPr>
        <w:spacing w:after="100"/>
      </w:pPr>
      <w:r>
        <w:t xml:space="preserve">Inversión del 30 % de las ventas en 2026 (≈13.900 M; 10.087 M en 9M26, +13 % [4]) y del 29,5 % y el 29 % en 2027-2028, y bajada gradual al 19,5 % en 2035: 5,5 puntos sobre la amortización (14 %), lo que exige el 2 % de crecimiento terminal con un ROIC del ≈6,6 %. Circulante al 14 % de las ventas, su nivel real de 2025 (clientes 10.284 + existencias 2.364 − proveedores 6.463 M [1]): consume caja al crecer.</w:t>
      </w:r>
    </w:p>
    <w:p>
      <w:pPr>
        <w:keepNext/>
        <w:spacing w:after="100"/>
      </w:pPr>
      <w:r>
        <w:rPr>
          <w:b/>
          <w:bCs/>
        </w:rPr>
        <w:t xml:space="preserve">Coste del capital.</w:t>
      </w:r>
    </w:p>
    <w:p>
      <w:pPr>
        <w:spacing w:after="100"/>
      </w:pPr>
      <w:r>
        <w:t xml:space="preserve">Bund a 10 años del 3,39 % (23-oct) [30]. Beta 0,66: la observada frente al sector europeo (0,63 mensual a cinco años [28]) desapalancada con la deuda media del periodo da ≈0,48; tomamos 0,50 y la reapalancamos con la deuda propia de hoy (56.983 M de deuda neta frente a 143.730 M de capitalización: D/E 0,40). Prima de mercado del 5,5 % y 0,5 puntos por Brasil (17 % del EBITDA). Coste de la deuda del 4,93 % [2]; peso de la deuda del 28 %. WACC 6,52 %.</w:t>
      </w:r>
    </w:p>
    <w:p>
      <w:pPr>
        <w:keepNext/>
        <w:spacing w:after="100"/>
      </w:pPr>
      <w:r>
        <w:rPr>
          <w:b/>
          <w:bCs/>
        </w:rPr>
        <w:t xml:space="preserve">Valor terminal.</w:t>
      </w:r>
    </w:p>
    <w:p>
      <w:pPr>
        <w:spacing w:after="100"/>
      </w:pPr>
      <w:r>
        <w:t xml:space="preserve">Gordon con un crecimiento del 2 % (inflación del euro), por debajo del Bund. El múltiplo implícito es de 8,0 veces el EBITDA terminal, cerca de la mediana de los comparables (7,3x) y lejos de las 13,4x a las que cotiza hoy Iberdrola. El valor terminal pesa el 78 %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62.900 M (59 %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(ROIC 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frente al 3,5 %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(histórico: 10,7 %)</w:t>
            </w:r>
          </w:p>
        </w:tc>
      </w:tr>
    </w:tbl>
    <w:p>
      <w:pPr>
        <w:spacing w:after="160" w:before="0"/>
      </w:pPr>
    </w:p>
    <w:p>
      <w:pPr>
        <w:spacing w:after="100"/>
      </w:pPr>
      <w:r>
        <w:t xml:space="preserve">La proyección reinvierte el 59 % del NOPAT. Con el ROIC del último ejercicio (6,7 %), eso financia un crecimiento del 4,0 % anual, frente al 3,5 % de ingresos proyectado. Supone que el capital nuevo rinde un 6,6 %, frente a un ROIC incremental histórico del 10,7 %.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base de activos de redes y producción +3 % [3]; precio 1,5 %: tarifas reguladas en EE. UU. y Brasil y ventas cerradas a precios más altos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inversión en redes (RIIO-T3, NECEC) [3]; precio 1 %; otros 1 %: Caruna (cierre previsto en el 1T27)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plan de inversión en redes;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RAB hacia &gt; 90.000 M en 2030 [4];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precio 1 %.</w:t>
            </w:r>
          </w:p>
        </w:tc>
      </w:tr>
    </w:tbl>
    <w:p>
      <w:pPr>
        <w:spacing w:after="160" w:before="0"/>
      </w:pPr>
    </w:p>
    <w:p>
      <w:pPr>
        <w:spacing w:after="100"/>
      </w:pPr>
      <w:r>
        <w:t xml:space="preserve">La proyección reinvierte el 59 % del NOPAT; con el ROIC de 2025 (6,7 %) eso financia un 4,0 % anual de crecimiento, por encima del 3,5 % de ingresos proyectado, y el capital nuevo rinde un 6,6 %, por debajo del ROIC incremental histórico (10,7 %). El crecimiento es sostenible, pero crea poco valor: el ROIC queda 0,2 puntos por encima del WACC. El foso es regulatorio: las redes crecen con la inversión reconocida por el regulador, no con poder de precios. No se rebaja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46,5 %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 (WACC: 6,5 %)</w:t>
            </w:r>
          </w:p>
        </w:tc>
      </w:tr>
    </w:tbl>
    <w:p>
      <w:pPr>
        <w:spacing w:after="160" w:before="0"/>
      </w:pPr>
    </w:p>
    <w:p>
      <w:pPr>
        <w:spacing w:after="100"/>
      </w:pPr>
      <w:r>
        <w:t xml:space="preserve">El DCF da 9,93 € por acción con un WACC del 6,52 % y un valor terminal del 78 % del valor empresa; con la prima implícita del mercado (4,2 %) sube a 13,63 € y la síntesis, a 13,33 €. A 21,90 € el precio descuenta un crecimiento de las ventas del 10,0 % anual en 2027-2035 frente al 3,3 % de nuestro base, o un margen EBITDA del 46,5 % frente al 38 %: dicho de otro modo, la acción rinde un 5,0 % anual, menos que nuestro WACC (6,52 %) y que lo que pide hoy el mercado (5,9 %). La razón de fondo es que Iberdrola reinvierte casi toda su caja a un ROIC (6,7 %) que apenas supera el coste del capital: el DCF la valora cerca de su capital invertido, y el mercado le paga 1,8 veces ese capital por la previsibilidad de las redes y la escasez de activos regulados en países con rating 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regulatorias más duras (RIIO-ED3 desde 2028, casos tarifarios en EE. UU.), precios mayoristas bajos en España y retrasos de inversión: ventas 1,5 puntos por debajo y margen 1,5 puntos menor.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inversión récord ejecutado, redes que crecen con la base de activos (+12-14 % anual), Caruna integrada en 2027 y beneficio ajustado de la empresa cerca de la guía de ≈+10 % anual.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centros de datos y la electrificación aceleran la inversión en redes en EE. UU. y Reino Unido: un punto más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21,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9,36 EUR (-57,3 %).</w:t>
      </w:r>
    </w:p>
    <w:p>
      <w:pPr>
        <w:spacing w:after="100"/>
      </w:pPr>
      <w:r>
        <w:t xml:space="preserve">Los tres escenarios del DCF quedan muy por debajo del precio: 4,65 € el bajista, 9,93 € el base y 12,92 € el alcista. Incluso con la prima implícita del mercado el alcista se queda en 17,16 €. El resultado depende de la tasa de descuento y del ROIC del capital nuevo: con un ROIC que apenas supera el WACC, crecer más no sube mucho el valor.</w:t>
      </w:r>
    </w:p>
    <w:p>
      <w:pPr>
        <w:pStyle w:val="Heading1"/>
      </w:pPr>
      <w:r>
        <w:t xml:space="preserve">22. Suma de partes</w:t>
      </w:r>
    </w:p>
    <w:p>
      <w:pPr>
        <w:pStyle w:val="Confianza"/>
        <w:spacing w:after="100"/>
      </w:pPr>
      <w:r>
        <w:t xml:space="preserve">Confianza: Media</w:t>
      </w:r>
    </w:p>
    <w:p>
      <w:pPr>
        <w:spacing w:after="100"/>
      </w:pPr>
      <w:r>
        <w:t xml:space="preserve">No se aplica: Iberdrola no publica activos ni ingresos históricos por negocio con la segmentación nueva, y la base de activos regulada solo cubre Redes [3].</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21,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9,70 EUR (-55,7 % sobre 21,90).</w:t>
      </w:r>
    </w:p>
    <w:p>
      <w:pPr>
        <w:spacing w:after="100"/>
      </w:pPr>
      <w:r>
        <w:t xml:space="preserve">El DCF pesa el 60 % y los escenarios el 40 %: es el método que recoge la inversión que exige el crecimiento. Los comparables no entran en la síntesis (las integradas europeas cotizan a 7,3x EBITDA y 14,8x beneficio con menos crecimiento) y las transacciones no tienen múltiplos publicados. La dispersión es grande: DCF 9,93 €, DCF con la prima del mercado 13,63 €, comparables por PER 16,00 €, objetivo medio de los analistas 21,38 € y precio 21,90 €. Cada medio punto de WACC mueve el valor ≈3-5 € por acción. El puente resta 12.628 M de minoritarios e híbridos y suma 1.981 M de asociadas [2, 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(21.3x) ÷ 1.1 (tope: la mediana de 5 años, 15.3x,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spacing w:after="100"/>
      </w:pPr>
      <w:r>
        <w:rPr>
          <w:b/>
          <w:bCs/>
        </w:rPr>
        <w:t xml:space="preserve">Objetivo a 12 meses (ponderado):</w:t>
      </w:r>
      <w:r>
        <w:t xml:space="preserve"> 20,09 EUR · rentabilidad -5,1 % (base +1,4 %) · señal Mantener.</w:t>
      </w:r>
    </w:p>
    <w:p>
      <w:pPr>
        <w:spacing w:after="100"/>
      </w:pPr>
      <w:r>
        <w:t xml:space="preserve">Para comparar, con la regla v2 (historia al cierre, mismo precio): 16,4x / 17,0x / 18,4x, -10,6 % Vender; con el tope anterior del base (×1,3, 14-oct mediodía): -10,4 %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(1,028 €) queda un 7,7 % por debajo del de Yahoo (1,114 €) y un 5,8 % del de MarketScreener (1,091 €) [23, 25]. Casi toda la diferencia es de base: los proveedores no restan los cupones de los híbridos (≈0,037 € por acción) y siguen el beneficio ajustado de la empresa, que suma los «capital allowances» británicos (≈0,055 €); en EBITDA nos separamos solo un 2,2 %. Nuestro precio base (21,53 €) queda un 0,7 % por encima del objetivo medio de 23 analistas (21,38 €) [25]: coincidimos en que no hay recorrido.</w:t>
      </w:r>
    </w:p>
    <w:p>
      <w:pPr>
        <w:keepNext/>
        <w:spacing w:after="100"/>
      </w:pPr>
      <w:r>
        <w:rPr>
          <w:b/>
          <w:bCs/>
        </w:rPr>
        <w:t xml:space="preserve">Del valor intrínseco al objetivo a 12 meses.</w:t>
      </w:r>
    </w:p>
    <w:p>
      <w:pPr>
        <w:spacing w:after="100"/>
      </w:pPr>
      <w:r>
        <w:t xml:space="preserve">El objetivo a 12 meses (20,09 €) dobla el valor intrínseco (9,70 €): el mercado paga a Iberdrola un múltiplo de red de crecimiento (21,3 veces nuestro BPA de 2027e) que el DCF no justifica con un ROIC del 6,7 %. Para cerrar la distancia haría falta que el múltiplo bajara hacia su mediana adelantada (15,3x), algo que no tiene fecha: la regla v3 solo lo acerca un 10 % en un año. La tesis de valor es a más de un año; a 12 meses el precio depende de mantener el múltiplo y de cumplir la guía.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0,275 € (+8,7 %) con Retribución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≈3,1 % anual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80 % de Caruna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M más de base de activos regulada y ≈2.000 M de pago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 +10 % de beneficio ajustado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y plan nuevo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2030-2031 (RAB &gt; 90.000 M, ≈+10 % anual de beneficio)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Propuestas de Ofgem para RIIO-ED3 (distribución británica desde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Fijan la tasa de una parte central del beneficio de Reino Unido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 (PER adelantado de 15,3x sobre el BPA de 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que crece ≈10 %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previsto por debajo de 19x o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Revisiones regulatorias más duras (RIIO-ED3, casos de EE. UU., CNMC)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(bajista a 12 meses, 13,99 €)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concentrada en países con rating A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financiera que proponga Ofgem para 2028-2033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por cada medio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del 4,93 % y vida media de 6 años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creciente con el plan, las recompras y Caruna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 activos y dividendo flexible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FFO/deuda por debajo del 20 % (22,4 % en 9M26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mayoristas bajos y costes de servicios de ajuste en España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son el 54 % del EBITDA ajustado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Generación y Clientes en España (−4,6 % en 9M26)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EE. UU. contra la eólica marina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19 % del EBITDA y casi todo redes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judicial de permisos de eólica marina (21-oct) [36]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menos demanda de redes de lo previsto si los centros de datos se retrasan o se autoabastecen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(menos crecimiento en el alcista)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retribución depende de la inversión reconocida, no del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conexión de centros de datos en EE. UU., Reino Unido y España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presidente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nombrado en 2025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relevo en la presidencia</w:t>
            </w:r>
          </w:p>
        </w:tc>
      </w:tr>
    </w:tbl>
    <w:p>
      <w:pPr>
        <w:spacing w:after="160" w:before="0"/>
      </w:pPr>
    </w:p>
    <w:p>
      <w:pPr>
        <w:pStyle w:val="Heading2"/>
      </w:pPr>
      <w:r>
        <w:t xml:space="preserve">Pre-mortem</w:t>
      </w:r>
    </w:p>
    <w:p>
      <w:pPr>
        <w:spacing w:after="100"/>
      </w:pPr>
      <w:r>
        <w:t xml:space="preserve">Octubre de 2028: la acción ha perdido un 35 % y cotiza a 14 €. Qué pasó: en 2027 el Bund subió al 4,3 % y los inversores rotaron de las eléctricas a la renta fija; Ofgem fijó para RIIO-ED3 una tasa financiera inferior a la de RIIO-ED2 y Nueva York recortó la de NYSEG. Iberdrola mantuvo la inversión récord y las recompras, el FFO/deuda bajó del 20 % y una agencia amenazó el rating; el día del inversor de marzo de 2027 rebajó el crecimiento al 6-7 % y el PER volvió a 15x, su mediana adelantada. La señal temprana habría sido el FFO/deuda por debajo del 21 % y la propuesta de Ofgem.</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Las emisiones son bajas frente a las eléctricas europeas por su mezcla renovable, hidráulica y nuclear; lo material es regulatorio y de inversión: la taxonomía europea y la descarbonización justifican la retribución de redes y renovables. La seguridad de la red (tormentas e incendios en EE. UU.) es el riesgo operativo.</w:t>
      </w:r>
    </w:p>
    <w:p>
      <w:pPr>
        <w:pStyle w:val="Heading2"/>
      </w:pPr>
      <w:r>
        <w:t xml:space="preserve">Controversias</w:t>
      </w:r>
    </w:p>
    <w:p>
      <w:pPr>
        <w:spacing w:after="100"/>
      </w:pPr>
      <w:r>
        <w:t xml:space="preserve">La causa de la Audiencia Nacional por los encargos a la empresa de Villarejo afectó a antiguos directivos; Ignacio Galán quedó desimputado en 2024. No consta otra controversia relevante en 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del capital nuevo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la base de activos esperan de la inversión en redes del próximo plan, por país, frente a su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 6,7 % apenas supera el WACC; decide si crecer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en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flujo de explotación fue solo el 73 % del EBITDA en 2025 y cuánto es temporal (déficits tarifarios, circulante)?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una conversión mayor.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propias tienen hoy y cuántas amortizarán?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acciones en circulación son una estimación (6.563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RIIO-ED3</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financiera y qué inversión piden a Ofgem para 2028-2033?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es el 22 % del EBITDA y el principal destino de la inversión.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Caruna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de la base de activos compran Caruna y con qué ROE?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la disciplina de precio en las 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dejará Ignacio Galán las funciones ejecutivas?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poder durante 25 años.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seguimiento de Iberdrola)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 actividad desde agosto: los foreros comentan Caruna, el dividendo flexible y que la acción «lleva meses de lateral»; nadie habla de vender por fundamentales [31,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artículo más reciente (11-oct) rebaja la recomendación: fundamentales fuertes pero la valoración «se ha adelantado». En julio y agosto, uno mantenía («hold»), otro destacaba la previsibilidad y otro el impulso de la eólica [32, 33, 34,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(noticias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subió a comprar en mayo por los centros de datos; el 13-oct Iberdrola encabezaba la selección cuantitativa de utilities; el 21-oct, la Administración Trump pedía revisar otro permiso de eólica marina en EE. UU.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máximos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≈20 veces el BPA de 2027e frente a una mediana histórica adelantada de ≈15 y ≈15 de los comparables.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previsible en redes y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activos crece un 14 % y la guía de beneficio subió a ≥ +10 % en 2026 y ≈ +10 % anual a cinco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flexible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25,4 % del capital eligió efectivo en julio; la dilución se compensa con amortizaciones (182,8 M de acciones en junio).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Eólica marina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político real, pero EE. UU. es el 19 % del EBITDA y casi todo en redes.</w:t>
            </w:r>
          </w:p>
        </w:tc>
      </w:tr>
    </w:tbl>
    <w:p>
      <w:pPr>
        <w:spacing w:after="160" w:before="0"/>
      </w:pPr>
    </w:p>
    <w:p>
      <w:pPr>
        <w:spacing w:after="100"/>
      </w:pPr>
      <w:r>
        <w:t xml:space="preserve">El inversor particular ve a Iberdrola como valor de dividendo y refugio, sin euforia: en el foro el debate del verano fue la falta de recorrido de la acción, y en Seeking Alpha el último análisis rebaja la recomendación por valoración justo antes de los resultados. La subida de guía de octubre mejora el tono, pero la duda de fondo (pagar ≈20 veces beneficios por una eléctrica) coincide con nuestras cifras y con el consenso, que tiene el objetivo medio por debajo del precio. No aparece ningún riesgo que el informe no recoja; el de la eólica marina en EE. UU. sí está.</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38 (15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-1.479 (¿operaciones interrumpidas?). Explicación: La diferencia (1.479 M) es el resultado de actividades interrumpidas (México: venta de 13 centrales en 2024 y su negocio ordinario) que el XBRL presenta fuera del BAI; el beneficio atribuido publicado es 5.612 M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-364 (¿operaciones interrumpidas?). Explicación: Los 364 M de diferencia son el resultado de México como actividad interrumpida; nuestro BPA parte del beneficio de operaciones continuadas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6,6 % frente a un ROIC de 6,7 % y un incremental histórico de 10,7 %: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14,0 % real: genera una variación de circulante de 294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667 M de flujo libre medio en sus tres primeros años, frente a -1.774 M de media real en los tres últimos: justifica el salto (circulante, inversión, márgenes) o ajusta los supuestos. Explicación: El flujo libre real de 2023-2025 (−740, −1.500 y −3.081 M) es negativo porque la inversión (10.634-12.540 M) superó el flujo de explotación, que además convirtió solo el 73 % del EBITDA en caja en 2025 (11.635 de 15.956 M) por provisiones, déficits tarifarios y circulante [1]. Nuestro DCF proyecta un flujo libre de 667 M de media en 2026-2028 porque el EBITDA sube a ≈19.000 M (+19 %) con una inversión del 29-30 % de las ventas y la conversión plena del EBITDA menos impuestos y circulante. Es un supuesto favorable a la empresa: si la conversión siguiera en el 73 %, el valor del DCF sería menor.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Estadística oficial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Asociación 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dpa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2021-2022 (solo el dividendo de 2022 en adelante); 2) notas de prensa de resultados 2025-2026 (solo 2025-2026); 3) infografía de 2025: total, sin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de 2021-2025 con la segmentación vigente (Redes / Generación y Clientes)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resultados 9M26: solo 9M26 y 9M25; 2) informe de resultados de 2025 en iberdrola.com: 403 desde la herramienta; 3) XBRL 2025: sin desglose por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conferencias de 1S26 y 9M26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webcast); 2) búsqueda de transcripciones (roic.ai solo 2025); 3) prensa del 21-oct: sin preguntas de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de tamaño,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AIE (World Energy Investment 2025): solo da la cifra de 2025; 2) Eurelectric: media actual y necesidad 2025-2050, sin serie; 3) no hay cuota fiable de los cinco primeros en un mercado de monopolios regionales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tamaño en texto con dos fuentes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de sostenibilidad: no consultados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en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CNMV (registro de operaciones de directivos): no accesible desde este entorno; 2) iberdrola.com (participaciones de consejeros): solo foto a dic-2025; 3) prensa: sin noticias de compras o ventas de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insiders_sin_operaciones =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 30-sep-2026 (autocartera exacta)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9M26: da acciones emitidas (6.673,1 M) y el importe de autocartera, no el número; 2) OIR de julio: capital tras amortización; 3) MAR: sin número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6.563 M (emitidas menos ≈110 M en autocartera por las compras de 4.149 M en 9M26)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resultados anuales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calendario de iberdrola.com: 403; 2) MarketScreener: 403; 3) Yahoo: solo da la del 21-oct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Estimada: 24-feb-2027 (el mismo miércoles que en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CNMV, posiciones cortas: no accesible desde este entorno; 2) prensa: sin noticias de cortos relevantes en Iberdrola; 3) agregadores (MarketScreener):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(EV/RAB, 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Iberdrola: solo valor de Caruna (≈5.000 M; 2.500 M de RAB añadida); 2) prensa: sin múltiplos verificables; 3) foros (Rankia, citando a El Confidencial): deuda neta de Caruna de 2.470 M,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(búsqueda JSON en r/SpainFIRE): 403; 2) Stocktwits: no consultado; 3) Seeking Alpha: solo titulares del feed RSS (artículos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2020-2025 en formato ESEF (xBRL-JSON):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 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https://filings.xbrl.org/5QK37QC7NWOJ8D7WVQ45/2025-12-31/ESEF/ES/0/5QK37QC7NWOJ8D7WVQ45-2025-12-31-1-es.json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resultados nueve meses 2026 (cuenta, balance, segmentos, deuda, hechos relevantes)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https://www.iberdrola.com/documents/20125/6230700/informe-269M.pdf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presentation. Nine months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https://www.iberdrola.com/documents/20125/6230700/results-269M.pdf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incrementa el beneficio neto un 10 % hasta 5.816 M EUR gracias a inversiones récord de 10.087 M EUR en los 9 meses de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https://www.iberdrola.com/documents/20125/6290773/261021-iberdrola-incrementa-beneficio-neto-10-hasta-5816-m-eur-gracias-inversiones-record-10087-m-eur-9-meses-2026.pdf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del rendimiento 9M 2026 (datos trimestrales, deuda financiera neta,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https://www.iberdrola.com/documents/20125/6230700/medidas-alternativas-rendimiento-269M.pdf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presentation. First half 2026 (compra de Caruna,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https://www.iberdrola.com/documents/20125/6030708/results-26H1.pdf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invierte 14.460 millones en 2025 y aumenta el beneficio neto un 12 % (nota de prensa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https://www.iberdrola.com/documents/20125/5739678/iberdrola-invierte-14460-millones-en-2025-y-aumenta-el-beneficio-neto-un-12-por-ciento.pdf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presentation 2025: highlights (EBITDA ajustado 15.684 M, beneficio ajustado 6.231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https://www.iberdrola.com/documents/20125/5693233/PR25FY-infograph.pdf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ejecución de la reducción de capital (6.575.000.000 acciones tras amortizar 182.845.603)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https://www.iberdrola.com/documents/20125/6048874/260701-OIR-01.pdf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prepara una mejora de sus previsiones, pero la Bolsa podría darla por descontada (previas de Deutsche Bank, Jefferies y RBC)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https://www.merca2.es/2026/10/20/iberdrola-mejora-previsiones-2476555/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apunta a un beneficio récord en 2026 y se conjura para crecer un 10 % anual hasta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https://www.vozpopuli.com/economia/energia/iberdrola-apunta-a-un-beneficio-record-en-2026-y-se-conjura-para-crecer-un-10-anual-hasta-2030.html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IBE-Watch fact sheet 9M 2026: producción neta de electricidad (provisional)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https://www.iberdrola.com/documents/20125/6268062/261009-OIR-01.pdf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(Wikipedia): historia, fusión de Hidroeléctrica Española e Iberduero (1992), ScottishPower (2007)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https://en.wikipedia.org/wiki/Iberdrola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Energy Investment 2025: executive summary («some USD 400 billion is now spent on grids worldwide»)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 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https://iea.org/reports/world-energy-investment-2025/executive-summary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Double investments in power distribution or lose Europe’s race to net-zero (Grids for Speed: de 33.000 M a 67.000 M EUR al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Asociación 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https://eurelectric.org/news/grid_investments_for_netzero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ficha y estimaciones de Yahoo Finance (ventas, EBITDA, capitalización),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https://finance.yahoo.com/quote/IBE.MC/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https://www.iberdrola.com/documents/20125/5613162/jga26-informe-anual-gobierno-corporativo-2025.pdf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y directivos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https://www.iberdrola.com/documents/20125/5613162/jga26-informe-anual-remuneraciones-consejeros-directivos-2025-version-accesible.pdf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2026: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https://www.iberdrola.com/documents/20125/5614659/jga26-resultado-votaciones.pdf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2024: resultado de las votaciones (informe de remuneraciones 92,47 % a favor y 7,53 % en contra; política 95,64 %)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https://www.iberdrola.com/documents/20125/3643473/jga24-resultado-votaciones.pdf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2025: resultado de las votaciones (informe de remuneraciones 93,61 % a favor y 6,39 % en contra)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https://www.iberdrola.com/documents/20125/4777821/jga25-resultado-votaciones.pdf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sube un 64 % el beneficio a junio, bate récord de inversión y eleva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https://www.bolsamania.com/noticias_amp/resultados-anuncios/iberdrola-incrementa-64-beneficio-alcanza-record-inversion-eleva-objetivos--17129260.html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S.A.: finanzas y estimaciones del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https://www.marketscreener.com/quote/stock/IBERDROLA-S-A-4007481/finances/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(BME: IBE) stock forecast: precio objetivo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https://stockanalysis.com/quote/bme/IBE/forecast/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IBE.MC: cotizaciones, recomendaciones (recommendationTrend), objetivo medio y tendencia del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https://finance.yahoo.com/quote/IBE.MC/analysis/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Aktie: DZ Bank hebt Rating auf Halten und Kursziel auf 22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https://goldesel.de/aktien/news/iberdrola-aktie-dz-bank-hebt-rating-auf-halten-und-kursziel-auf-22-euro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HSBC sitúa a Iberdrola entre sus favoritos y dispara su precio objetivo a 23,5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https://www.estrategiasdeinversion.com/actualidad/noticias/bolsa-espana/hsbc-situa-a-iberdrola-entre-sus-favoritos-y-dispara-n-944981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IBE.MC, ^IBEX, EXH9.DE y EXSA.DE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https://finance.yahoo.com/quote/IBE.MC/history/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 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23-oct-2026: 3,39 %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 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https://api.statistiken.bundesbank.de/rest/data/BBSIS/D.I.ZST.ZI.EUR.S1311.B.A604.R10XX.R.A.A._Z._Z.A?startPeriod=2026-10-01&amp;format=csv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(IBE), seguimiento de las acciones (foro, págs. 316-317: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https://www.rankia.com/foros/bolsa/temas/2003626-iberdrola-ibe-seguimiento-acciones?page=317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Strong Fundamentals, But Valuation Has Run Ahead (Rating Downgrade)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https://seekingalpha.com/article/4953317-iberdrola-stock-strong-fundamentals-but-valuation-has-run-ahead-rating-downgrade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Wind Energy Momentum Can Drive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https://seekingalpha.com/article/4940002-iberdrola-wind-energy-momentum-can-drive-growth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Mostly Missed Out On This One, But It's A Hold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https://seekingalpha.com/article/4920289-iberdrola-mostly-missed-out-on-this-one-but-its-a-hold-in-2026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Even More Predictability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https://seekingalpha.com/article/4920246-iberdrola-even-more-predictability-ahead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IBDRY (feed): «Trump administration asks court to reconsider another U.S. offshore wind farm permit» (21-oct), «COPEL and Iberdrola lead utilities quant picks» (13-oct), «Iberdrola raised to Buy at Barclays on 'once in a generation' data center growth opportunity» (26-may)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https://seekingalpha.com/symbol/IBDRY/news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(IBE), seguimiento de las acciones (foro, pág. 316: Caruna y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https://www.rankia.com/foros/bolsa/temas/2003626-iberdrola-ibe-seguimiento-acciones?page=316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«ERP (T12m with sustainable payout)»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86,8 %</w:t>
      </w:r>
      <w:r>
        <w:t xml:space="preserve"> · Secciones con menos del 60 % de campos cubiertos: </w:t>
      </w:r>
      <w:r>
        <w:rPr>
          <w:b/>
          <w:bCs/>
        </w:rPr>
        <w:t xml:space="preserve">riesgos</w:t>
      </w:r>
      <w:r>
        <w:t xml:space="preserve"> · Generado el 26 oct 2026.</w:t>
      </w:r>
    </w:p>
    <w:p>
      <w:pPr>
        <w:pStyle w:val="Nota"/>
        <w:spacing w:after="100"/>
      </w:pPr>
      <w:r>
        <w:t xml:space="preserve">Precio: cierre del 23-oct-2026 (21,90 €); la sesión del 26 seguía abierta. Cuentas 2020-2025 del XBRL (ESEF) y 9M26 del informe de resultados; el XBRL no trae amortizaciones ni segmentos: la amortización es el EBITDA de la empresa menos el EBIT, y los segmentos solo se tienen para 9M25-9M26 con la segmentación nueva (Redes / Generación y Clientes). Las acciones en circulación (6.563 M) son una estimación: emitidas (6.673 M) menos ≈110 M de autocartera deducida de las compras de 4.149 M de 9M26. El BPA del consenso (MarketScreener, Yahoo) no resta los cupones de los híbridos; el nuestro y el de la historia, sí. No se leyeron transcripciones de las conferencias (de pago). La base de activos regulada (56.000 M) es solo de Redes.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Iberdrola, S.A. (IBE.MC)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(16,98 – 22,08)</c:v>
                </c:pt>
                <c:pt idx="1">
                  <c:v>Precio objetivo de los analistas (18,00 – 25,00)</c:v>
                </c:pt>
                <c:pt idx="2">
                  <c:v>Comparables: PER NTM (13,59 – 16,73)</c:v>
                </c:pt>
                <c:pt idx="3">
                  <c:v>DCF (WACC y g ± 0,5) (6,30 – 15,61)</c:v>
                </c:pt>
                <c:pt idx="4">
                  <c:v>Escenarios (bajista – alcista) (4,65 – 12,92)</c:v>
                </c:pt>
                <c:pt idx="5">
                  <c:v>DCF con la prima implícita del mercado (4,2 %)</c:v>
                </c:pt>
                <c:pt idx="6">
                  <c:v>Precio actual (21,90)</c:v>
                </c:pt>
              </c:strCache>
            </c:strRef>
          </c:cat>
          <c:val>
            <c:numRef>
              <c:f>Hoja1!$B$2:$B$8</c:f>
              <c:numCache>
                <c:formatCode>#,##0.0</c:formatCode>
                <c:ptCount val="7"/>
                <c:pt idx="0">
                  <c:v>16.98</c:v>
                </c:pt>
                <c:pt idx="1">
                  <c:v>18</c:v>
                </c:pt>
                <c:pt idx="2">
                  <c:v>13.59</c:v>
                </c:pt>
                <c:pt idx="3">
                  <c:v>6.3</c:v>
                </c:pt>
                <c:pt idx="4">
                  <c:v>4.65</c:v>
                </c:pt>
                <c:pt idx="5">
                  <c:v>10.56</c:v>
                </c:pt>
                <c:pt idx="6">
                  <c:v>21.79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(16,98 – 22,08)</c:v>
                </c:pt>
                <c:pt idx="1">
                  <c:v>Precio objetivo de los analistas (18,00 – 25,00)</c:v>
                </c:pt>
                <c:pt idx="2">
                  <c:v>Comparables: PER NTM (13,59 – 16,73)</c:v>
                </c:pt>
                <c:pt idx="3">
                  <c:v>DCF (WACC y g ± 0,5) (6,30 – 15,61)</c:v>
                </c:pt>
                <c:pt idx="4">
                  <c:v>Escenarios (bajista – alcista) (4,65 – 12,92)</c:v>
                </c:pt>
                <c:pt idx="5">
                  <c:v>DCF con la prima implícita del mercado (4,2 %)</c:v>
                </c:pt>
                <c:pt idx="6">
                  <c:v>Precio actual (21,90)</c:v>
                </c:pt>
              </c:strCache>
            </c:strRef>
          </c:cat>
          <c:val>
            <c:numRef>
              <c:f>Hoja1!$C$2:$C$8</c:f>
              <c:numCache>
                <c:formatCode>#,##0.0</c:formatCode>
                <c:ptCount val="7"/>
                <c:pt idx="0">
                  <c:v>5.099999999999998</c:v>
                </c:pt>
                <c:pt idx="1">
                  <c:v>7</c:v>
                </c:pt>
                <c:pt idx="2">
                  <c:v>3.1400000000000006</c:v>
                </c:pt>
                <c:pt idx="3">
                  <c:v>9.309999999999999</c:v>
                </c:pt>
                <c:pt idx="4">
                  <c:v>8.27</c:v>
                </c:pt>
                <c:pt idx="5">
                  <c:v>7.0699999999999985</c:v>
                </c:pt>
                <c:pt idx="6">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Redes</c:v>
                </c:pt>
              </c:strCache>
            </c:strRef>
          </c:tx>
          <c:spPr>
            <a:solidFill>
              <a:srgbClr val="2A78D6"/>
            </a:solidFill>
            <a:ln w="12700">
              <a:solidFill>
                <a:srgbClr val="FFFFFF"/>
              </a:solidFill>
            </a:ln>
          </c:spPr>
          <c:invertIfNegative val="0"/>
          <c:cat>
            <c:strRef>
              <c:f>Hoja1!$A$2:$A$3</c:f>
              <c:strCache>
                <c:ptCount val="2"/>
                <c:pt idx="0">
                  <c:v>9M25</c:v>
                </c:pt>
                <c:pt idx="1">
                  <c:v>9M26</c:v>
                </c:pt>
              </c:strCache>
            </c:strRef>
          </c:cat>
          <c:val>
            <c:numRef>
              <c:f>Hoja1!$B$2:$B$3</c:f>
              <c:numCache>
                <c:formatCode>#,##0</c:formatCode>
                <c:ptCount val="2"/>
                <c:pt idx="0">
                  <c:v>15337</c:v>
                </c:pt>
                <c:pt idx="1">
                  <c:v>16200</c:v>
                </c:pt>
              </c:numCache>
            </c:numRef>
          </c:val>
        </c:ser>
        <c:ser>
          <c:idx val="1"/>
          <c:order val="1"/>
          <c:tx>
            <c:strRef>
              <c:f>Hoja1!$C$1</c:f>
              <c:strCache>
                <c:ptCount val="1"/>
                <c:pt idx="0">
                  <c:v>Generación y Clientes</c:v>
                </c:pt>
              </c:strCache>
            </c:strRef>
          </c:tx>
          <c:spPr>
            <a:solidFill>
              <a:srgbClr val="EB6834"/>
            </a:solidFill>
            <a:ln w="12700">
              <a:solidFill>
                <a:srgbClr val="FFFFFF"/>
              </a:solidFill>
            </a:ln>
          </c:spPr>
          <c:invertIfNegative val="0"/>
          <c:cat>
            <c:strRef>
              <c:f>Hoja1!$A$2:$A$3</c:f>
              <c:strCache>
                <c:ptCount val="2"/>
                <c:pt idx="0">
                  <c:v>9M25</c:v>
                </c:pt>
                <c:pt idx="1">
                  <c:v>9M26</c:v>
                </c:pt>
              </c:strCache>
            </c:strRef>
          </c:cat>
          <c:val>
            <c:numRef>
              <c:f>Hoja1!$C$2:$C$3</c:f>
              <c:numCache>
                <c:formatCode>#,##0</c:formatCode>
                <c:ptCount val="2"/>
                <c:pt idx="0">
                  <c:v>17306</c:v>
                </c:pt>
                <c:pt idx="1">
                  <c:v>18452</c:v>
                </c:pt>
              </c:numCache>
            </c:numRef>
          </c:val>
        </c:ser>
        <c:ser>
          <c:idx val="2"/>
          <c:order val="2"/>
          <c:tx>
            <c:strRef>
              <c:f>Hoja1!$D$1</c:f>
              <c:strCache>
                <c:ptCount val="1"/>
                <c:pt idx="0">
                  <c:v>Otros y corporación</c:v>
                </c:pt>
              </c:strCache>
            </c:strRef>
          </c:tx>
          <c:spPr>
            <a:solidFill>
              <a:srgbClr val="1BAF7A"/>
            </a:solidFill>
            <a:ln w="12700">
              <a:solidFill>
                <a:srgbClr val="FFFFFF"/>
              </a:solidFill>
            </a:ln>
          </c:spPr>
          <c:invertIfNegative val="0"/>
          <c:cat>
            <c:strRef>
              <c:f>Hoja1!$A$2:$A$3</c:f>
              <c:strCache>
                <c:ptCount val="2"/>
                <c:pt idx="0">
                  <c:v>9M25</c:v>
                </c:pt>
                <c:pt idx="1">
                  <c:v>9M26</c:v>
                </c:pt>
              </c:strCache>
            </c:strRef>
          </c:cat>
          <c:val>
            <c:numRef>
              <c:f>Hoja1!$D$2:$D$3</c:f>
              <c:numCache>
                <c:formatCode>#,##0</c:formatCode>
                <c:ptCount val="2"/>
                <c:pt idx="0">
                  <c:v>-243</c:v>
                </c:pt>
                <c:pt idx="1">
                  <c:v>-248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(9M26)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Redes</c:v>
                </c:pt>
                <c:pt idx="1">
                  <c:v>Generación y Clientes</c:v>
                </c:pt>
                <c:pt idx="2">
                  <c:v>Otros y corporación</c:v>
                </c:pt>
              </c:strCache>
            </c:strRef>
          </c:cat>
          <c:val>
            <c:numRef>
              <c:f>Hoja1!$B$2:$B$4</c:f>
              <c:numCache>
                <c:formatCode>General</c:formatCode>
                <c:ptCount val="3"/>
                <c:pt idx="0">
                  <c:v>47.1</c:v>
                </c:pt>
                <c:pt idx="1">
                  <c:v>53.6</c:v>
                </c:pt>
                <c:pt idx="2">
                  <c:v>-0.7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España</c:v>
                </c:pt>
                <c:pt idx="1">
                  <c:v>Reino Unido</c:v>
                </c:pt>
                <c:pt idx="2">
                  <c:v>EE. UU.</c:v>
                </c:pt>
                <c:pt idx="3">
                  <c:v>Brasil</c:v>
                </c:pt>
                <c:pt idx="4">
                  <c:v>Resto de la UE y Australia</c:v>
                </c:pt>
              </c:strCache>
            </c:strRef>
          </c:cat>
          <c:val>
            <c:numRef>
              <c:f>Hoja1!$B$2:$B$6</c:f>
              <c:numCache>
                <c:formatCode>0"%"</c:formatCode>
                <c:ptCount val="5"/>
                <c:pt idx="0">
                  <c:v>38</c:v>
                </c:pt>
                <c:pt idx="1">
                  <c:v>22</c:v>
                </c:pt>
                <c:pt idx="2">
                  <c:v>19</c:v>
                </c:pt>
                <c:pt idx="3">
                  <c:v>17</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Iberdrola</c:v>
                </c:pt>
                <c:pt idx="1">
                  <c:v>Enel</c:v>
                </c:pt>
                <c:pt idx="2">
                  <c:v>Endesa</c:v>
                </c:pt>
                <c:pt idx="3">
                  <c:v>Naturgy</c:v>
                </c:pt>
                <c:pt idx="4">
                  <c:v>EDP</c:v>
                </c:pt>
                <c:pt idx="5">
                  <c:v>SSE</c:v>
                </c:pt>
                <c:pt idx="6">
                  <c:v>National Grid</c:v>
                </c:pt>
                <c:pt idx="7">
                  <c:v>E.ON</c:v>
                </c:pt>
                <c:pt idx="8">
                  <c:v>Engie</c:v>
                </c:pt>
              </c:strCache>
            </c:strRef>
          </c:cat>
          <c:val>
            <c:numRef>
              <c:f>Hoja1!$B$2:$B$10</c:f>
              <c:numCache>
                <c:formatCode>0.0"%"</c:formatCode>
                <c:ptCount val="9"/>
                <c:pt idx="0">
                  <c:v>22.1</c:v>
                </c:pt>
                <c:pt idx="1">
                  <c:v>16.7</c:v>
                </c:pt>
                <c:pt idx="2">
                  <c:v>15.5</c:v>
                </c:pt>
                <c:pt idx="3">
                  <c:v>20.3</c:v>
                </c:pt>
                <c:pt idx="4">
                  <c:v>20.6</c:v>
                </c:pt>
                <c:pt idx="5">
                  <c:v>21</c:v>
                </c:pt>
                <c:pt idx="6">
                  <c:v>33</c:v>
                </c:pt>
                <c:pt idx="7">
                  <c:v>6.6</c:v>
                </c:pt>
                <c:pt idx="8">
                  <c:v>12.4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33145</c:v>
                </c:pt>
                <c:pt idx="1">
                  <c:v>39114</c:v>
                </c:pt>
                <c:pt idx="2">
                  <c:v>53949</c:v>
                </c:pt>
                <c:pt idx="3">
                  <c:v>49335</c:v>
                </c:pt>
                <c:pt idx="4">
                  <c:v>42988</c:v>
                </c:pt>
                <c:pt idx="5">
                  <c:v>44076</c:v>
                </c:pt>
                <c:pt idx="6">
                  <c:v>46280</c:v>
                </c:pt>
                <c:pt idx="7">
                  <c:v>48594</c:v>
                </c:pt>
                <c:pt idx="8">
                  <c:v>51023</c:v>
                </c:pt>
                <c:pt idx="9">
                  <c:v>53064</c:v>
                </c:pt>
                <c:pt idx="10">
                  <c:v>54922</c:v>
                </c:pt>
                <c:pt idx="11">
                  <c:v>56569</c:v>
                </c:pt>
                <c:pt idx="12">
                  <c:v>57984</c:v>
                </c:pt>
                <c:pt idx="13">
                  <c:v>59433</c:v>
                </c:pt>
                <c:pt idx="14">
                  <c:v>60622</c:v>
                </c:pt>
                <c:pt idx="15">
                  <c:v>61834</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10038</c:v>
                </c:pt>
                <c:pt idx="1">
                  <c:v>12006</c:v>
                </c:pt>
                <c:pt idx="2">
                  <c:v>13228</c:v>
                </c:pt>
                <c:pt idx="3">
                  <c:v>14417</c:v>
                </c:pt>
                <c:pt idx="4">
                  <c:v>14642</c:v>
                </c:pt>
                <c:pt idx="5">
                  <c:v>15956</c:v>
                </c:pt>
                <c:pt idx="6">
                  <c:v>16198</c:v>
                </c:pt>
                <c:pt idx="7">
                  <c:v>17640</c:v>
                </c:pt>
                <c:pt idx="8">
                  <c:v>19032</c:v>
                </c:pt>
                <c:pt idx="9">
                  <c:v>20058</c:v>
                </c:pt>
                <c:pt idx="10">
                  <c:v>20870</c:v>
                </c:pt>
                <c:pt idx="11">
                  <c:v>21496</c:v>
                </c:pt>
                <c:pt idx="12">
                  <c:v>22034</c:v>
                </c:pt>
                <c:pt idx="13">
                  <c:v>22585</c:v>
                </c:pt>
                <c:pt idx="14">
                  <c:v>23036</c:v>
                </c:pt>
                <c:pt idx="15">
                  <c:v>23497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48.7</c:v>
                </c:pt>
                <c:pt idx="1">
                  <c:v>43.6</c:v>
                </c:pt>
                <c:pt idx="2">
                  <c:v>37.4</c:v>
                </c:pt>
                <c:pt idx="3">
                  <c:v>47.2</c:v>
                </c:pt>
                <c:pt idx="4">
                  <c:v>54</c:v>
                </c:pt>
                <c:pt idx="5">
                  <c:v>54.6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30.3</c:v>
                </c:pt>
                <c:pt idx="1">
                  <c:v>30.7</c:v>
                </c:pt>
                <c:pt idx="2">
                  <c:v>24.5</c:v>
                </c:pt>
                <c:pt idx="3">
                  <c:v>29.2</c:v>
                </c:pt>
                <c:pt idx="4">
                  <c:v>34.1</c:v>
                </c:pt>
                <c:pt idx="5">
                  <c:v>36.2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16.8</c:v>
                </c:pt>
                <c:pt idx="1">
                  <c:v>18.8</c:v>
                </c:pt>
                <c:pt idx="2">
                  <c:v>14.8</c:v>
                </c:pt>
                <c:pt idx="3">
                  <c:v>18.2</c:v>
                </c:pt>
                <c:pt idx="4">
                  <c:v>17.8</c:v>
                </c:pt>
                <c:pt idx="5">
                  <c:v>22.1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10.9</c:v>
                </c:pt>
                <c:pt idx="1">
                  <c:v>9.9</c:v>
                </c:pt>
                <c:pt idx="2">
                  <c:v>8</c:v>
                </c:pt>
                <c:pt idx="3">
                  <c:v>9.7</c:v>
                </c:pt>
                <c:pt idx="4">
                  <c:v>13.1</c:v>
                </c:pt>
                <c:pt idx="5">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3T25</c:v>
                </c:pt>
                <c:pt idx="1">
                  <c:v>4T25</c:v>
                </c:pt>
                <c:pt idx="2">
                  <c:v>1T26</c:v>
                </c:pt>
                <c:pt idx="3">
                  <c:v>2T26</c:v>
                </c:pt>
                <c:pt idx="4">
                  <c:v>3T26</c:v>
                </c:pt>
              </c:strCache>
            </c:strRef>
          </c:cat>
          <c:val>
            <c:numRef>
              <c:f>Hoja1!$B$2:$B$6</c:f>
              <c:numCache>
                <c:formatCode>0.0"%"</c:formatCode>
                <c:ptCount val="5"/>
                <c:pt idx="4">
                  <c:v>15.9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c:v>
                </c:pt>
                <c:pt idx="1">
                  <c:v>76</c:v>
                </c:pt>
                <c:pt idx="2">
                  <c:v>67</c:v>
                </c:pt>
                <c:pt idx="3">
                  <c:v>66</c:v>
                </c:pt>
                <c:pt idx="4">
                  <c:v>78</c:v>
                </c:pt>
                <c:pt idx="5">
                  <c:v>85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39</c:v>
                </c:pt>
                <c:pt idx="1">
                  <c:v>36</c:v>
                </c:pt>
                <c:pt idx="2">
                  <c:v>19</c:v>
                </c:pt>
                <c:pt idx="3">
                  <c:v>27</c:v>
                </c:pt>
                <c:pt idx="4">
                  <c:v>38</c:v>
                </c:pt>
                <c:pt idx="5">
                  <c:v>31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81</c:v>
                </c:pt>
                <c:pt idx="1">
                  <c:v>80</c:v>
                </c:pt>
                <c:pt idx="2">
                  <c:v>53</c:v>
                </c:pt>
                <c:pt idx="3">
                  <c:v>53</c:v>
                </c:pt>
                <c:pt idx="4">
                  <c:v>80</c:v>
                </c:pt>
                <c:pt idx="5">
                  <c:v>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-182</c:v>
                </c:pt>
                <c:pt idx="1">
                  <c:v>-1720</c:v>
                </c:pt>
                <c:pt idx="2">
                  <c:v>-742</c:v>
                </c:pt>
                <c:pt idx="3">
                  <c:v>-740</c:v>
                </c:pt>
                <c:pt idx="4">
                  <c:v>-1500</c:v>
                </c:pt>
                <c:pt idx="5">
                  <c:v>-3081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3611</c:v>
                </c:pt>
                <c:pt idx="1">
                  <c:v>3885</c:v>
                </c:pt>
                <c:pt idx="2">
                  <c:v>4339</c:v>
                </c:pt>
                <c:pt idx="3">
                  <c:v>4803</c:v>
                </c:pt>
                <c:pt idx="4">
                  <c:v>5612</c:v>
                </c:pt>
                <c:pt idx="5">
                  <c:v>6285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5.2</c:v>
                </c:pt>
                <c:pt idx="1">
                  <c:v>5.7</c:v>
                </c:pt>
                <c:pt idx="2">
                  <c:v>6.6</c:v>
                </c:pt>
                <c:pt idx="3">
                  <c:v>6.6</c:v>
                </c:pt>
                <c:pt idx="4">
                  <c:v>5.3</c:v>
                </c:pt>
                <c:pt idx="5">
                  <c:v>6.7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6.5</c:v>
                </c:pt>
                <c:pt idx="1">
                  <c:v>6.5</c:v>
                </c:pt>
                <c:pt idx="2">
                  <c:v>6.5</c:v>
                </c:pt>
                <c:pt idx="3">
                  <c:v>6.5</c:v>
                </c:pt>
                <c:pt idx="4">
                  <c:v>6.5</c:v>
                </c:pt>
                <c:pt idx="5">
                  <c:v>6.5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10.2</c:v>
                </c:pt>
                <c:pt idx="1">
                  <c:v>10.2</c:v>
                </c:pt>
                <c:pt idx="2">
                  <c:v>10.6</c:v>
                </c:pt>
                <c:pt idx="3">
                  <c:v>11.4</c:v>
                </c:pt>
                <c:pt idx="4">
                  <c:v>12.4</c:v>
                </c:pt>
                <c:pt idx="5">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3.65</c:v>
                </c:pt>
                <c:pt idx="1">
                  <c:v>3.29</c:v>
                </c:pt>
                <c:pt idx="2">
                  <c:v>3.36</c:v>
                </c:pt>
                <c:pt idx="3">
                  <c:v>3.32</c:v>
                </c:pt>
                <c:pt idx="4">
                  <c:v>3.63</c:v>
                </c:pt>
                <c:pt idx="5">
                  <c:v>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 (4T)</c:v>
                </c:pt>
                <c:pt idx="1">
                  <c:v>2027</c:v>
                </c:pt>
                <c:pt idx="2">
                  <c:v>2028</c:v>
                </c:pt>
                <c:pt idx="3">
                  <c:v>2029</c:v>
                </c:pt>
                <c:pt idx="4">
                  <c:v>2030</c:v>
                </c:pt>
                <c:pt idx="5">
                  <c:v>2031+</c:v>
                </c:pt>
              </c:strCache>
            </c:strRef>
          </c:cat>
          <c:val>
            <c:numRef>
              <c:f>Hoja1!$B$2:$B$7</c:f>
              <c:numCache>
                <c:formatCode>#,##0</c:formatCode>
                <c:ptCount val="6"/>
                <c:pt idx="0">
                  <c:v>1724</c:v>
                </c:pt>
                <c:pt idx="1">
                  <c:v>3451</c:v>
                </c:pt>
                <c:pt idx="2">
                  <c:v>4947</c:v>
                </c:pt>
                <c:pt idx="3">
                  <c:v>5238</c:v>
                </c:pt>
                <c:pt idx="4">
                  <c:v>4688</c:v>
                </c:pt>
                <c:pt idx="5">
                  <c:v>36050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777</c:v>
                </c:pt>
                <c:pt idx="1">
                  <c:v>833</c:v>
                </c:pt>
                <c:pt idx="2">
                  <c:v>116</c:v>
                </c:pt>
                <c:pt idx="3">
                  <c:v>402</c:v>
                </c:pt>
                <c:pt idx="4">
                  <c:v>5640</c:v>
                </c:pt>
                <c:pt idx="5">
                  <c:v>2187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562</c:v>
                </c:pt>
                <c:pt idx="1">
                  <c:v>570</c:v>
                </c:pt>
                <c:pt idx="2">
                  <c:v>890</c:v>
                </c:pt>
                <c:pt idx="3">
                  <c:v>949</c:v>
                </c:pt>
                <c:pt idx="4">
                  <c:v>1166</c:v>
                </c:pt>
                <c:pt idx="5">
                  <c:v>1275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2710</c:v>
                </c:pt>
                <c:pt idx="1">
                  <c:v>1897</c:v>
                </c:pt>
                <c:pt idx="2">
                  <c:v>1885</c:v>
                </c:pt>
                <c:pt idx="3">
                  <c:v>2787</c:v>
                </c:pt>
                <c:pt idx="4">
                  <c:v>2076</c:v>
                </c:pt>
                <c:pt idx="5">
                  <c:v>3017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2</c:v>
                </c:pt>
                <c:pt idx="1">
                  <c:v>12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Qatar Investment Authority (Qatar Holding y DIC Holding)</c:v>
                </c:pt>
                <c:pt idx="1">
                  <c:v>BlackRock, Inc.</c:v>
                </c:pt>
                <c:pt idx="2">
                  <c:v>Consejo de administración</c:v>
                </c:pt>
                <c:pt idx="3">
                  <c:v>Autocartera</c:v>
                </c:pt>
              </c:strCache>
            </c:strRef>
          </c:cat>
          <c:val>
            <c:numRef>
              <c:f>Hoja1!$B$2:$B$5</c:f>
              <c:numCache>
                <c:formatCode>0.0"%"</c:formatCode>
                <c:ptCount val="4"/>
                <c:pt idx="0">
                  <c:v>6.98</c:v>
                </c:pt>
                <c:pt idx="1">
                  <c:v>6.03</c:v>
                </c:pt>
                <c:pt idx="2">
                  <c:v>0.24</c:v>
                </c:pt>
                <c:pt idx="3">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-4.8</c:v>
                </c:pt>
                <c:pt idx="1">
                  <c:v>3.6</c:v>
                </c:pt>
                <c:pt idx="2">
                  <c:v>8.6</c:v>
                </c:pt>
                <c:pt idx="3">
                  <c:v>30.8</c:v>
                </c:pt>
                <c:pt idx="4">
                  <c:v>27.5</c:v>
                </c:pt>
                <c:pt idx="5">
                  <c:v>-11</c:v>
                </c:pt>
                <c:pt idx="6">
                  <c:v>5</c:v>
                </c:pt>
                <c:pt idx="7">
                  <c:v>8.6</c:v>
                </c:pt>
                <c:pt idx="8">
                  <c:v>12</c:v>
                </c:pt>
                <c:pt idx="9">
                  <c:v>38.8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1">
                  <c:v>10.2</c:v>
                </c:pt>
                <c:pt idx="2">
                  <c:v>10</c:v>
                </c:pt>
                <c:pt idx="3">
                  <c:v>9.8</c:v>
                </c:pt>
                <c:pt idx="4">
                  <c:v>10.6</c:v>
                </c:pt>
                <c:pt idx="5">
                  <c:v>12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10.2</c:v>
                </c:pt>
                <c:pt idx="1">
                  <c:v>10.2</c:v>
                </c:pt>
                <c:pt idx="2">
                  <c:v>10.2</c:v>
                </c:pt>
                <c:pt idx="3">
                  <c:v>10.2</c:v>
                </c:pt>
                <c:pt idx="4">
                  <c:v>10.2</c:v>
                </c:pt>
                <c:pt idx="5">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Iberdrola</c:v>
                </c:pt>
                <c:pt idx="1">
                  <c:v>Endesa</c:v>
                </c:pt>
                <c:pt idx="2">
                  <c:v>Naturgy</c:v>
                </c:pt>
                <c:pt idx="3">
                  <c:v>Redeia</c:v>
                </c:pt>
                <c:pt idx="4">
                  <c:v>Enel</c:v>
                </c:pt>
                <c:pt idx="5">
                  <c:v>EDP</c:v>
                </c:pt>
                <c:pt idx="6">
                  <c:v>E.ON</c:v>
                </c:pt>
                <c:pt idx="7">
                  <c:v>RWE</c:v>
                </c:pt>
                <c:pt idx="8">
                  <c:v>Engie</c:v>
                </c:pt>
                <c:pt idx="9">
                  <c:v>SSE</c:v>
                </c:pt>
                <c:pt idx="10">
                  <c:v>National Grid</c:v>
                </c:pt>
              </c:strCache>
            </c:strRef>
          </c:cat>
          <c:val>
            <c:numRef>
              <c:f>Hoja1!$B$2:$B$12</c:f>
              <c:numCache>
                <c:formatCode>0.0"x"</c:formatCode>
                <c:ptCount val="11"/>
                <c:pt idx="0">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-81</c:v>
                </c:pt>
                <c:pt idx="1">
                  <c:v>677</c:v>
                </c:pt>
                <c:pt idx="2">
                  <c:v>1405</c:v>
                </c:pt>
                <c:pt idx="3">
                  <c:v>2834</c:v>
                </c:pt>
                <c:pt idx="4">
                  <c:v>3914</c:v>
                </c:pt>
                <c:pt idx="5">
                  <c:v>4951</c:v>
                </c:pt>
                <c:pt idx="6">
                  <c:v>6006</c:v>
                </c:pt>
                <c:pt idx="7">
                  <c:v>7048</c:v>
                </c:pt>
                <c:pt idx="8">
                  <c:v>7836</c:v>
                </c:pt>
                <c:pt idx="9">
                  <c:v>8302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29500</c:v>
                </c:pt>
                <c:pt idx="1">
                  <c:v>104948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4.65</c:v>
                </c:pt>
                <c:pt idx="1">
                  <c:v>9.93</c:v>
                </c:pt>
                <c:pt idx="2">
                  <c:v>12.92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(16,98 – 22,08)</c:v>
                </c:pt>
                <c:pt idx="1">
                  <c:v>Precio objetivo de los analistas (18,00 – 25,00)</c:v>
                </c:pt>
                <c:pt idx="2">
                  <c:v>Comparables: PER NTM (13,59 – 16,73)</c:v>
                </c:pt>
                <c:pt idx="3">
                  <c:v>DCF (WACC y g ± 0,5) (6,30 – 15,61)</c:v>
                </c:pt>
                <c:pt idx="4">
                  <c:v>Escenarios (bajista – alcista) (4,65 – 12,92)</c:v>
                </c:pt>
                <c:pt idx="5">
                  <c:v>DCF con la prima implícita del mercado (4,2 %)</c:v>
                </c:pt>
                <c:pt idx="6">
                  <c:v>Precio actual (21,90)</c:v>
                </c:pt>
              </c:strCache>
            </c:strRef>
          </c:cat>
          <c:val>
            <c:numRef>
              <c:f>Hoja1!$B$2:$B$8</c:f>
              <c:numCache>
                <c:formatCode>#,##0.0</c:formatCode>
                <c:ptCount val="7"/>
                <c:pt idx="0">
                  <c:v>16.98</c:v>
                </c:pt>
                <c:pt idx="1">
                  <c:v>18</c:v>
                </c:pt>
                <c:pt idx="2">
                  <c:v>13.59</c:v>
                </c:pt>
                <c:pt idx="3">
                  <c:v>6.3</c:v>
                </c:pt>
                <c:pt idx="4">
                  <c:v>4.65</c:v>
                </c:pt>
                <c:pt idx="5">
                  <c:v>10.56</c:v>
                </c:pt>
                <c:pt idx="6">
                  <c:v>21.79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(16,98 – 22,08)</c:v>
                </c:pt>
                <c:pt idx="1">
                  <c:v>Precio objetivo de los analistas (18,00 – 25,00)</c:v>
                </c:pt>
                <c:pt idx="2">
                  <c:v>Comparables: PER NTM (13,59 – 16,73)</c:v>
                </c:pt>
                <c:pt idx="3">
                  <c:v>DCF (WACC y g ± 0,5) (6,30 – 15,61)</c:v>
                </c:pt>
                <c:pt idx="4">
                  <c:v>Escenarios (bajista – alcista) (4,65 – 12,92)</c:v>
                </c:pt>
                <c:pt idx="5">
                  <c:v>DCF con la prima implícita del mercado (4,2 %)</c:v>
                </c:pt>
                <c:pt idx="6">
                  <c:v>Precio actual (21,90)</c:v>
                </c:pt>
              </c:strCache>
            </c:strRef>
          </c:cat>
          <c:val>
            <c:numRef>
              <c:f>Hoja1!$C$2:$C$8</c:f>
              <c:numCache>
                <c:formatCode>#,##0.0</c:formatCode>
                <c:ptCount val="7"/>
                <c:pt idx="0">
                  <c:v>5.099999999999998</c:v>
                </c:pt>
                <c:pt idx="1">
                  <c:v>7</c:v>
                </c:pt>
                <c:pt idx="2">
                  <c:v>3.1400000000000006</c:v>
                </c:pt>
                <c:pt idx="3">
                  <c:v>9.309999999999999</c:v>
                </c:pt>
                <c:pt idx="4">
                  <c:v>8.27</c:v>
                </c:pt>
                <c:pt idx="5">
                  <c:v>7.0699999999999985</c:v>
                </c:pt>
                <c:pt idx="6">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