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On Holding AG</w:t>
      </w:r>
    </w:p>
    <w:p>
      <w:pPr>
        <w:spacing w:after="60"/>
        <w:rPr>
          <w:color w:val="52514E"/>
          <w:sz w:val="22"/>
          <w:szCs w:val="22"/>
        </w:rPr>
      </w:pPr>
      <w:r>
        <w:rPr>
          <w:color w:val="52514E"/>
          <w:sz w:val="22"/>
          <w:szCs w:val="22"/>
        </w:rPr>
        <w:t xml:space="preserve">ONON · NYSE (acciones de Clase A, en USD) · ISIN CH1134540470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26,48 CHF (31,88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27,68 CHF (33,33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+4,5 %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8.900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11,2x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On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ONON / CH1134540470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 (acciones de Clase A, en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(solo como referencia: On no forma parte del índice)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ropa y bienes de lujo (calzado y ropa deportiva)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Zúrich (Suiza) · 2010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26,48 (5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21,89 – 42,42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8.900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8.265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262 M USD/día (≈ 218 M CHF; 8,5 M de acciones;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Valor objetivo </w:t>
      </w:r>
      <w:r>
        <w:rPr>
          <w:b/>
          <w:bCs/>
        </w:rPr>
        <w:t xml:space="preserve">27,68 CHF (33,33 USD)</w:t>
      </w:r>
      <w:r>
        <w:t xml:space="preserve"> frente a 26,48 (31,88 USD) · Rentabilidad total esperada a 12 meses </w:t>
      </w:r>
      <w:r>
        <w:rPr>
          <w:b/>
          <w:bCs/>
        </w:rPr>
        <w:t xml:space="preserve">+4,5 %</w:t>
      </w:r>
      <w:r>
        <w:t xml:space="preserve"> · Alcista / bajista +50,0 % / -31,3 %</w:t>
      </w:r>
    </w:p>
    <w:p>
      <w:pPr>
        <w:spacing w:after="100"/>
      </w:pPr>
      <w:r>
        <w:rPr>
          <w:b/>
        </w:rPr>
        <w:t xml:space="preserve">La recomendación y por qué.</w:t>
      </w:r>
      <w:r>
        <w:t xml:space="preserve"> Mantener, con convicción media y horizonte de 12 meses. El valor objetivo es de 27,68 CHF (33,33 USD), un 4,5 % sobre el precio de 26,48 CHF (31,88 USD); sin dividendo, esa es la rentabilidad total, lejos del 15 % de la regla. La asimetría es favorable (1,60 veces: alcista +50,0 %, bajista −31,3 %), pero se cobra a 3-5 años; a doce meses, depende de que el 3T26 y la guía de 2027 confirmen que el frenazo es de canal y divisa, no de marca.</w:t>
      </w:r>
    </w:p>
    <w:p>
      <w:pPr>
        <w:spacing w:after="100"/>
      </w:pPr>
      <w:r>
        <w:rPr>
          <w:b/>
        </w:rPr>
        <w:t xml:space="preserve">El negocio.</w:t>
      </w:r>
      <w:r>
        <w:t xml:space="preserve"> On vende a precio completo calzado deportivo premium: margen bruto del 64,8 % en el 1S26, frente al 42,9 % de Nike y el 51,6 % de adidas [6, 38, 39]. Es su valor y su riesgo: el foso es solo la marca [1]. El ROIC del 38,4 % casi cuadruplica el WACC del 10,01 %, y el incremental (48,6 %) dice que crecer, sin compras, ha sido rentable.</w:t>
      </w:r>
    </w:p>
    <w:p>
      <w:pPr>
        <w:spacing w:after="100"/>
      </w:pPr>
      <w:r>
        <w:rPr>
          <w:b/>
        </w:rPr>
        <w:t xml:space="preserve">Sector y ciclo.</w:t>
      </w:r>
      <w:r>
        <w:t xml:space="preserve"> Con un mercado promocional y Nike dos años sin crecer [39, 43], On recortó en el 2T26 las entregas a mayoristas (+4,8 % en CHF) y rebajó por primera vez la guía de ventas [6]; la venta directa, en cambio, creció un 34,3 % a divisa constante y ya es el 45,7 % de las ventas [6].</w:t>
      </w:r>
    </w:p>
    <w:p>
      <w:pPr>
        <w:spacing w:after="100"/>
      </w:pPr>
      <w:r>
        <w:rPr>
          <w:b/>
        </w:rPr>
        <w:t xml:space="preserve">Finanzas.</w:t>
      </w:r>
      <w:r>
        <w:t xml:space="preserve"> Las ventas crecieron un 47,9 % anual en 2020-2025, hasta 3.014 M CHF, y el margen EBITDA NIIF, del 10,8 % de 2022 al 16,7 %. La divisa exagera el frenazo: con el 51 % de las ventas en EE. UU., el dólar débil restó 8,1 puntos al crecimiento del 2T26 (+13,5 % frente a +21,6 % a divisa constante) [1, 6]. Sin deuda financiera, tiene 643 M CHF de caja neta tras arrendamientos [7].</w:t>
      </w:r>
    </w:p>
    <w:p>
      <w:pPr>
        <w:spacing w:after="100"/>
      </w:pPr>
      <w:r>
        <w:rPr>
          <w:b/>
        </w:rPr>
        <w:t xml:space="preserve">Equipo y gobierno.</w:t>
      </w:r>
      <w:r>
        <w:t xml:space="preserve"> Restan. Las guías de 2022-2025 se superaron todas [11, 16, 20, 33], pero en trece meses salieron los dos co-CEO no fundadores, y los fundadores, con el 54-57 % del voto y el 13 % del capital, ahora presiden y dirigen [1, 26]. El gobierno cumple 7 de 13 criterios: fallan, además de esa presidencia vinculada, la estabilidad de la cúpula, la doble clase de acciones, un variable sin ROIC ni caja [47], un auditor con 13 años y 65,99 M CHF de ventas de directivos sin compras.</w:t>
      </w:r>
    </w:p>
    <w:p>
      <w:pPr>
        <w:spacing w:after="100"/>
      </w:pPr>
      <w:r>
        <w:rPr>
          <w:b/>
        </w:rPr>
        <w:t xml:space="preserve">Valoración.</w:t>
      </w:r>
      <w:r>
        <w:t xml:space="preserve"> El DCF (50 %) da 30,07 CHF y los escenarios (30 %), 29,51 CHF; los comparables (20 %), 18,98 CHF, porque el sector cotiza a 8,0 veces el EBITDA y On a 11,2. Pesan poco: ningún par tiene su crecimiento ni su caja, y la regresión múltiplo-crecimiento no explica nada (R² de 0,02). El DCF inverso descuenta un crecimiento del 8,1 % anual en 2027-2035 (10,7 % en nuestro caso base) o un margen final del 18,2 % (20,0 %): poco para quien crece un 24,0 % a divisa constante [6]. Discrepamos del precio, pero menos que el consenso (objetivo medio de 36,11 CHF) [70]: proyectamos en CHF.</w:t>
      </w:r>
    </w:p>
    <w:p>
      <w:pPr>
        <w:spacing w:after="100"/>
      </w:pPr>
      <w:r>
        <w:rPr>
          <w:b/>
        </w:rPr>
        <w:t xml:space="preserve">Riesgos y catalizadores.</w:t>
      </w:r>
      <w:r>
        <w:t xml:space="preserve"> El mayor riesgo es que la marca pierda atractivo, como Lululemon [39]: es el bajista de 18,18 CHF (−31,3 %). Le siguen los mayoristas de EE. UU., con un mayor cliente que ya pesa el 11,6 % de las ventas [7] (−9 % por cada 2 puntos menos de crecimiento). Catalizadores: el 3T26 en noviembre, con un ~17 % previsto a divisa constante y hasta 53 M CHF de aranceles devueltos [21]; la guía de 2027, en marzo; y la recompra de hasta 1.000 M USD [21].</w:t>
      </w:r>
    </w:p>
    <w:p>
      <w:pPr>
        <w:spacing w:after="100"/>
      </w:pPr>
      <w:r>
        <w:rPr>
          <w:b/>
        </w:rPr>
        <w:t xml:space="preserve">Qué cambiaría la decisión.</w:t>
      </w:r>
      <w:r>
        <w:t xml:space="preserve"> Por debajo de 24,07 CHF (28,98 USD) compraríamos; por encima de 30,76 CHF (37,03 USD), venderíamos. Pasaríamos a Comprar si la guía de 2027 apunta a un crecimiento «high-teens» a divisa constante con un margen bruto del 65 % o más, y a Vender si la venta directa del 3T26 crece menos del 20 % a divisa constante.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Valor objetivo: </w:t>
      </w:r>
      <w:r>
        <w:rPr>
          <w:b/>
          <w:bCs/>
        </w:rPr>
        <w:t xml:space="preserve">27,68 CHF (33,33 USD)</w:t>
      </w:r>
      <w:r>
        <w:t xml:space="preserve"> (+4,5 % sobre 26,48; rentabilidad total esperada +4,5 %)</w:t>
      </w:r>
    </w:p>
    <w:p>
      <w:pPr>
        <w:spacing w:after="100"/>
      </w:pPr>
      <w:r>
        <w:t xml:space="preserve">On ha crecido como pocas marcas deportivas, y con beneficio: ventas de 425 a 3.014 M CHF entre 2020 y 2025 (TCAC del 47,9 %), margen bruto del 64,8 % en el 1S26, el más alto del sector, ROIC del 38,4 % y 643 M CHF de caja neta después de arrendamientos [1, 6, 7]. Su valor está en una marca que vende a precio completo y en una cartera de crecimiento (Asia, ropa, venta directa) que todavía es pequeña.</w:t>
      </w:r>
    </w:p>
    <w:p>
      <w:pPr>
        <w:spacing w:after="100"/>
      </w:pPr>
      <w:r>
        <w:t xml:space="preserve">Al precio de 26,48 CHF (31,88 USD), el DCF inverso descuenta un crecimiento medio del 8,1 % anual en 2027-2035, frente al 10,7 % de mi caso base, o un margen EBITDA final del 18,2 % en lugar del 20,0 %. On cotiza a 11,2x EV/EBITDA de los próximos 12 meses y 18,5x PER, con prima sobre los comparables (8,0x y 12,9x), pero por debajo de cualquier cierre anual desde 2022 (14,2x EBITDA de los últimos 12 meses frente a una media de 34,7x). El mercado ya no paga el plan a 2029: castiga la rebaja de la guía de ventas, el dólar débil y la cúpula nueva [6, 68].</w:t>
      </w:r>
    </w:p>
    <w:p>
      <w:pPr>
        <w:spacing w:after="100"/>
      </w:pPr>
      <w:r>
        <w:t xml:space="preserve">El mercado acierta en la dirección y exagera la cuantía. Mi valor objetivo es de 27,68 CHF (33,33 USD), un 4,5 % por encima del precio: el DCF (30,07 CHF) y los escenarios (29,51 CHF) quedan por encima, y los comparables (18,98 CHF) por debajo. Para comprar hay que creer que el recorte de los mayoristas es temporal y que la venta directa y Asia sostienen un crecimiento del 15 % en divisa constante. La regla da Mantener, y estoy de acuerdo: el potencial no paga el riesgo de marca y la falta de visibilidad hasta los resultados del 3T26 y la guía de 2027. En dólares, para comparar con la cotización: valor objetivo de 33,33 USD, compra por debajo de 28,98 USD (24,07 CHF) y venta por encima de 37,03 USD (30,76 CHF), al tipo de 0,8305 CHF por USD [45].</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 CHF (33,33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actual (USD al tipo de 0,8305 CHF por USD)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 CHF (31,88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 / -31,3 %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 frente a 10,0 %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24,07 (28,98 USD) (rentabilidad total esperada ≥ 15 %), si la asimetría sigue siendo favorable</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24,07 y 30,76 (28,98 y 37,03 USD)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30,76 (37,03 USD) (rentabilidad total esperada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24,07 CHF (≈ 29 USD) sin deterioro de los fundamentales, pasaríamos a Comprar.</w:t>
      </w:r>
    </w:p>
    <w:p>
      <w:pPr>
        <w:pStyle w:val="ListParagraph"/>
        <w:numPr>
          <w:ilvl w:val="0"/>
          <w:numId w:val="2"/>
        </w:numPr>
        <w:spacing w:after="60"/>
      </w:pPr>
      <w:r>
        <w:t xml:space="preserve">Si la guía de 2027 apunta a un crecimiento «high-teens» a divisa constante con margen bruto ≥ 65 %, subiríamos el caso base y probablemente pasaríamos a Comprar.</w:t>
      </w:r>
    </w:p>
    <w:p>
      <w:pPr>
        <w:pStyle w:val="ListParagraph"/>
        <w:numPr>
          <w:ilvl w:val="0"/>
          <w:numId w:val="2"/>
        </w:numPr>
        <w:spacing w:after="60"/>
      </w:pPr>
      <w:r>
        <w:t xml:space="preserve">Si la venta directa del 3T26 crece menos del 20 % a divisa constante, pasaríamos a Vender.</w:t>
      </w:r>
    </w:p>
    <w:p>
      <w:pPr>
        <w:pStyle w:val="ListParagraph"/>
        <w:numPr>
          <w:ilvl w:val="0"/>
          <w:numId w:val="2"/>
        </w:numPr>
        <w:spacing w:after="60"/>
      </w:pPr>
      <w:r>
        <w:t xml:space="preserve">Si el margen bruto de 2026 sin aranceles devueltos queda por debajo del 63 %, revisaríamos a la baja el caso base.</w:t>
      </w:r>
    </w:p>
    <w:p>
      <w:pPr>
        <w:pStyle w:val="ListParagraph"/>
        <w:numPr>
          <w:ilvl w:val="0"/>
          <w:numId w:val="2"/>
        </w:numPr>
        <w:spacing w:after="60"/>
      </w:pPr>
      <w:r>
        <w:t xml:space="preserve">Si el precio supera 30,76 CHF (≈ 37 USD) sin mejora de las previsiones, pasaríamos a Vender.</w:t>
      </w:r>
    </w:p>
    <w:p>
      <w:pPr>
        <w:pStyle w:val="Heading2"/>
      </w:pPr>
      <w:r>
        <w:t xml:space="preserve">Dónde discrepamos del mercado</w:t>
      </w:r>
    </w:p>
    <w:p>
      <w:pPr>
        <w:spacing w:after="100"/>
      </w:pPr>
      <w:r>
        <w:rPr>
          <w:b/>
          <w:bCs/>
        </w:rPr>
        <w:t xml:space="preserve">Lo que descuenta el precio.</w:t>
      </w:r>
    </w:p>
    <w:p>
      <w:pPr>
        <w:spacing w:after="100"/>
      </w:pPr>
      <w:r>
        <w:t xml:space="preserve">Que On se ha convertido en una marca deportiva más: crecimiento medio del 8 % anual desde 2027, sin llegar al margen del plan, y un riesgo de gobierno por la salida de dos primeros ejecutivos en 24 meses y el control de los fundadores. Con 11,2x EBITDA de los próximos 12 meses, el precio queda a medio camino entre Asics (11,8x) y las marcas en reestructuración.</w:t>
      </w:r>
    </w:p>
    <w:p>
      <w:pPr>
        <w:spacing w:after="100"/>
      </w:pPr>
      <w:r>
        <w:rPr>
          <w:b/>
          <w:bCs/>
        </w:rPr>
        <w:t xml:space="preserve">Lo que creemos nosotros.</w:t>
      </w:r>
    </w:p>
    <w:p>
      <w:pPr>
        <w:spacing w:after="100"/>
      </w:pPr>
      <w:r>
        <w:t xml:space="preserve">El negocio está mejor de lo que dice la cotización: el margen bruto sube (64,8 %), la venta directa crece al 34 % a divisa constante y Asia ya es el 20 % de las ventas [6]. Lo que frena el crecimiento en CHF es sobre todo la divisa y una decisión voluntaria sobre los mayoristas. Aun así, mi caso base solo está un 13,6 % por encima del precio, porque proyecto en CHF y con un WACC del 10,01 %.</w:t>
      </w:r>
    </w:p>
    <w:p>
      <w:pPr>
        <w:spacing w:after="100"/>
      </w:pPr>
      <w:r>
        <w:rPr>
          <w:b/>
          <w:bCs/>
        </w:rPr>
        <w:t xml:space="preserve">Por qué podemos tener razón.</w:t>
      </w:r>
    </w:p>
    <w:p>
      <w:pPr>
        <w:spacing w:after="100"/>
      </w:pPr>
      <w:r>
        <w:t xml:space="preserve">La diferencia entre el crecimiento a divisa constante (+21,6 %) y en CHF (+13,5 %) del 2T26 es de 8 puntos, y el mercado la está tratando como pérdida de demanda [6]. Si la guía de 2027 confirma un «high-teens» a divisa constante, el DCF inverso del 8 % se queda corto. No tengo una visión muy distinta del mercado en el plazo de doce meses: la diferencia está a tres o cinco años.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Margen bruto líder y creciente</w:t>
      </w:r>
      <w:r>
        <w:t xml:space="preserve">: 64,8 % en el 1S26, 680 pb más que en 2022, frente al 42,9 % de Nike [6, 39].</w:t>
      </w:r>
    </w:p>
    <w:p>
      <w:pPr>
        <w:pStyle w:val="ListParagraph"/>
        <w:numPr>
          <w:ilvl w:val="0"/>
          <w:numId w:val="2"/>
        </w:numPr>
        <w:spacing w:after="60"/>
      </w:pPr>
      <w:r>
        <w:rPr>
          <w:b/>
        </w:rPr>
        <w:t xml:space="preserve">Crecimiento todavía alto en divisa constante</w:t>
      </w:r>
      <w:r>
        <w:t xml:space="preserve">: +24,0 % en el 1S26, con la venta directa al +31,6 % [6].</w:t>
      </w:r>
    </w:p>
    <w:p>
      <w:pPr>
        <w:pStyle w:val="ListParagraph"/>
        <w:numPr>
          <w:ilvl w:val="0"/>
          <w:numId w:val="2"/>
        </w:numPr>
        <w:spacing w:after="60"/>
      </w:pPr>
      <w:r>
        <w:rPr>
          <w:b/>
        </w:rPr>
        <w:t xml:space="preserve">Balance sin deuda</w:t>
      </w:r>
      <w:r>
        <w:t xml:space="preserve">: 1.205,6 M CHF de caja y recompra de hasta 1.000 M USD aprobada [7, 21].</w:t>
      </w:r>
    </w:p>
    <w:p>
      <w:pPr>
        <w:pStyle w:val="ListParagraph"/>
        <w:numPr>
          <w:ilvl w:val="0"/>
          <w:numId w:val="2"/>
        </w:numPr>
        <w:spacing w:after="60"/>
      </w:pPr>
      <w:r>
        <w:rPr>
          <w:b/>
        </w:rPr>
        <w:t xml:space="preserve">Rentabilidad del capital</w:t>
      </w:r>
      <w:r>
        <w:t xml:space="preserve">: ROIC del 38,4 % en 2025 e incremental del 48,6 % en cinco años.</w:t>
      </w:r>
    </w:p>
    <w:p>
      <w:pPr>
        <w:pStyle w:val="ListParagraph"/>
        <w:numPr>
          <w:ilvl w:val="0"/>
          <w:numId w:val="2"/>
        </w:numPr>
        <w:spacing w:after="60"/>
      </w:pPr>
      <w:r>
        <w:rPr>
          <w:b/>
        </w:rPr>
        <w:t xml:space="preserve">Valoración por debajo de su historia</w:t>
      </w:r>
      <w:r>
        <w:t xml:space="preserve">: 14,2x EBITDA de los últimos 12 meses frente a 23,4-49,7x en los cierres de 2022-2025, y un DCF inverso que solo exige un 8,1 % de crecimiento anual.</w:t>
      </w:r>
    </w:p>
    <w:p>
      <w:pPr>
        <w:pStyle w:val="Heading2"/>
      </w:pPr>
      <w:r>
        <w:t xml:space="preserve">En contra</w:t>
      </w:r>
    </w:p>
    <w:p>
      <w:pPr>
        <w:pStyle w:val="ListParagraph"/>
        <w:numPr>
          <w:ilvl w:val="0"/>
          <w:numId w:val="2"/>
        </w:numPr>
        <w:spacing w:after="60"/>
      </w:pPr>
      <w:r>
        <w:rPr>
          <w:b/>
        </w:rPr>
        <w:t xml:space="preserve">Primera rebaja de la guía de ventas</w:t>
      </w:r>
      <w:r>
        <w:t xml:space="preserve"> desde la OPV: los mayoristas crecen solo un 4,8 % en CHF en el 2T26 [6].</w:t>
      </w:r>
    </w:p>
    <w:p>
      <w:pPr>
        <w:pStyle w:val="ListParagraph"/>
        <w:numPr>
          <w:ilvl w:val="0"/>
          <w:numId w:val="2"/>
        </w:numPr>
        <w:spacing w:after="60"/>
      </w:pPr>
      <w:r>
        <w:rPr>
          <w:b/>
        </w:rPr>
        <w:t xml:space="preserve">Prima sobre los comparables</w:t>
      </w:r>
      <w:r>
        <w:t xml:space="preserve">: 11,2x EV/EBITDA NTM frente a 8,0x de mediana; con los múltiplos del sector valdría 18,98 CHF.</w:t>
      </w:r>
    </w:p>
    <w:p>
      <w:pPr>
        <w:pStyle w:val="ListParagraph"/>
        <w:numPr>
          <w:ilvl w:val="0"/>
          <w:numId w:val="2"/>
        </w:numPr>
        <w:spacing w:after="60"/>
      </w:pPr>
      <w:r>
        <w:rPr>
          <w:b/>
        </w:rPr>
        <w:t xml:space="preserve">Gobierno</w:t>
      </w:r>
      <w:r>
        <w:t xml:space="preserve">: dos cambios de primer ejecutivo en 24 meses, fundadores con el ~54 % del voto y el 13 % del capital, y un variable ligado a ventas y EBITDA ajustado, sin ROIC ni caja, que en 2025 superó en 1,33 M CHF el máximo aprobado [1, 26, 47].</w:t>
      </w:r>
    </w:p>
    <w:p>
      <w:pPr>
        <w:pStyle w:val="ListParagraph"/>
        <w:numPr>
          <w:ilvl w:val="0"/>
          <w:numId w:val="2"/>
        </w:numPr>
        <w:spacing w:after="60"/>
      </w:pPr>
      <w:r>
        <w:rPr>
          <w:b/>
        </w:rPr>
        <w:t xml:space="preserve">Divisa</w:t>
      </w:r>
      <w:r>
        <w:t xml:space="preserve">: el dólar débil restó 8,1 puntos al crecimiento del 2T26 y el 51 % de las ventas es en EE. UU. [1, 6].</w:t>
      </w:r>
    </w:p>
    <w:p>
      <w:pPr>
        <w:pStyle w:val="ListParagraph"/>
        <w:numPr>
          <w:ilvl w:val="0"/>
          <w:numId w:val="2"/>
        </w:numPr>
        <w:spacing w:after="60"/>
      </w:pPr>
      <w:r>
        <w:rPr>
          <w:b/>
        </w:rPr>
        <w:t xml:space="preserve">Riesgo de moda y de concentración</w:t>
      </w:r>
      <w:r>
        <w:t xml:space="preserve">: 90 % del calzado fabricado en Vietnam y el mayor cliente pesa el 11,6 % [1, 7].</w:t>
      </w:r>
    </w:p>
    <w:p>
      <w:pPr>
        <w:pStyle w:val="Heading2"/>
      </w:pPr>
      <w:r>
        <w:t xml:space="preserve">Qué tiene que pasar para que la tesis funcione</w:t>
      </w:r>
    </w:p>
    <w:p>
      <w:pPr>
        <w:spacing w:after="100"/>
      </w:pPr>
      <w:r>
        <w:t xml:space="preserve">La tesis depende de que la desaceleración sea de canal y de divisa, no de marca. La señal está en dos cifras de los resultados del 3T26 (noviembre) y de la guía de 2027 (marzo): el crecimiento de la venta directa a divisa constante, que debe seguir por encima del 25 %, y el de los mayoristas, que debe volver a dos dígitos en 2027. Si la venta directa baja del 20 % con mayoristas planos, el problema es la marca y el escenario bajista (18,18 CHF) pasa a ser el central.</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venta directa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medida más limpia de la demanda de la marca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los mayoristas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recorte es temporal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(sin aranceles devueltos)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completo y mezcla de canal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sobre ventas LTM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 (472,9 M CHF a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2022 el exceso de existencias hundió el flujo libre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mayor cliente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creciente en el canal más débil [7].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14,2x / 11,2x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22,4x / 18,5x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On nació en Zúrich en 2010 de la mano de Olivier Bernhard, ex triatleta profesional, y de David Allemann y Caspar Coppetti, que venían de la consultoría y la publicidad, con la suela CloudTec como invento de partida [1]. En 2012 se creó On Holding AG como sociedad cabecera [1]. Creció a través de tiendas especializadas de running y después de grandes minoristas. Roger Federer se sumó como socio de la marca, y en septiembre de 2021 salió a bolsa en la NYSE con una estructura de doble clase que deja el voto en manos de los fundadores [1, 5]. Desde entonces ha multiplicado las ventas por cuatro (de 725 M CHF en 2021 a 3.014 M CHF en 2025) y ha pasado de la zapatilla de running a la ropa, el tenis, el outdoor, la fábrica propia de LightSpray en Zúrich y, en 2026, el fútbol y el golf [1, 6, 11]. En 2025-2026 la dirección volvió a los fundadores: el CEO y CFO Martin Hoffmann salió en mayo de 2026 y Allemann y Coppetti son ahora copresidentes y co-CEO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On AG en Zúrich por Bernhard, Allemann y Coppetti; primera zapatilla con CloudTec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On Holding AG como sociedad cabecera del grupo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(sep-2021) a 24 USD por acción, con acciones de Clase A cotizadas y de Clase B de los fundadores; Roger Federer figura como socio («co-entrepreneur») y la línea THE ROGER se explota bajo licencia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Investor Day: objetivo de duplicar las ventas a 2026 (≥ 3.550 M CHF) y llegar a un margen EBITDA ajustado del 18 %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Apertura de la primera fábrica de LightSpray en Zúrich; ventas por encima de 3.000 M CHF y Asia-Pacífico por encima de 500 M CHF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recíprocos de EE. UU. del 20 % sobre Vietnam (ago-2025), de donde sale el 90 % del calzado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Tribunal Supremo de EE. UU. anula los aranceles IEEPA (feb-2026); On pide la devolución de 55,6 M CHF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fundadores Allemann y Coppetti asumen como co-CEO tras la salida de Martin Hoffmann (1-may-2026)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Day (22-sep): objetivos a 2029, entrada en fútbol y golf y primera recompra de acciones de hasta 1.000 M USD [21].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On diseña y vende calzado deportivo premium (el 93 % de las ventas de 2025), ropa y accesorios bajo una sola marca [1, 11]. Nació en el running y se ha extendido al outdoor, el entrenamiento, el tenis, el uso diario y, desde 2026, el fútbol y el golf [1, 21]. Vende en más de 90 países por dos canales: mayoristas (58,2 % de las ventas de 2025), es decir, tiendas especializadas de running, grandes cadenas deportivas y grandes almacenes, y venta directa (41,8 %), con la web propia y 67 tiendas propias al cierre de 2025 [1, 11]. No fabrica: menos de 30 proveedores externos, seis de los cuales hacen el 70 % de la producción; el 90 % del calzado sale de Vietnam y el 10 % de Indonesia [1]. La excepción es LightSpray, una tecnología de pala pulverizada que On fabrica en Zúrich [1]. EE. UU. es el 51 % de las ventas, EMEA el 25 % y Asia-Pacífico el 17 % [1].</w:t>
      </w:r>
    </w:p>
    <w:p>
      <w:pPr>
        <w:pStyle w:val="Heading2"/>
      </w:pPr>
      <w:r>
        <w:t xml:space="preserve">Cómo gana dinero</w:t>
      </w:r>
    </w:p>
    <w:p>
      <w:pPr>
        <w:spacing w:after="100"/>
      </w:pPr>
      <w:r>
        <w:t xml:space="preserve">Es una marca de margen bruto alto: 62,8 % en 2025 y 64,8 % en el 1S26, frente al 42,9 % de Nike o el 51,6 % de adidas [6, 11, 38, 39]. El margen depende de tres cosas. La primera es el precio completo: On evita las rebajas y frena las entregas a mayoristas cuando el mercado está promocional, como en el 2T26 [6]. La segunda es la mezcla de canal: cada punto de venta directa sube el margen bruto, porque se queda el margen del minorista. La tercera son los costes de producto y de aduanas en EE. UU. y la divisa, porque factura en USD, EUR y otras monedas y presenta en CHF [1, 6]. Los gastos generales (50 % de las ventas en 2025, con 2 % de remuneración en acciones) dan el apalancamiento operativo: marketing, tiendas y tecnología crecen menos que las ventas [11]. No hay ingresos recurrentes por contrato; la repetición viene de la marca. Hay estacionalidad moderada: el 2T y el 3T son los trimestres más fuertes en ventas y márgenes [6].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 (Wholesale)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directa (DTC)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 (Wholesale)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directa (DTC)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ha subido: el mayor cliente fue el 11,0 % de las ventas de 2025 y el 11,6 % en el 1S26, cuando antes de 2025 ninguno pasaba del 10 %; dos clientes superaban cada uno el 10 % de los saldos de clientes a dic-2025 [1, 6]. Los mayoristas, que son el 58 % de las ventas, compran con crédito comercial sin garantía y con pedidos anticipados [1]. El riesgo está en la salud de las grandes cadenas de EE. UU. y en que dediquen el espacio a otras marcas [1]. El poder de precios se ve en el margen bruto: subió de 56,0 % en 2022 a 64,8 % en el 1S26 pese al arancel recíproco del 20 % sobre Vietnam desde agosto de 2025, que On absorbió con precio y mezcla sin perder crecimiento (+21,6 % a divisa constante en el 2T26) [1, 6, 11]. La dirección dice haber subido precios selectivamente para mantener el posicionamiento, sin dar cifras [40]. La señal contraria es la del canal: en el 2T26 los mayoristas crecieron solo un 4,8 % (12,7 % a divisa constante) porque On recortó entregas para no alimentar rebajas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venta directa (DTC)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 (2025); 45,7 % en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38,1 %; 2022 36,4 %; 2023 37,5 % (cálculo sobre ventas por canal) [1,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38 en China (incl. Hong Kong), 14 en América, 10 en Europa, 5 en Asia-Pacífico sin China. 2021: 9; 2022: 18; 2023: 32 [1, 2, 3,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(equivalentes a tiempo completo)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2020: 744; 2021: 1.158; 2022: 1.701; 2023: 2.353 [1, 2, 3,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Ropa y accesorios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(2025); 8,1 %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Ropa 169,9 M y accesorios 39,6 M en 2025 [1, 7,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 (2025); 20,5 %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divisa constante de APAC: 106,7 % en 2025, 58,1 % en 1S26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 (2025); 64,8 %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59,4 %; 2022 56,0 %; 2023 59,6 %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Países con presencia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90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calzado y ropa deportiva de marca en el mundo, y dentro de él el calzado de rendimiento premium (running sobre todo), donde compiten On, HOKA, Asics y las líneas de running de Nike y adidas. Uso dos fuentes. Grand View Research mide el calzado deportivo mundial: 146.700 M USD en 2023, con previsión de 205.800 M USD en 2030 (TCAC del 5,0 %) [41]. McKinsey y la WFSGI miden toda la industria de artículos deportivos (calzado, ropa y equipamiento): creció un 7 % anual en 2021-2024 y esperan un 6 % anual hasta 2029 [42]. Tomo la serie de Grand View porque es la más cercana a lo que vende On (93 % calzado), y la de McKinsey como contraste de crecimiento.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153.900 M USD en 2024 (calzado deportivo mundial) [41]; previsión de 205.800 M USD en 2030 [41]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calzado deportivo mundial, Grand View Research))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Participación deportiva, running y salud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adidas y Puma citan en sus informes de 2025 la mayor participación deportiva y la conciencia de salud como motores de fondo [38, 43]; la industria creció un 7 % anual en 2021-2024 [42].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Deporte como prenda diaria (athleisure)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Puma describe la fusión de ropa deportiva y de calle como motor material de la demanda [43]; On dice que los menores de 34 años son ya más de un tercio de sus clientes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Marcas insurgentes frente a las establecidas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creció un 15,9 % en su ejercicio a mar-2026 y Asics un 19,5 % en 2025, mientras Nike quedó plana (+0 %) [39, 44].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 recíproco del 20 % sobre Vietnam desde ago-2025 sobre el 20 % previo; los IEEPA se anularon en feb-2026 y On reclama 55,6 M CHF [1,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Promociones y exceso de inventario en el canal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Puma habla de un entorno «intensamente promocional» en 2025 [43]; On frenó entregas a mayoristas en el 2T26 por el mismo motivo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(USD débil frente al CHF)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USD/CHF pasó de 0,906 a cierre de 2024 a 0,793 a cierre de 2025 [45]; en el 1S26 las ventas de On crecieron un 14,0 % en CHF y un 24,0 % a divisa constante [6].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Nike y adidas defienden cuota con marketing y rebajas; Puma perdió dinero en 2025 (margen EBIT de −4,9 %) en un mercado promocional [43].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mayoristas son el 58 % de las ventas de On y reparten espacio entre marcas; el consumidor final paga precio completo por las marcas con demanda [1,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concentrada: seis proveedores hacen el 70 % de la producción de On y el 90 % del calzado viene de Vietnam; algunos tejidos tienen un solo proveedor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fabricación externalizada abarata entrar (On y HOKA lo demuestran), pero escalar una marca global exige años de inversión en atletas y distribución [1, 39].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calzado de calle no deportivo compite por el gasto, pero la tendencia de los últimos años va hacia el deporte como prenda diaria [43].</w:t>
            </w:r>
          </w:p>
        </w:tc>
      </w:tr>
    </w:tbl>
    <w:p>
      <w:pPr>
        <w:spacing w:after="160" w:before="0"/>
      </w:pPr>
    </w:p>
    <w:p>
      <w:pPr>
        <w:pStyle w:val="Heading2"/>
      </w:pPr>
      <w:r>
        <w:t xml:space="preserve">Ciclo</w:t>
      </w:r>
    </w:p>
    <w:p>
      <w:pPr>
        <w:spacing w:after="100"/>
      </w:pPr>
      <w:r>
        <w:t xml:space="preserve">El sector está en una fase de digestión: Nike encadena dos años sin crecer (46.309 y 46.398 M USD en sus ejercicios a may-2025 y may-2026), Lululemon y Puma esperan menos ventas en 2026 y el mercado es promocional [39, 43]. Los indicadores son el inventario del canal, el nivel de rebajas y el crecimiento de los mayoristas. En 2008-09 y 2020 el sector cayó con el consumo y se recuperó en uno o dos años; en 2022-23 el exceso de inventario tras la pandemia hundió los márgenes de las marcas grandes. Las insurgentes (On, HOKA, Asics) siguen creciendo a doble dígito, pero también ellas frenan [6, 39, 44].</w:t>
      </w:r>
    </w:p>
    <w:p>
      <w:pPr>
        <w:pStyle w:val="Heading2"/>
      </w:pPr>
      <w:r>
        <w:t xml:space="preserve">Regulación</w:t>
      </w:r>
    </w:p>
    <w:p>
      <w:pPr>
        <w:spacing w:after="100"/>
      </w:pPr>
      <w:r>
        <w:t xml:space="preserve">Lo que más pesa en las cifras es la política comercial de EE. UU., adonde va el 51 % de las ventas de On [11]. En ago-2025 entró en vigor un arancel recíproco del 20 % sobre Vietnam, que se suma al 20 % previo [1]. El 20-feb-2026 el Tribunal Supremo anuló los aranceles aprobados con la IEEPA; On ha pagado 55,6 M CHF y espera recuperar hasta 65 M USD en el 3T26, aunque no lo reconoce hasta que el cobro sea prácticamente seguro [6, 21]. Las normas contra el trabajo forzoso (retenciones de la CBP) y los objetivos de emisiones validados por la SBTi son el otro frente regulatorio que declara la empresa [1].</w:t>
      </w:r>
    </w:p>
    <w:p>
      <w:pPr>
        <w:pStyle w:val="Heading2"/>
      </w:pPr>
      <w:r>
        <w:t xml:space="preserve">Tendencias y disrupción</w:t>
      </w:r>
    </w:p>
    <w:p>
      <w:pPr>
        <w:spacing w:after="100"/>
      </w:pPr>
      <w:r>
        <w:t xml:space="preserve">Tres tendencias favorecen a On. El running y el deporte como identidad de una generación (más de un tercio de sus clientes tiene menos de 34 años) [6]; el paso de la cuota de Nike y adidas a marcas especializadas y premium, como HOKA, Asics u On [39, 44]; y la venta directa, que On ha llevado del 36 % de las ventas en 2022 al 45,7 % en el 2T26 [6, 11]. En contra juegan la madurez del canal mayorista en EE. UU., la vuelta de Nike al running con más inversión y la competencia china en Asia (Anta, Li Ning), donde On crece más deprisa [6]. La innovación de producto (espumas, LightSpray) es la barrera que On intenta levantar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Marca insurgente premium; cuota estimada del 2,1 % del calzado deportivo mundial en 2025 (estimación propia: 2.804 M CHF de calzado de On [11] sobre ~162.000 M USD de mercado, extrapolando la serie de Grand View al 5 % anual [41])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NKE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ventas planas (46.398 M USD en el ejercicio a may-2026) y margen operativo del 8,2 % (beneficio bruto menos gastos de venta y administración)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 margen tras Yeezy: ventas de 24.811 M EUR (+4,8 %) y margen operativo del 8,3 % en 2025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Ropa premium con calzado incipiente; ventas de 11.103 M USD y margen operativo del 19,9 % (23,7 % un año antes) en el ejercicio a feb-2026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reestructuración: ventas de 7.296 M EUR (−13,1 %) y EBIT de −357 M EUR en 2025 [43].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 (Salomon, Arc'teryx)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Outdoor premium; ventas de 6.566 M USD (+26,7 %) y beneficio operativo de 702 M USD en 2025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 (HOKA, UGG)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más parecido: HOKA vendió 2.587 M USD (+15,9 %) en el ejercicio a mar-2026; el grupo, 5.472 M USD con margen operativo del 23,1 %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7936</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Running de rendimiento y moda (Onitsuka Tiger); ventas de 810.900 M JPY (+19,5 %) y beneficio operativo de 142.500 M JPY en 2025 [44].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Comunidad de corredores y atletas, pero sin efecto de red económico: un cliente más no hace el producto mejor para otro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zapatilla no cuesta nada; la fidelidad viene del ajuste y de la costumbre, no de un coste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62,8 % en 2025 y del 64,8 % en el 1S26 frente al 42,9 % de Nike y el 51,6 % de adidas; crecimiento a precio completo y conocimiento de marca del 30 % [3, 4, 8,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ventaja: fabrica con los mismos proveedores asiáticos que el resto y con menos volumen que Nike o adidas; LightSpray podría cambiarlo a largo plazo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3.014 M CHF de ventas en 2025 es menos de una décima parte de Nike (38.534 M CHF) y algo más de la mitad de Amer Sports; la escala le permite financiar atletas y tiendas, pero no es una barrera para otros [3, 9, 18].</w:t>
            </w:r>
          </w:p>
        </w:tc>
      </w:tr>
    </w:tbl>
    <w:p>
      <w:pPr>
        <w:spacing w:after="160" w:before="0"/>
      </w:pPr>
    </w:p>
    <w:p>
      <w:pPr>
        <w:pStyle w:val="Heading2"/>
      </w:pPr>
      <w:r>
        <w:t xml:space="preserve">Amenazas</w:t>
      </w:r>
    </w:p>
    <w:p>
      <w:pPr>
        <w:spacing w:after="100"/>
      </w:pPr>
      <w:r>
        <w:t xml:space="preserve">El foso es la marca, y las marcas de moda deportiva se desgastan. Le pasó a Under Armour y le está pasando a Lululemon, cuyo margen operativo cayó del 23,7 % al 19,9 % en un año [39]. Las amenazas concretas son tres. La primera, que Nike recupere el running con producto e inversión. La segunda, que HOKA, Asics u otra marca nueva ocupen el sitio de «la zapatilla que hay que tener» [39, 44]. La tercera, que la expansión a ropa, fútbol y golf diluya la autenticidad de corredor [21]. Probabilidad media a cinco años. La señal temprana sería el crecimiento de la venta directa a divisa constante por debajo del 20 % o más rebajas en las propias tiendas de On.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spacing w:after="100"/>
      </w:pPr>
      <w:r>
        <w:t xml:space="preserve">Crecimiento anual compuesto 2020-2025: ingresos </w:t>
      </w:r>
      <w:r>
        <w:rPr>
          <w:b/>
          <w:bCs/>
        </w:rPr>
        <w:t xml:space="preserve">47,9 %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Todo el crecimiento es orgánico: la única compra de la historia de On costó 0,3 M CHF en 2019 [1]. Las ventas pasaron de 425 M CHF en 2020 a 3.014 M CHF en 2025, una TCAC del 47,9 %, y se frenan: +29,4 % en 2024, +30,0 % en 2025 y +14,0 % en el 1S26 (+24,0 % a divisa constante) [6, 11]. El margen bruto subió 680 pb entre 2022 y 2025 (del 56,0 % al 62,8 %) por más venta directa, precio completo y fletes normalizados, y llegó al 64,8 % en el 1S26 pese al arancel sobre Vietnam [1, 6]. El margen EBITDA NIIF pasó del 10,8 % en 2022 al 16,7 % en 2025, porque los gastos generales crecieron menos que las ventas. 2021 no es comparable (198,5 M CHF de pagos en acciones por la OPV), y el beneficio neto se mueve al revés que el EBIT por las diferencias de cambio: −173,2 M CHF en 2025 frente a +67,7 M CHF en 2024 [1]. En el LTM a junio de 2026 el beneficio neto ya es de 396,2 M CHF.</w:t>
      </w:r>
    </w:p>
    <w:p>
      <w:pPr>
        <w:pStyle w:val="Heading2"/>
      </w:pPr>
      <w:r>
        <w:t xml:space="preserve">Ajustes y partidas no recurrentes</w:t>
      </w:r>
    </w:p>
    <w:p>
      <w:pPr>
        <w:spacing w:after="100"/>
      </w:pPr>
      <w:r>
        <w:t xml:space="preserve">On publica EBITDA, beneficio neto y BPA «ajustados» que excluyen la remuneración en acciones y sus cargas sociales (y, en 2021, 7,6 M CHF de costes de la OPV) [1, 5]. La diferencia no es pequeña ni puntual: 62,6 M CHF en 2025 (2,1 % de las ventas y el 30,7 % del beneficio neto) y 71,5 M CHF en 2024 [1]. Es un gasto recurrente y aquí se trata como tal: la cuenta, el DCF y los múltiplos usan el EBITDA NIIF (504,4 M CHF en 2025 frente a 567,0 M CHF ajustado). Las diferencias de cambio (−173,2 M CHF en 2025, +67,7 M CHF en 2024 y −111,4 M CHF en 2023) van al resultado financiero y no se repiten con el mismo tamaño desde que la moneda funcional es el USD (+2,9 M CHF en el 1S26) [1, 7]. La devolución de aranceles (hasta 53 M CHF en el 3T26) será un extraordinario positivo [21].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hay transcripciones gratuitas; el resumen sale de las notas de prensa, el MD&amp;A y el Investor Day. En mayo (1T26) el mensaje era de aceleración: ventas por encima de 800 M CHF por primera vez, +26,4 % a divisa constante, margen bruto del 64,2 % y guía subida a ≥ 64,5 % de margen bruto con ventas de al menos +23 % a divisa constante [9]. En agosto (2T26) cambia el discurso: +21,6 % a divisa constante, venta directa +34,3 %, pero mayoristas solo +12,7 % porque On «gestiona deliberadamente» las entregas en un mercado promocional, sobre todo en América, y la guía de ventas baja a un crecimiento «low-20%» (3.470-3.560 M CHF) mientras el margen bruto sube a ≥ 65,0 % [6, 8]. Es la primera rebaja de la guía de ventas desde la OPV [6]. En el Investor Day (22-sep) la dirección anticipa un 3T de ~17 % a divisa constante, fija los objetivos a 2029 y anuncia la recompra [21]. Lo que no se ha cuantificado: cuánto inventario hay en el canal mayorista de EE. UU., cuánto pesa el mayor cliente (11,6 % de las ventas del 1S26) en el recorte y qué margen tendrán fútbol y golf [1,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Sin compras: el activo total se triplica por la salida a bolsa (612 M CHF de emisión de acciones) y no por un cambio de perímetro. 2021 tampoco es comparable en márgenes: 198,5 M CHF de remuneración en acciones por la OPV.).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no tiene deuda financiera: 1.205,6 M CHF de caja a junio de 2026 frente a 562,5 M CHF de arrendamientos, una caja neta de 643 M CHF después de arrendamientos [7]. El circulante comercial ha mejorado mucho: del 37,6 % de las ventas en 2022, cuando On acumuló existencias (269 días), al 18,9 % en 2025 (137 días) [1]. En junio de 2026 sube al 19,7 % de las ventas de los últimos 12 meses (635,9 M CHF), con las existencias en 472,9 M CHF, un 12,7 % más que un año antes y por debajo del crecimiento de las ventas [6, 8]. Los arrendamientos crecen deprisa (de 347,5 a 521,5 M CHF en 2025, y 230,3 M CHF más firmados sin empezar) porque On abre tiendas y almacenes automatizados en Atlanta y Beringen: es la «deuda» que de verdad crece [1,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319</w:t>
      </w:r>
      <w:r>
        <w:t xml:space="preserve">, conversión </w:t>
      </w:r>
      <w:r>
        <w:rPr>
          <w:b/>
          <w:bCs/>
        </w:rPr>
        <w:t xml:space="preserve">83 %</w:t>
      </w:r>
      <w:r>
        <w:t xml:space="preserve"> del beneficio neto; adquisiciones 0, dividendos 0, recompras 0.</w:t>
      </w:r>
    </w:p>
    <w:p>
      <w:pPr>
        <w:spacing w:after="100"/>
      </w:pPr>
      <w:r>
        <w:t xml:space="preserve">La conversión de beneficio en caja es buena pero irregular. El flujo libre (después de capex, arrendamientos e intereses) fue de −330 M CHF en 2022, por la acumulación de existencias, y de 153, 379 y 190 M CHF en 2023-2025; 319 M CHF acumulados en 2020-2025, con una conversión del 83 % del beneficio neto [1]. En 2025 bajó por más circulante (clientes +59 M CHF) y por más arrendamientos pagados (69,9 M CHF) [1]. En el LTM a junio de 2026 se recupera hasta 334 M CHF (estimación propia sobre los estados intermedios) [7]. El capex es ligero (2,6 % de las ventas en 2025) y la empresa no separa mantenimiento y crecimiento; estimación propia: con unas amortizaciones de inmovilizado propio de ~1,5 % de las ventas, casi todo el capex es de crecimiento (tiendas, almacenes, tecnología y la fábrica de LightSpray). Las altas de arrendamientos, que no pasan por caja, son tan grandes como el capex.</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AG (Zúrich)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2020-2025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firma sin salvedades todos los ejercicios desde 2020, pero hubo una debilidad material de control interno (segregación de funciones en el ERP) detectada en 2020, con opinión desfavorable sobre el control a 31-dic-2022 y remediada en 2023 [1, 4]. Tres asuntos piden lectura atenta. La remuneración en acciones, 2,1 % de las ventas y el 30,7 % del beneficio neto de 2025, que las métricas ajustadas eliminan [1]. El tipo impositivo, anómalo y no proyectable: −15,2 % en 2023 y 0,7 % en 2025, por el impuesto diferido de los márgenes intragrupo en existencias y por incentivos fiscales; el normalizado está más cerca del 17-19 % (13,9 % en el 1S26) [1, 7]. Y las diferencias de cambio, que en 2025 restaron 173,2 M CHF al beneficio [1]. Los indicadores del motor son tranquilizadores: Altman Z de 6,65 (zona segura), Piotroski F de 7 sobre 9 y Beneish M de −2,44, por debajo del umbral de −1,78. La devolución de aranceles del 3T26 inflará el margen bruto de ese trimestre [21].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material de control interno 2020-2022</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Identificada al preparar las cuentas de 2020: segregación de funciones en el ERP antiguo (asientos sin revisión obligatoria) y conciliaciones sin revisión formal [5]. PwC emitió opinión desfavorable sobre el control interno a 31-dic-2022 [4]. Remediada a 31-dic-2023 [3]; no hubo ajustes materiales en las cuentas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Diferencias de cambio enormes en el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−173,2 M en 2025 (116,0 M no realizadas), +67,7 M en 2024, −111,4 M en 2023 y −139,9 M solo en 2T25, sobre todo por la revaluación de saldos monetarios en USD (caja e intragrupo) por el cruce CHF/USD [1, 7]. Hacen que el beneficio neto (−15,9 % en 2025) se mueva al revés que el EBIT (+78 %). Desde el 1-ene-2026 On Holding AG y On AG pasan a moneda funcional USD (presentación sigue en CHF), lo que reduce este efecto: +2,9 M en 1S26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anormalmente bajo y volátil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0,7 % en 2025, 13,4 % en 2024 y −15,1 % en 2023, frente a un tipo esperado del 19,6 %; en 2025 por impuesto diferido de la eliminación de márgenes intragrupo en existencias (127,2 M de activo diferido neto por existencias), incentivos fiscales (−35,2 M) y partidas de años anteriores (−11,9 M) [1]. Activos por impuesto diferido: 175,9 M (dic-25) y 187,8 M (jun-26) [1, 7]. 1S26: 13,9 %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Métricas ajustadas excluyen la remuneración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en acciones en SG&amp;A: 62,6 M en 2025 (2,1 % de ventas; 30,7 % del beneficio neto, cálculo), 71,5 M en 2024 (3,1 %; 29,5 %), 198,5 M en 2021 (27,4 % de ventas, por la OPV) [1, 5]. El EBITDA ajustado y el BPA ajustado la excluyen y son base de la retribución variable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3T25 con un extraordinario de ~2 puntos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65,7 % del 3T25 incluye un efecto favorable puntual de aproximadamente el 2 % por fletes y otros costes inferiores a lo previsto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Devoluciones de aranceles IEEPA inflarán el margen bruto del 3T26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IEEPA pagados: 55,6 M (52,7 M en trámite de devolución), no reconocidos a 30-jun-2026 [7]. A 11-ago-2026 se habían cobrado unos 27,9 M, que se reconocerán en el 3T26 como menor coste de ventas [7, 8]; el Investor Day estima hasta 65 M USD (hasta 53 M CHF) en el 3T26, que beneficiarán el beneficio bruto reportado; la guía de 2026 los excluye [21].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cliente fue el 11,0 % de las ventas de 2025 y el 11,6 % en 1S26 (ninguno superaba el 10 % antes de 2025); dos clientes superaban cada uno el 10 % de los saldos de clientes a dic-25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Cambios de criterio y de presentación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 nueva desagregación geográfica (EMEA, Americas, APAC; 'Rest of World' repartido), sin efecto en totales [3]. 2024: pasivos por arrendamiento en línea propia del balance [2]. Mar-2025: cambio del calendario de devengo de RSU y PSU del LTIP 2021 [1]. 2026: moneda funcional USD para la matriz y la principal sociedad operativa [1]. 2027: NIIF 18 llevará parte de las diferencias de cambio al resultado operativo y los intereses cobrados a inversión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Pignoración de activos circulantes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y existencias pignorados a favor de la línea de crédito (655,1 M a jun-26) aunque la línea no está dispuesta: se usa para avales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Arrendamientos como asunto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PwC señala como asunto clave el plazo de los arrendamientos con opciones de prórroga (derechos de uso 494,1 M; pasivos 521,5 M a dic-25)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48,6 % · </w:t>
      </w:r>
      <w:r>
        <w:rPr>
          <w:b/>
          <w:bCs/>
        </w:rPr>
        <w:t xml:space="preserve">WACC</w:t>
      </w:r>
      <w:r>
        <w:t xml:space="preserve">: 10,0 %.</w:t>
      </w:r>
    </w:p>
    <w:p>
      <w:pPr>
        <w:spacing w:after="100"/>
      </w:pPr>
      <w:r>
        <w:t xml:space="preserve">On crea valor desde 2023: el ROIC (beneficio operativo después de impuestos sobre capital invertido medio, con los arrendamientos en el capital) fue del 23,0 % en 2023, del 22,6 % en 2024 y del 38,4 % en 2025, frente a un WACC del 10,01 %. El salto de 2025 es en parte fiscal: con un tipo del 0,7 % el NOPAT casi iguala al EBIT; con un tipo normal del 18 % el ROIC rondaría el 32 % (estimación propia). Lo mueve el margen, no la rotación: la rotación del activo es estable (1,16-1,20 veces en 2023-2025) y el margen EBIT pasó del 7,0 % de 2022 al 12,5 % de 2025. El ROIC incremental de 2020-2025 es del 48,6 %: el crecimiento ha sido rentable. El ROE (13,5 % en 2025) es menor porque el patrimonio incluye 1.020 M CHF de caja y porque las diferencias de cambio redujeron el beneficio. Frente a los competidores, el ROIC de On queda por encima del de adidas (14,8 %), Nike (18,9 %) y Amer (9,5 %) y por debajo del de Deckers (90,6 %) y Asics (41,8 %) [72].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y equivalentes 1.205,6 M (de ellos 799,8 M en depósitos a plazo de hasta tres meses) sin deuda financiera, más la línea sindicada multidivisa de 700 M sin disponer (con 163,2 M usados para avales y cartas de crédito) y una opción de ampliación (acordeón) de hasta 200 M; vence el 7-jul-2028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ningún documento de la empresa (20-F 2021-2025, 6-K) menciona una calificación crediticia; On no tiene bonos emitidos [1].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Línea de crédito de 700 M (firmada el 7-jul-2023, ampliada dos años hasta el 7-jul-2028), sin disponer a 31-dic-2025 ni a 30-jun-2026; margen de 1,40 % a 2,30 % sobre el tipo de referencia según el apalancamiento (+0,10 % en USD) [23]. Covenants: patrimonio consolidado de al menos 800 M y ratio deuda neta senior / EBITDA ajustado por derechos de uso no superior a 3,50x [24]; cumplidos en 2024, 2025 y 1S26 [1, 7]. Activos pignorados por la línea: clientes 312,8 M y existencias 342,2 M (655,1 M a 30-jun-2026) [7]. Avales y cartas de crédito a favor de terceros: 163,2 M (jun-26), sobre todo para los almacenes automatizados de Atlanta (105,5 M a dic-25) y Beringen (27,9 M) [1, 7]. Compromisos de arrendamiento firmados y no iniciados: 230,3 M (jun-26), sobre todo el almacén de Beringen (104,3 M) [7]. Pensiones (plan suizo de prestación definida): obligación neta 5,5 M (dic-25) [1]. Provisiones 39,6 M (jun-26): cargas sociales de planes en acciones 8,7, premios de antigüedad 13,8, otras (desmantelamiento y litigios) 17,0 [7]. Responsabilidad solidaria por el grupo de IVA suizo y por el cash pooling (322,8 M de saldos compensados) [7]. Aranceles IEEPA pagados en EE. UU.: 55,6 M, de los que 52,7 M están en trámite de devolución; no reconocidos a 30-jun [7].</w:t>
      </w:r>
    </w:p>
    <w:p>
      <w:pPr>
        <w:pStyle w:val="Heading1"/>
      </w:pPr>
      <w:r>
        <w:t xml:space="preserve">12. Asignación de capital</w:t>
      </w:r>
    </w:p>
    <w:p>
      <w:pPr>
        <w:pStyle w:val="Confianza"/>
        <w:spacing w:after="100"/>
      </w:pPr>
      <w:r>
        <w:t xml:space="preserve">Confianza: Alta</w:t>
      </w:r>
    </w:p>
    <w:p>
      <w:pPr>
        <w:spacing w:after="100"/>
      </w:pPr>
      <w:r>
        <w:t xml:space="preserve">On nunca ha declarado ni pagado dividendos y no prevé hacerlo en el futuro previsible: retiene los fondos para crecer [1]. En septiembre de 2026 el consejo autorizó la primera recompra de acciones: hasta 1.000 M USD de acciones de Clase A hasta el 31-dic-2029 [21]. Capital autorizado (capital band) hasta el 25-may-2028: emitir o amortizar hasta 25.000.000 acciones A, y emitir hasta 9.487.500 acciones B [27]. Capital condicional: hasta 10.042.461 acciones A para consejeros, consultores y socios de servicio [37]. No ha habido recompras con salida de caja hasta jun-26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Brunner Mettler GmbH (Zúrich),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Única combinación de negocios de la historia de On. Pago neto de caja adquirida de 0,3 M en 2019 más 0,2 M de pagos contingentes (2020-2021); generó 1,8 M de fondo de comercio, sin deterioro en ningún año [1, 5]. La empresa no detalla su actividad ni su contribución.</w:t>
            </w:r>
          </w:p>
        </w:tc>
      </w:tr>
    </w:tbl>
    <w:p>
      <w:pPr>
        <w:spacing w:after="160" w:before="0"/>
      </w:pPr>
    </w:p>
    <w:p>
      <w:pPr>
        <w:spacing w:after="100"/>
      </w:pPr>
      <w:r>
        <w:t xml:space="preserve">La dirección ha asignado el capital casi entero al crecimiento orgánico: ni dividendos, ni recompras, ni compras relevantes en 2020-2025, y 319 M CHF de flujo libre acumulado que se han quedado en caja [1]. El resultado es bueno: ROIC incremental del 48,6 % y crecimiento de las ventas por siete en cinco años. El coste ha sido la dilución, entre el 0,7 % y el 2,2 % anual por los planes de acciones [1, 7]. La recompra de hasta 1.000 M USD hasta 2029 (unos 830 M CHF, el 9 % de la capitalización) cambia la política. Es razonable con 1.205,6 M CHF de caja y un flujo libre esperado de más de 400 M CHF al año [7, 69]. Pero llega cuando la acción ha caído un 31,4 % en el año y parece servir también para absorber la dilución de los planes y las ventas de los exdirectivos [63, 68].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copresidente ejecutivo del consejo y co-CEO (co-CEO desde el 1-may-2026)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en 2010; montó la producción y la cadena de suministro en Asia y la identidad de marca, y es copresidente ejecutivo desde abril de 2021 [1]. Antes, director de marketing de Vitra (2006-2010), director general de Young &amp; Rubicam Suiza y consultor de McKinsey [1]. Con los fundadores al frente, las ventas pasaron de CHF 724,6 M en 2021 a CHF 3.014,0 M en 2025 y el margen de EBITDA ajustado del 13,3 % al 18,8 % [11, 29]. Participación a 31-dic-2025: 3,9 % económico y 16,5 % del voto (2.538.011 acciones A y 103.162.500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copresidente ejecutivo del consejo y co-CEO (co-CEO desde el 1-may-2026)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presidente y director global de ventas desde 2010 y copresidente ejecutivo desde abril de 2021; construyó la red comercial y de distribución y ha dirigido la industrialización de LightSpray [1]. Antes, socio director y director de estrategia de Young &amp; Rubicam (2004-2010) y consultor de McKinsey [1]. Participación a 31-dic-2025: 3,9 % económico y 17,5 % del voto (2.072.758 acciones A y 109.370.840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 ejecutivo (producto de rendimiento y atletas)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triatleta profesional (tres títulos mundiales), autor del concepto CloudTec; consejero ejecutivo desde la fundación en 2010 y responsable de prototipos y del programa de atletas [1, 26]. Es el mayor accionista individual: 5,0 % económico y 18,9 % del voto a 31-dic-2025 (4.860.086 acciones A y 115.620.840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Sluis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Fichaje externo; CFO desde el 1-may-2026, cuando Martin Hoffmann dejó la doble función de CEO y CFO [26]. Viene de ser CFO de Europa e Indonesia en Ahold Delhaize, con puestos financieros anteriores en Reckitt Benckiser y Unilever [54]. Todavía no tiene resultados medibles en On; presentó los objetivos a 2029 en el Investor Day del 22-sep-2026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Maguire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el 31-mar-2025 como director de innovación desde Specialized, donde era CEO, y antes fue COO del grupo Dyson [53]. Ascendió a presidente y COO el 1-may-2026, con toda la cadena de valor a su cargo (I+D, fabricación, marketing, operaciones comerciales y tecnología) [26]. Según la empresa, dirigió el escalado de LightSpray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Martin Hoffmann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CEO y CFO (CFO 2013-2026, co-CEO 2021-2025, CEO único 2025-abr-2026); asesor hasta mar-2027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 CFO desde 2013 y llevó la salida a bolsa de 2021 [1]. Fue CEO y CFO a la vez desde abril/julio de 2025 hasta su salida el 1-may-2026 [1, 26]. En su etapa las guías anuales de 2022-2025 se cumplieron todas y se superaron. Al salir convirtió sus 16.250.000 acciones B en 1.625.000 A, aprobadas en la junta de 2026, con una obligación de venta ordenada [48, 49]. Ha vendido unos CHF 17,3 M en 12 meses [39, 63, 64, 65].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(nov-2021): ventas de al menos CHF 960 M y EBITDA ajustado de CHF 125 M [28]. Revisada al alza cuatro veces: ≥ CHF 990 M y margen del 13,1 % (mar-2022), ≥ CHF 1.040 M y 13,2 % (may), ≥ CHF 1.100 M (ago) y CHF 1.125 M con EBITDA ajustado de CHF 148 M y margen del 13,2 % (nov) [29, 30, 31, 32].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1.222,1 M (+68,7 %), margen bruto del 56,0 % y margen de EBITDA ajustado del 13,5 %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(mar-2023): ventas ≥ CHF 1.700 M, margen bruto de ~58,5 % y margen de EBITDA ajustado del 15,0 % [33]. Revisada a ≥ CHF 1.740 M (may), ≥ CHF 1.760 M (ago) y CHF 1.790 M con margen bruto ≥ 59,0 % (nov) [34, 35,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1.792,1 M (+46,6 %; más del 55 % a tipo constante), margen bruto del 59,6 % y margen de EBITDA ajustado del 15,5 % [20].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(mar-2024): crecimiento a tipo constante ≥ 30 % (≥ CHF 2.250 M), margen bruto de ~60 % y margen de EBITDA ajustado del 16,0-16,5 % [20]. Se mantuvo en may y ago [18, 19]. En nov subió a ≥ 32 % a tipo constante (≥ CHF 2.290 M), margen bruto de ~60,5 % y EBITDA en la parte alta del rango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2.318,3 M (+29,4 %; +33,2 % a tipo constante), margen bruto del 60,6 % y margen de EBITDA ajustado del 16,7 %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(mar-2025): crecimiento a tipo constante ≥ 27 % (≥ CHF 2.940 M), margen bruto de ~60,5 % y margen de EBITDA ajustado del 17,0-17,5 % [16]. En may, por los aranceles, subió las ventas a ≥ 28 % pero bajó los márgenes a 60,0-60,5 % y 16,5-17,5 % [15]. En ago subió a ≥ 31 %, 60,5-61,0 % y 17,0-17,5 % [14], y en nov a 34 % (CHF 2.980 M), ~62,5 % y más del 18,0 %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3.014,0 M (+30,0 %; +35,6 % a tipo constante), margen bruto del 62,8 % y margen de EBITDA ajustado del 18,8 %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(mar-2026): crecimiento a tipo constante ≥ 23 % (≥ CHF 3.440 M), margen bruto ≥ 63,0 % y margen de EBITDA ajustado del 18,5-19,0 % [11]. En may mantuvo las ventas (≥ CHF 3.510 M) y subió los márgenes a ≥ 64,5 % y 19,5-20,0 % [9]. En ago rebajó las ventas a un crecimiento «low-20%» a tipo constante (CHF 3.470-3.560 M) al frenar las entregas a mayoristas, con margen bruto ≥ 65,0 % [6]. Lo reiteró el 22-sep, con una previsión de ~17 % a tipo constante para el 3T [21].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ventas de CHF 1.682,2 M (+14,0 %; +24,0 % a tipo constante), margen bruto del 64,8 % y margen de EBITDA ajustado del 20,3 % [6]. Es la primera rebaja de la guía de ventas desde la salida a bolsa; la de márgenes se ha subido.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(objetivos del Investor Day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Duplicar las ventas de 2023 hasta al menos CHF 3.550 M (TCAC de más del 26 %), margen bruto superior al 60 % y margen de EBITDA ajustado del 18 % o más en 2026 [22].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vigente para 2026: ventas de CHF 3.470-3.560 M a tipos de contado, margen bruto ≥ 65,0 % y margen de EBITDA ajustado del 19,5-20,0 % [6, 21]. Los márgenes superan con holgura los objetivos. Las ventas en CHF quedan en torno al objetivo, por debajo en el extremo bajo del rango, por la fuerza del franco; a tipo constante el crecimiento supera el plan. La empresa dice que superará «significativamente» los objetivos de 2023 [21].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Credibilidad alta en cifras: las guías anuales de 2022 a 2025 se revisaron al alza casi cada trimestre y se superaron en ventas y márgenes [11, 12, 14, 15, 16, 17, 18, 19, 20, 22, 28, 29, 30, 31, 32, 33, 34, 35, 36]. La primera rebaja de ventas llega en agosto de 2026 y coincide con el cambio de cúpula [6]. La estabilidad es baja. En trece meses salieron los dos co-CEO no fundadores: Marc Maurer (anunciado en abr-2025) y Martin Hoffmann, que fue CEO y CFO a la vez casi un año y se fue en may-2026 [26, 53]. Ahora los copresidentes Allemann y Coppetti son también co-CEO, con un CFO externo recién llegado (Frank Sluis) y un presidente y COO con año y medio en la casa [26]. No se ha publicado ningún plan de sucesión. El poder ejecutivo, el voto y la presidencia quedan concentrados en los tres fundadores [1, 26].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ejecutivo y co-CEO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ejecutivo y co-CEO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 Pérez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representante de los accionistas de clase A; la empresa lo declara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de Nombramientos y Remuneración; vocal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Banse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Dennis Durkin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Miele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(desde el 21-sep-2026)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Helena Helmersson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2020-2025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65,99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18,9 % del voto (acciones A y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113,7 M (2024) a 115,6 M (2025), por compras dentro del pacto y opciones; acciones A: de 5,45 M a 4,86 M y 5,16 M en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17,5 %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107,5 M a 109,4 M; acciones A: de 3,12 M a 2,07 M (dic-2025) y 2,38 M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16,5 %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101,2 M a 103,2 M (incluye 3,16 M en opciones B); acciones A: de 3,70 M a 2,54 M y 2,84 M en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tres fundadores en conjunto (pacto)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de control; ~57 % del voto a dic-2025 con Hoffmann y ~54 % tras su salida (estimación propia)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13,8 % (jun-2025) → 12,9 % (jun-2026), según el 13G/A; salieron del pacto Maurer (2025) y Hoffmann (2026) [55, 56]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Carlos Alberto Sicupira (CHL Investment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(3G); 6,7 % de las acciones A y 3,1 %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desde el 13G/A de oct-2024 [1, 62]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Morgan Stanley (MSIM)</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6,5 % de las acciones A y 3,0 %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13G a 31-dic-2025 [60]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Lemann (MAAI Ltd.)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6,1 % de las acciones A y 2,8 %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actualizar desde el 13G de dic-2021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Baron Capital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5,65 %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posición declarada por encima del 5 % a 30-jun-2026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5,4 %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Bajando: 10,0 % de las acciones A (jun-2025), 8,1 % (mar-2026) y 5,4 % (jun-2026) [58, 59]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 Pérez (consejero)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9,77 M acciones A y 1,5 %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10,01 M (dic-2024) a 9,77 M (dic-2025)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Hoffmann (ex CEO y CFO)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directivo; 3,24 M acciones A tras convertir sus acciones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Convirtió 16,25 M acciones B en 1,625 M A (may-2026) y vende de forma continuada [49, 56,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AllianceBernstein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5,9 % (sep-2024) al 3,3 % (sep-2025) [61]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9.973.771 acciones A a 31-dic-2025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desde 13,16 M (dic-2024) por entregas a planes; recompra de hasta USD 1.000 M aprobada en sep-2026 hasta 2029 [1,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 Allemann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Caspar Coppetti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Olivier Bernhard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171.508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 desde el 1-may)</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519.598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 aviso Form 144 de venta prevista)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bono anual del CEO se reparte a partes iguales entre ventas y EBITDA ajustado. Paga como máximo el 125 % y llega al 150 % con un modificador individual de ±25 %; en 2025 salió al 125 % [47]. El variable a largo plazo son PSU ligadas a la TCAC de ventas y de EBITDA ajustado, con un multiplicador de TSR relativo (0,75-1,25×) y un tope del 250 %. No hay ROIC ni flujo de caja; los tramos 2023 y 2024 pagaron el 247 % y el 235 % [47]. Desde 2025 los fundadores cobran el 100 % en PSU, CHF 2,9 M cada uno [47]. Antes de la salida a bolsa recibieron opciones sobre acciones B, ya consolidadas y sin condiciones de rendimiento, a USD 0,77; aún quedan 6.325.000 [1, 39]. Hoffmann recibió un pago único de CHF 5 M en RSU [47]. Lo pagado en 2025 superó en CHF 1,33 M el máximo aprobado de CHF 26 M, y la junta lo ratificó [47, 50]. El reembolso de variable (clawback) solo cubre las reexpresiones [1]. No hay indemnizaciones; el preaviso es de doce meses y la no competencia se paga [47]. El informe de 2023 sacó el 87,1 % a favor; sin las acciones B, en torno al 65 % [52].</w:t>
      </w:r>
    </w:p>
    <w:p>
      <w:pPr>
        <w:pStyle w:val="Heading2"/>
      </w:pPr>
      <w:r>
        <w:t xml:space="preserve">Operaciones vinculadas, estructura de control y defensas</w:t>
      </w:r>
    </w:p>
    <w:p>
      <w:pPr>
        <w:spacing w:after="100"/>
      </w:pPr>
      <w:r>
        <w:t xml:space="preserve">Los tres fundadores controlan la sociedad con dos clases de acciones. Las B tienen nominal de CHF 0,01 frente a 0,10 de las A, y una acción, un voto: diez veces más voto por franco [1]. Con unas 325 M de acciones B tienen el 54-57 % del voto y el 13 % del capital [1, 55]. Un pacto de accionistas les obliga a votar en bloque, les da tanteo sobre las B y les asegura un puesto en el consejo [1, 48]. Las B solo se convierten si cae la tenencia por debajo del 65 % [1]. Transmitir B exige aprobación del consejo, que hasta mayo de 2028 puede emitir 9,49 M más sin la junta [49]. Hay contrapesos. Las decisiones de dos tercios necesitan además mayoría del nominal, que está en las A [1]. Las A eligen su propio consejero, Pérez [50]. El régimen suizo de OPA no se aplica [1]. Vinculadas: la empresa pagó el registro de las acciones convertidas de Hoffmann [48].</w:t>
      </w:r>
    </w:p>
    <w:p>
      <w:pPr>
        <w:pStyle w:val="Heading2"/>
      </w:pPr>
      <w:r>
        <w:t xml:space="preserve">Señales de alerta</w:t>
      </w:r>
    </w:p>
    <w:p>
      <w:pPr>
        <w:pStyle w:val="ListParagraph"/>
        <w:numPr>
          <w:ilvl w:val="0"/>
          <w:numId w:val="2"/>
        </w:numPr>
        <w:spacing w:after="60"/>
      </w:pPr>
      <w:r>
        <w:t xml:space="preserve">Rotación de la cúpula: el co-CEO Marc Maurer salió en 2025 [53]. Martin Hoffmann fue CEO y CFO a la vez desde abril/julio de 2025 y se fue el 1-may-2026 [1, 26]. El CFO es externo y nuevo, y el presidente y COO llegó en mar-2025 [26, 53].</w:t>
      </w:r>
    </w:p>
    <w:p>
      <w:pPr>
        <w:pStyle w:val="ListParagraph"/>
        <w:numPr>
          <w:ilvl w:val="0"/>
          <w:numId w:val="2"/>
        </w:numPr>
        <w:spacing w:after="60"/>
      </w:pPr>
      <w:r>
        <w:t xml:space="preserve">Desde el 1-may-2026 los copresidentes son también co-CEO: no hay separación entre presidencia y dirección, y los mismos fundadores tienen el control de voto [26, 49].</w:t>
      </w:r>
    </w:p>
    <w:p>
      <w:pPr>
        <w:pStyle w:val="ListParagraph"/>
        <w:numPr>
          <w:ilvl w:val="0"/>
          <w:numId w:val="2"/>
        </w:numPr>
        <w:spacing w:after="60"/>
      </w:pPr>
      <w:r>
        <w:t xml:space="preserve">Ventas de exdirectivos en 12 meses (Form 144): Maurer, 1,35 M de acciones por unos CHF 42,9 M; Hoffmann, 0,54 M por unos CHF 17,3 M. Hoffmann avisó el 1-oct-2026 de la venta de otras 175.000 acciones y vende las 1,625 M que salieron de convertir sus B bajo un límite del 5 % del volumen medio diario [39, 48, 63, 64, 65].</w:t>
      </w:r>
    </w:p>
    <w:p>
      <w:pPr>
        <w:pStyle w:val="ListParagraph"/>
        <w:numPr>
          <w:ilvl w:val="0"/>
          <w:numId w:val="2"/>
        </w:numPr>
        <w:spacing w:after="60"/>
      </w:pPr>
      <w:r>
        <w:t xml:space="preserve">Lo pagado a la dirección en 2025 (CHF 27,33 M) superó el máximo aprobado de CHF 26 M, y se pidió a la junta un importe suplementario [47, 50]. Hoffmann recibió CHF 5 M en RSU en abr-2025 y dejó el cargo un año después; no se ha publicado si las perdió [26, 47].</w:t>
      </w:r>
    </w:p>
    <w:p>
      <w:pPr>
        <w:pStyle w:val="ListParagraph"/>
        <w:numPr>
          <w:ilvl w:val="0"/>
          <w:numId w:val="2"/>
        </w:numPr>
        <w:spacing w:after="60"/>
      </w:pPr>
      <w:r>
        <w:t xml:space="preserve">El capital libre vota contra: en 2024-2026 el informe de remuneración tuvo entre 47 y 70 millones de votos en contra (9-13 % del total). Sin las acciones B, el apoyo de las A ronda el 65-75 % (estimación propia) [50, 51, 52].</w:t>
      </w:r>
    </w:p>
    <w:p>
      <w:pPr>
        <w:pStyle w:val="ListParagraph"/>
        <w:numPr>
          <w:ilvl w:val="0"/>
          <w:numId w:val="2"/>
        </w:numPr>
        <w:spacing w:after="60"/>
      </w:pPr>
      <w:r>
        <w:t xml:space="preserve">Alex Pérez, consejero desde 2016 y declarado independiente, tiene el 3,0 % del capital y viene de 3G Capital, como Sicupira y Lemann (11,4 % económico entre ambos). Preside la comisión de remuneraciones [1, 47]. En 2026 su reelección como representante de las A tuvo un 12,2 % en contra entre los votos de las A [50].</w:t>
      </w:r>
    </w:p>
    <w:p>
      <w:pPr>
        <w:pStyle w:val="ListParagraph"/>
        <w:numPr>
          <w:ilvl w:val="0"/>
          <w:numId w:val="2"/>
        </w:numPr>
        <w:spacing w:after="60"/>
      </w:pPr>
      <w:r>
        <w:t xml:space="preserve">Como emisor extranjero no le aplican las normas de gobierno de la NYSE ni la protección suiza de OPA: no está obligada a tener mayoría de independientes ni comisiones independientes, emite acciones sin aprobación de la junta y no hay OPA obligatoria [1].</w:t>
      </w:r>
    </w:p>
    <w:p>
      <w:pPr>
        <w:pStyle w:val="ListParagraph"/>
        <w:numPr>
          <w:ilvl w:val="0"/>
          <w:numId w:val="2"/>
        </w:numPr>
        <w:spacing w:after="60"/>
      </w:pPr>
      <w:r>
        <w:t xml:space="preserve">Debilidad material en el control interno detectada en 2020 y dada por remediada a cierre de 2023; el control de 2025 es efectivo, con dictamen de PwC [1, 3, 39].</w:t>
      </w:r>
    </w:p>
    <w:p>
      <w:pPr>
        <w:pStyle w:val="ListParagraph"/>
        <w:numPr>
          <w:ilvl w:val="0"/>
          <w:numId w:val="2"/>
        </w:numPr>
        <w:spacing w:after="60"/>
      </w:pPr>
      <w:r>
        <w:t xml:space="preserve">No se han encontrado demandas colectivas de valores contra On Holding. Hay una demanda colectiva de consumo, Norberg v. On Inc. (Oregón, may-2026), cuyo objeto no está verificado, y el pleito aduanero On Inc. v. United States por los aranceles [1, 46].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reiterada el 22-sep-2026: ventas con crecimiento «low-20%» a divisa constante (3.470-3.560 M CHF a tipos de contado), margen bruto de al menos el 65,0 % y margen EBITDA ajustado del 19,5-20,0 %, sin contar la devolución de aranceles (hasta 53 M CHF en el 3T26) [6, 21]. Para el 3T26 espera ~17 % a divisa constante [21]. La guía de ventas inicial (al menos +23 % a divisa constante) se rebajó en agosto; la de márgenes se ha subido dos veces [C46-48]. Objetivos a 2029 (Investor Day del 22-sep-2026): crecimiento de las ventas «high-teens» a divisa constante, ventas de al menos 5.600 M CHF en 2029, margen bruto ≥ 65 % y margen EBITDA ajustado ≥ 22 %, con un EBITDA ajustado que crezca más del 20 % anual en 2026-2029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(706.1) menos la remuneración en acciones estimada al 1,99 % de las ventas, la proporción del 1S26 (estimación propia); EBIT y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(856.5) menos la remuneración en acciones estimada al 1,99 % de las ventas, la proporción del 1S26 (estimación propia); EBIT y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(1047) menos la remuneración en acciones estimada al 1,99 % de las ventas, la proporción del 1S26 (estimación propia); EBIT y BPA, NIIF</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 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16,58 – 59,37</w:t>
            </w:r>
          </w:p>
        </w:tc>
      </w:tr>
    </w:tbl>
    <w:p>
      <w:pPr>
        <w:spacing w:after="160" w:before="0"/>
      </w:pPr>
    </w:p>
    <w:p>
      <w:pPr>
        <w:pStyle w:val="Heading2"/>
      </w:pPr>
      <w:r>
        <w:t xml:space="preserve">Revisiones de estimaciones</w:t>
      </w:r>
    </w:p>
    <w:p>
      <w:pPr>
        <w:spacing w:after="100"/>
      </w:pPr>
      <w:r>
        <w:t xml:space="preserve">Las cifras de ventas cuadran entre las dos fuentes: 3.514 M CHF en 2026 en MarketScreener y 3.510 M CHF de media en Stock Analysis (S&amp;P Global), con 30-31 analistas [69, 71]. El BPA difiere por definición: 1,23 CHF NIIF en MarketScreener frente a 1,43 CHF ajustado en Stock Analysis [69, 71]. Los precios objetivo han bajado todo el año. Truist pasó de 65 USD (nov-2025) a 55 (mar-2026), 48 (may) y 40 USD (ago). UBS pasó de 85 a 83 y a 73 USD tras el 2T26 [70]. En sentido contrario, Goldman subió a comprar en enero, Berenberg inició con comprar y 38 USD en septiembre y J.P. Morgan subió de 41 a 44 USD el 1-oct [70, 71]. Las fuentes gratuitas no dan la serie de estimaciones de BPA a 3 y 12 meses.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Desde la OPV, sep-2021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bl>
    <w:p>
      <w:pPr>
        <w:spacing w:after="160" w:before="0"/>
      </w:pPr>
    </w:p>
    <w:p>
      <w:pPr>
        <w:spacing w:after="100"/>
      </w:pPr>
      <w:r>
        <w:t xml:space="preserve">La acción ha ido muy por detrás del mercado: −31,4 % en el año frente al +13,6 % del S&amp;P 500 y −24,3 % a un año, y está un 8,9 % por debajo del primer cierre tras la OPV de 2021 (35 USD) [68]. Tres hechos lo explican. La desaceleración en CHF, porque el dólar débil se come 8-12 puntos del crecimiento reportado (+13,5 % en el 2T26 frente a +21,6 % a divisa constante) [6]. La rebaja de la guía de ventas de agosto por el recorte de entregas a mayoristas [6]. Y el castigo a todo el sector (el índice de consumo discrecional, −7,0 % en el año), con Nike (−52 % en 52 semanas) y Lululemon (−47 %) [68, 72]. El mínimo de 52 semanas (26,36 USD) se marcó el 17-sep, días antes del Investor Day, que hizo subir la acción [68, 70]. La volatilidad (49,8 %) y la beta (2,08 desde la OPV) son las de un valor de crecimiento muy sensible al ciclo; la posición corta es del 6,9 % de las acciones [71]. Rentabilidades de precio: On no paga dividendos; los índices, sin dividendos.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precio de cierre de cada año y las cuentas de ese año, el EV/EBITDA de los últimos 12 meses fue de 36,9x en 2022, 28,7x en 2023, 49,7x en 2024 y 23,4x en 2025, y el PER se movió entre 60,4x y 90,4x [68]. Se omiten 2020 y 2021, con EBITDA negativo. Hoy On cotiza a 14,2x EBITDA y 22,4x beneficio: por debajo de cualquier cierre anual desde 2022 (percentil 0), un 59 % y un 71 % por debajo de la media de su corta historia. El cambio es estructural: en 2022-2024 el mercado pagaba un crecimiento del 30-70 % con tipos bajos; hoy el crecimiento en CHF es del 14 %, el bono de EE. UU. a 10 años está en el 5,31 % y el sector entero ha bajado de múltiplo [72, 74]. No hay múltiplos NTM históricos gratuitos.</w:t>
      </w:r>
    </w:p>
    <w:p>
      <w:pPr>
        <w:pStyle w:val="Heading1"/>
      </w:pPr>
      <w:r>
        <w:t xml:space="preserve">18. Comparables cotizados</w:t>
      </w:r>
    </w:p>
    <w:p>
      <w:pPr>
        <w:pStyle w:val="Confianza"/>
        <w:spacing w:after="100"/>
      </w:pPr>
      <w:r>
        <w:t xml:space="preserve">Confianza: Media</w:t>
      </w:r>
    </w:p>
    <w:p>
      <w:pPr>
        <w:spacing w:after="100"/>
      </w:pPr>
      <w:r>
        <w:t xml:space="preserve">Siete marcas deportivas cotizadas con cifras estimadas por el mismo proveedor: Deckers (HOKA, el rival más parecido en running premium), Nike y adidas (las líderes, contra las que On gana cuota), Asics (running de rendimiento, el que más crece de las grandes), Amer Sports (outdoor premium de alto crecimiento), Lululemon (marca premium que vende en directo) y Birkenstock (marca premium de calzado con margen alto). Fuera quedan Puma, porque perdió dinero en 2025 y su EV/EBITDA (25,6x) distorsiona la mediana; Skechers, privatizada en 2025; y Crocs y Steve Madden, de calzado no deportivo [72, 73].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 (HOKA, UGG)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 (Salomon, Arc'teryx)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Birkenstock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 / 8,0x / 10,4x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9,4x / 13,3x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 / 12,9x / 19,7x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1,8x / 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9,6 + -0,05 × crecimiento; R² = 0,02. El crecimiento explica poco los múltiplos de estos comparables (R² &lt; 0,3): la regresión no se usa en la valoración.</w:t>
      </w:r>
    </w:p>
    <w:p>
      <w:pPr>
        <w:spacing w:after="100"/>
      </w:pPr>
      <w:r>
        <w:t xml:space="preserve">On cotiza con una prima clara: 11,2x EV/EBITDA de los próximos 12 meses y 18,5x PER, frente a medianas de 8,0x y 12,9x. Con los múltiplos de la mediana, la acción valdría unos 19 CHF por acción (18,98 CHF de media entre EV/EBITDA y PER), un 28 % menos que el precio. La prima se justifica en parte: On crece un 19,2 % anual en los próximos 12 meses frente al 7,7 % de la mediana, tiene caja neta y un ROIC del 38,4 % frente al 18,9 %. Pero la regresión múltiplo-crecimiento no explica nada (R² de 0,02), porque el sector cotiza hoy por la recuperación de los márgenes y no por el crecimiento: Asics y Amer, que crecen al 17-18 %, cotizan a 9-12x EBITDA, mientras Nike cotiza a 15,6x con ventas a la baja. El múltiplo que usaría para On es el de Asics (11,8x NTM), el único par con crecimiento y rentabilidad parecidos: con él la acción valdría unos 27,9 CHF, cerca del precio actual (estimación propia: 11,8 × 741 M CHF de EBITDA NTM más 643 M CHF de caja neta, entre 336,1 M de acciones).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spacing w:after="100"/>
      </w:pPr>
      <w:r>
        <w:rPr>
          <w:b/>
          <w:bCs/>
        </w:rPr>
        <w:t xml:space="preserve">Crecimiento de ingresos.</w:t>
      </w:r>
    </w:p>
    <w:p>
      <w:pPr>
        <w:spacing w:after="100"/>
      </w:pPr>
      <w:r>
        <w:t xml:space="preserve">Proyecto diez años porque On sigue lejos de su madurez. 2026 queda fijo en el +16,6 % del consenso (3.514 M CHF, dentro de la guía de 3.470-3.560 M CHF), porque ya hay dos trimestres publicados y la guía es reciente [6, 69]. Después, el 17 % en 2027, el 16 % en 2028 y el 15 % en 2029, ligeramente por debajo del «high-teens» a divisa constante del plan, porque proyecto en CHF y el franco se ha revalorizado de forma persistente frente al dólar; las ventas de 2029 (5.485 M CHF) quedan un 2 % por debajo del objetivo de 5.600 M CHF [21]. Desde 2030 el crecimiento baja dos puntos al año hasta el 3,5 % de 2035, cerca del terminal. Frente al consenso, mis ventas son un 1,6 % menores en 2027 y un 3,7 % menores en 2028 [69].</w:t>
      </w:r>
    </w:p>
    <w:p>
      <w:pPr>
        <w:spacing w:after="100"/>
      </w:pPr>
      <w:r>
        <w:rPr>
          <w:b/>
          <w:bCs/>
        </w:rPr>
        <w:t xml:space="preserve">Márgenes.</w:t>
      </w:r>
    </w:p>
    <w:p>
      <w:pPr>
        <w:spacing w:after="100"/>
      </w:pPr>
      <w:r>
        <w:t xml:space="preserve">Margen EBITDA NIIF, con la remuneración en acciones como gasto (≈ 2 % de las ventas). 2026: 19,0 %, el punto medio de la guía ajustada (19,75 %) menos el 2 % de pagos en acciones más 1,5 puntos de la devolución de aranceles del 3T26 (hasta 53 M CHF) [6, 21]. Sube al 19,5 % en 2028 y al 20,0 % desde 2029. El 20,0 % NIIF equivale a ~22 % ajustado, el objetivo de la empresa para 2029 [21]. Es exigente pero tiene precedentes: Deckers tiene un margen operativo del 23,1 % y Asics del 17,6 % [39, 44], y el margen bruto de On (64,8 % en el 1S26) es el más alto del sector. El EBITDA del modelo queda un 5 % por encima del consenso en 2026, por los aranceles, y en línea (+1 % y −2 %) en 2027-2028.</w:t>
      </w:r>
    </w:p>
    <w:p>
      <w:pPr>
        <w:spacing w:after="100"/>
      </w:pPr>
      <w:r>
        <w:rPr>
          <w:b/>
          <w:bCs/>
        </w:rPr>
        <w:t xml:space="preserve">Inversión y circulante.</w:t>
      </w:r>
    </w:p>
    <w:p>
      <w:pPr>
        <w:spacing w:after="100"/>
      </w:pPr>
      <w:r>
        <w:t xml:space="preserve">El capex incluye las altas de arrendamientos, porque los pasivos por arrendamiento están en la deuda del puente y su amortización en el EBITDA: si no, el DCF contaría el EBITDA de las tiendas sin pagar sus alquileres. Capex propio del 2,6 % de las ventas en 2025 más altas de arrendamientos de ~2,4 %: 5,0 % al principio, que baja al 4,5 % en 2034-2035, por encima de las amortizaciones (4,3 %, como en 2025, 127,4 M CHF sobre 3.014 M CHF) [1]. El circulante pasa del 19,0 % de las ventas (18,9 % en 2025 y 19,7 % en el LTM) al 18,0 %, sin volver al 37,6 % de 2022 [1, 7]. Impuestos del 17-19 %, frente al 13,9 % del 1S26 y al 19,6 % teórico que publica la empresa; no proyecto el 0,7 % de 2025 [1, 7].</w:t>
      </w:r>
    </w:p>
    <w:p>
      <w:pPr>
        <w:spacing w:after="100"/>
      </w:pPr>
      <w:r>
        <w:rPr>
          <w:b/>
          <w:bCs/>
        </w:rPr>
        <w:t xml:space="preserve">Coste del capital.</w:t>
      </w:r>
    </w:p>
    <w:p>
      <w:pPr>
        <w:spacing w:after="100"/>
      </w:pPr>
      <w:r>
        <w:t xml:space="preserve">Todo en CHF, la divisa de las cuentas. Tasa libre de riesgo: bono de la Confederación a 10 años, 0,51 % el 6-oct-2026 [75]. Beta: 2,08 en datos mensuales desde la OPV frente al S&amp;P 500 (2,08 también en Stock Analysis), ajustada a 1,72 con la fórmula de Blume (0,67 × 2,08 + 0,33) [68, 71]. Prima de mercado del 5,5 %, el centro del rango del prompt. Prima adicional de 0,5 puntos por el riesgo de marca de moda, la concentración de la fabricación en Vietnam y el control de los fundadores. Coste de los fondos propios: 10,47 %. Deuda: solo arrendamientos (562,5 M CHF, un 6 % del capital a valor de mercado), al 3,5 %. WACC: 10,01 %. Es alto para un franco con tipos del 0,5 %, pero coherente con una acción de beta 2 y volatilidad del 50 %.</w:t>
      </w:r>
    </w:p>
    <w:p>
      <w:pPr>
        <w:spacing w:after="100"/>
      </w:pPr>
      <w:r>
        <w:rPr>
          <w:b/>
          <w:bCs/>
        </w:rPr>
        <w:t xml:space="preserve">Valor terminal.</w:t>
      </w:r>
    </w:p>
    <w:p>
      <w:pPr>
        <w:spacing w:after="100"/>
      </w:pPr>
      <w:r>
        <w:t xml:space="preserve">Gordon con un crecimiento a perpetuidad del 2,0 % en CHF: por encima de la inflación suiza, porque On vende en todo el mundo y el mercado de calzado deportivo crece un 5 % anual [41]. El múltiplo implícito del Gordon es de 7,6x el EBITDA de 2035, por debajo de la mediana actual de los comparables (8,0x NTM y 9,4x LTM): el valor terminal es prudente. El valor terminal pesa el 58 % del valor empresa, gracias a los diez años de proyección explícita.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37,74</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(base: 10,7 %)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18,2 % (base: 20,0 %)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 (WACC: 10,0 %)</w:t>
            </w:r>
          </w:p>
        </w:tc>
      </w:tr>
    </w:tbl>
    <w:p>
      <w:pPr>
        <w:spacing w:after="160" w:before="0"/>
      </w:pPr>
    </w:p>
    <w:p>
      <w:pPr>
        <w:spacing w:after="100"/>
      </w:pPr>
      <w:r>
        <w:t xml:space="preserve">El DCF da 30,07 CHF por acción (36,21 USD), un 13,6 % por encima del precio de 26,48 CHF. El rango con el WACC y el crecimiento terminal ± 0,5 puntos va de 27,34 a 33,56 CHF, y el valor terminal pesa el 58 %. El DCF inverso es lo importante. Al precio actual el mercado descuenta un crecimiento medio de las ventas del 8,1 % anual en 2027-2035, frente al 10,7 % de mi caso base; o bien, con mi crecimiento, un margen EBITDA final del 18,2 % en lugar del 20,0 %. La rentabilidad implícita es del 11,1 % anual en CHF. No es exigente para una empresa que ha crecido un 47,9 % anual en cinco años y crece un 24 % a divisa constante en el 1S26. Equivale a creer que On crecerá en torno al 15 % hasta 2029 y después frenará deprisa, o que no llegará al margen del plan. El mercado ya no paga el plan de 2029: lo descuenta solo en parte.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pierde el sitio de «la zapatilla que hay que tener», como le pasó a Under Armour y le está pasando a Lululemon: los mayoristas de EE. UU. siguen recortando pedidos, Nike recupera el running y el crecimiento cae a un dígito desde 2027. Para defender volumen, On hace rebajas y el margen EBITDA se queda tres puntos por debajo del plan (17 % NIIF).</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cumple casi entero el plan de 2029 en divisa constante, pero el franco fuerte deja las ventas en CHF un 2 % por debajo del objetivo; la venta directa y Asia compensan a los mayoristas y el margen EBITDA NIIF llega al 20 % (≈ 22 % ajustado).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Ropa, Asia y las nuevas categorías (fútbol, golf) suman crecimiento como hizo HOKA en 2021-2024; el dólar deja de restar y On supera el objetivo de 5.600 M CHF en 2029, con un margen EBITDA NIIF del 22 % gracias a la venta directa y a LightSpray.</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29,51 CHF (+11,4 %).</w:t>
      </w:r>
    </w:p>
    <w:p>
      <w:pPr>
        <w:spacing w:after="100"/>
      </w:pPr>
      <w:r>
        <w:t xml:space="preserve">La asimetría es favorable pero no amplia: el alcista vale 39,72 CHF (+50,0 %) y el bajista 18,18 CHF (−31,3 %), una relación de 1,60 veces; el valor ponderado es de 29,51 CHF (+11,4 %). El bajista no es cosmético: es lo que han vivido Lululemon (margen operativo del 23,7 % al 19,9 % en un año) y Nike (ventas planas dos años) [39], y su pérdida (−31 %) se parece a la caída de la acción en lo que va de año. Compensa en el plazo de tres a cinco años; a doce meses, el precio depende de que los resultados del 3T y la guía de 2027 confirmen que el recorte de mayoristas es temporal.</w:t>
      </w:r>
    </w:p>
    <w:p>
      <w:pPr>
        <w:pStyle w:val="Heading1"/>
      </w:pPr>
      <w:r>
        <w:t xml:space="preserve">22. Suma de partes</w:t>
      </w:r>
    </w:p>
    <w:p>
      <w:pPr>
        <w:pStyle w:val="Confianza"/>
        <w:spacing w:after="100"/>
      </w:pPr>
      <w:r>
        <w:t xml:space="preserve">Confianza: Alta</w:t>
      </w:r>
    </w:p>
    <w:p>
      <w:pPr>
        <w:spacing w:after="100"/>
      </w:pPr>
      <w:r>
        <w:t xml:space="preserve">No aplica: On es una sola marca con un solo segmento NIIF 8; calzado, ropa y canales comparten producto, marca y costes, y no hay comparables puros por línea.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27,68 CHF (+4,5 % sobre 26,48).</w:t>
      </w:r>
    </w:p>
    <w:p>
      <w:pPr>
        <w:spacing w:after="100"/>
      </w:pPr>
      <w:r>
        <w:t xml:space="preserve">El DCF pesa el 50 % porque On es un crecedor con un plan explícito a 2029 y diez años de proyección captan mejor su valor que un múltiplo de un año. Los escenarios ponderados, el 30 %, para incorporar la asimetría. Los comparables, solo el 20 %: ningún par combina el crecimiento, el margen bruto y la caja neta de On, y la regresión no explica los múltiplos (R² de 0,02). No hay transacciones con múltiplo verificado (peso 0) y la suma de partes no aplica. La dispersión es grande: los comparables dan 18,98 CHF (−28,3 %) y el DCF 30,07 CHF (+13,6 %). El valor objetivo, 27,68 CHF (33,33 USD), es un 4,5 % superior al precio. El puente usa el balance a 30-jun-2026 (caja 1.205,6 M CHF, arrendamientos 562,5 M CHF, pensiones 8,1 M CHF) [7]. No incluye los aranceles a devolver (hasta 53 M CHF), que aún no están reconocidos y valdrían 0,16 CHF por acción [21].</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nov-2026 (fecha por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rebajada (~17 % a divisa constante) y cobro de la devolución de aranceles (hasta 53 M CHF) en el margen bruto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 a dic-2029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 de la recompra de hasta 1.000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el 9 % de la capitalización; apoyo al precio y compensación de la dilución de los planes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2027 encaja con el «high-teens» del plan, se cierra la duda sobre los mayoristas; si queda por debajo, el plan de 2029 pierde credibilidad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Lanzamientos de running (SURREAL en el Cloudsurfer 3, Cloudboom Strike 2) y extensión de LightSpray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innovación como motor de precio completo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 a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comercial de EE. UU. tras la anulación de los aranceles IEEPA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Vietnam (90 % del calzado) restarían margen bruto; su ausencia lo sumaría [1,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sobre la remuneración de los fundadores co-CEO y posible cambio de la moneda de presentación al USD [21, 50].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atractivo de la marca (ciclo de moda)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propia (CloudTec, LightSpray), atletas y precio completo; margen bruto del 64,8 %.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a divisa constante por debajo del 20 % o rebajas en las tiendas propias.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del canal mayorista en EE. UU. y concentración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(−2 pp de crecimiento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ya en el 45,7 % del 2T26; recorte voluntario de entregas para limpiar el canal.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Mayoristas por debajo del 10 % a divisa constante en el 3T y 4T26; peso del mayor cliente por encima del 12 %.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USD débil frente al CHF</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por cada 10 % de caída del USD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Moneda funcional USD desde 2026 (menos diferencias de cambio); precios locales.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USD/CHF por debajo de 0,78.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concentración de la fabricación en Vietnam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suministro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(−1 pp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completo; margen bruto ya por encima del 65 % con el 20 % recíproco absorbido; Indonesia como segunda fuente.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Vietnam tras la anulación de los IEEPA.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control de voto de los fundadores, cúpula nueva y ventas de exdirectivos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Prima de riesgo de 0,5 pp en el WACC (≈ −6 %)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desde sep-2026; las A eligen un consejero.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del nuevo CFO o del COO; remuneración por encima del máximo aprobado otra vez.</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la expansión (ropa, fútbol, golf, tiendas propias)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(−1 pp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 ropa del 47,7 % en el 2T26; tiendas propias rentables según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generales sin ganar apalancamiento en 2027; ropa por debajo del 10 % de las ventas en 2028.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Nike y de otras insurgentes (HOKA, Asics) en running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(−2 pp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Diferenciación de producto y presencia en Asia.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o Asics creciendo más que On en EE. UU.; Nike recuperando cuota en running.</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 las métricas ajustadas e impuestos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sin salvedades; control interno efectivo desde 2023.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impositivo normalizado por encima del 20 %; remuneración en acciones por encima del 3 % de las ventas.</w:t>
            </w:r>
          </w:p>
        </w:tc>
      </w:tr>
    </w:tbl>
    <w:p>
      <w:pPr>
        <w:spacing w:after="160" w:before="0"/>
      </w:pPr>
    </w:p>
    <w:p>
      <w:pPr>
        <w:pStyle w:val="Heading2"/>
      </w:pPr>
      <w:r>
        <w:t xml:space="preserve">Pre-mortem</w:t>
      </w:r>
    </w:p>
    <w:p>
      <w:pPr>
        <w:spacing w:after="100"/>
      </w:pPr>
      <w:r>
        <w:t xml:space="preserve">Octubre de 2029: la acción vale un 40 % menos. Empezó con los mayoristas. El recorte de entregas de 2026, que se vendió como disciplina, escondía una demanda más floja en EE. UU.: el 3T26 creció un 14 % a divisa constante, menos del 17 % previsto, y la guía de 2027 llegó en el «mid-teens». Nike relanzó su running con espumas nuevas y rebajas, y HOKA y Asics llenaron el espacio de las tiendas especializadas. Para no perder volumen, On amplió las rebajas en sus propias tiendas y el margen bruto volvió al 60 %. Mientras, el dólar siguió cayendo frente al franco y el crecimiento en CHF bajó a un dígito. La cúpula nueva tampoco ayudó: el CFO externo salió en 2028 y la remuneración de los fundadores volvió a superar el máximo aprobado. Con el crecimiento en un dígito, el mercado empezó a valorar On como a Lululemon, a 6-8x EBITDA. Las señales estaban a la vista: el crecimiento de la venta directa por debajo del 20 % a divisa constante, el peso del mayor cliente por encima del 12 % y la ropa sin pasar del 10 % de las ventas.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las cifras son tres. El primero es la cadena de suministro: el 90 % del calzado se fabrica en Vietnam y seis proveedores hacen el 70 % de la producción, así que el control de condiciones laborales y el riesgo de retenciones por trabajo forzoso (CBP) afectan a ventas y reputación [1]. El segundo, las emisiones: On tiene objetivos de reducción validados por la SBTi, y casi todas sus emisiones son de alcance 3 (materiales y fabricación de terceros); incumplirlos tendría coste de reputación [1]. El tercero, los materiales: On usa poliéster y poliamida reciclados y de origen biológico, y la volatilidad del petróleo pesa en el coste [1]. No he encontrado cuantificación del coste de cumplimiento en las cuentas.</w:t>
      </w:r>
    </w:p>
    <w:p>
      <w:pPr>
        <w:pStyle w:val="Heading2"/>
      </w:pPr>
      <w:r>
        <w:t xml:space="preserve">Controversias</w:t>
      </w:r>
    </w:p>
    <w:p>
      <w:pPr>
        <w:spacing w:after="100"/>
      </w:pPr>
      <w:r>
        <w:t xml:space="preserve">No hay demandas colectivas de valores contra On Holding AG ni sanciones relevantes en los últimos tres años, según el 20-F 2025 (sin litigios materiales) y la revisión de CourtListener [1, 46]. Hay un pleito aduanero de On Inc. contra EE. UU. por los aranceles IEEPA (CIT, 2026) y una demanda colectiva de consumo en Oregón (Norberg v. On Inc., may-2026), cuyo objeto no he verificado [46].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inventario de On hay en el canal mayorista de EE. UU. (semanas de cobertura) y cuánto del recorte de entregas del 2T26 corresponde al mayor cliente?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cliente pesa el 11,6 % de las ventas y la rebaja de la guía viene de ahí: separa un ajuste puntual de una pérdida de demanda.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2029</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de cambio USD/CHF supone el objetivo de 5.600 M CHF y cuánto aportan fútbol y golf?</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 caso base queda un 2 % por debajo por la divisa; el valor es muy sensible a ese supuesto.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y qué margen EBITDA tienen las tiendas propias frente a la web y a los mayoristas?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paso a la venta directa es la palanca del margen del plan; sin el margen por canal no se puede comprobar.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excluir de las métricas, y del variable, un gasto recurrente del 2 % de las ventas? ¿Cuál será la dilución neta con la recompra?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diferencia entre el EBITDA ajustado y el NIIF y si la recompra crea valor o solo compensa planes.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de presentación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y por qué se cambiará la moneda de presentación al USD, y cómo afectará a las coberturas y a los covenants?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comparación histórica y la lectura del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de sucesión hay para los co-CEO fundadores y qué papel tendrá la consejera independiente coordinadora en la remuneración?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cambios de primer ejecutivo en 24 meses y control de voto de los fundadores.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los 55,6 M CHF de aranceles IEEPA está cobrada y qué arancel nuevo sobre Vietnam incorpora la guía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 1,5 puntos de margen bruto en 2026 y el margen de 2027.</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17 controles correctos. Fuentes: 75 (62 primarias); citas distintas en el texto: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-15,2 %: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19,0 % frente a 18,9 % real: genera una variación de circulante de 97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fuentes (62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 25, 66, 67.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MD&amp;A de los 6-K trimestrales: no citan consenso; 2) búsqueda web de prensa económica con la cifra de consenso previa a cada resultado: la herramienta de búsqueda devolvió error de límite de sesión; 3) no hay otro proveedor de consenso abierto accesible desde esta máquina sin servicios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puntos de venta mayoristas (doors)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2021-2025, búsqueda de 'doors', 'points of sale', 'wholesale partners' con cifra: solo frases cualitativas; 2) notas de prensa del Investor Day 2023 y 2026: sin cifra; 3) notas de prensa trimestrales 2021-2026: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Definición de flujo de caja libre de la empresa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sección Non-IFRS Measures: no define FCF; 2) nota de prensa del Investor Day 2026: cita 'Free Cash Flow' como medida no NIIF sin definirla ni cuantificarla; 3) la presentación del Investor Day 2026 no está en EDGAR (el 6-K solo lleva el anexo 99.1) y la búsqueda web no estuvo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divisa de presentación anunciado en el Investor Day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del Investor Day 2026: solo lo menciona entre las declaraciones prospectivas ('anticipated change and impact of our reporting currency'), sin fecha ni divisa; 2) 20-F 2025, nota 6.6: cambia la moneda FUNCIONAL a USD desde el 1-ene-2026 y dice que la de presentación sigue siendo CHF; 3) estados intermedios de jun-26, nota 1.2: repite que la presentación sigue en CHF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coste_deuda_pct, vida_media_anios,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4.3/5.4 del 20-F 2025: sin deuda financiera desde 2021; 2) estados de jun-26, nota 4.3: línea de 700 M sin disponer; 3) no hay bonos ni préstamos de los que derivarlo; solo hay comisiones de disponibilidad (7,6 M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e informe anual: no publican calificaciones de terceros; 2) páginas públicas de MSCI y Sustainalytics: requieren registro o cargan por JavaScript; 3) el subagente que lo buscaba se cortó por límite de uso sin dejar notas, y no hubo tiempo de repetirlo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 (cuota de los cinco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Grand View Research: mide el mercado de calzado, pero no da cuotas en la parte abierta; 2) McKinsey/WFSGI: no publica cuotas en el resumen público; 3) derivarlo con las ventas de Nike, adidas, Puma, Asics y Skechers sobre la serie de calzado mezclaría ropa y equipamiento con calzado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los competidores: no publican cuota; 2) fuentes sectoriales abiertas: sin cuotas por marca; 3) derivarla sobre la serie de calzado mezclaría perímetros (Nike, adidas y Lululemon venden mucha ropa)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Balance y Brooks (privadas)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New Balance: no publica cuentas; la cifra de prensa (CNBC, feb-2026) da ventas, no margen; 2) Brooks: el 10-K de Berkshire 2025 no la desglosa del segmento de bienes de consumo; 3) Skechers: privatizada en sep-2025, su último 10-K es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equipo.participacion_pct de Frank Sluis y Scott Maguire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7.A: no figuran, porque entraron en la dirección en 2026; 2) EDGAR: no hay 13G/13D ni Form 144 a su nombre; 3) informe de remuneración 2025 y web de relación con inversores: no publican su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Roger Federer, Capital Group y Baillie Gifford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7.A: no superan el 5 %; 2) los 13G y 13G/A de EDGAR desde 2024: ninguno de ellos presenta; 3) registros 13F y prensa: WebSearch sin servicio en la sesión y 13F no consultado (los agregadores son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ejecución de las ventas avisadas por los tres fundadores el 6-mar-2026 y por Hoffmann el 1-oct-2026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primary_doc.xml de cada Form 144: solo anuncian la venta prevista; 2) apartado de ventas de los tres meses anteriores en los 144 posteriores: los fundadores no han presentado ninguno después, y los de Hoffmann llegan solo hasta el 10-ago-2026; 3) 13G/A de los fundadores a 30-jun-2026: da tenencias, no operaciones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 si Hoffmann perdió los CHF 5 M en RSU de 2025 al irse en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e informe de remuneración 2025: anteriores a la salida; 2) 6-K del 25-mar-2026 y Enmienda n.º 1 al pacto: no lo tratan; 3) 6-K del 1T y 2T 2026: sin datos individuales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consejo.desde de David Allemann (fecha de entrada en el consejo)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6: solo dice copresidente ejecutivo desde abril de 2021; 2) 20-F 2021: igual, y antes «Global Branding and Marketing Director» desde 2010; 3) web de relación con inversores: no da la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 (operaciones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Fuente primaria: 8-K de cierre de la compra de Skechers por 3G Capital (12-sep-2025): da el precio por acción y la financiación, no el valor empresa ni los múltiplos; 2) otra vía: proveedores gratuitos (MarketScreener, Stock Analysis) no publican múltiplos de transacciones y el subagente que buscaba las notas de prensa de Amer Sports/Anta, Reebok/ABG y Birkenstock/L Catterton se cortó por límite de uso sin dejar notas; 3) derivarlo: habría que reconstruir el valor empresa de cada operación con balances de la fecha, sin tiempo de verificarlo en dos fuentes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(fecha de los resultados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relación con inversores de On (eventos): no publica aún la fecha; 2) Stock Analysis y MarketScreener: sin fecha confirmada; 3) referencia histórica: el 3T25 se publicó el 12-nov-2025, así que se espera a mediados de noviembre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valoración: solo los múltiplos sobre el ejercicio estimado actual; 2) Stock Analysis: el «forward PE» histórico por año de la página de previsiones usa BPA ajustado y está detrás de la suscripción para 2027-2028; 3) reconstruirlo exigiría el consenso histórico a cada cierre, que no es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revisiones: barras de puntuación relativa sin cifras; 2) Stock Analysis: historial de estimaciones solo con suscripción; 3) titulares de cambios de precio objetivo (MarketScreener y Stock Analysis): usados como aproximación cualitativa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Transcripciones de las conferencias con analistas (4T25, 1T26,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los 6-K solo incluyen notas de prensa y MD&amp;A, no transcripciones; 2) web de relación con inversores: webcast en vídeo, sin texto; 3) agregadores de transcripciones (Seeking Alpha, Motley Fool): de pago o con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(informe anual con estados financieros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https://www.sec.gov/Archives/edgar/data/1858985/000185898526000008/onholdingag-20251231.htm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https://www.sec.gov/Archives/edgar/data/1858985/000185898525000003/onholdingag-20241231.htm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https://www.sec.gov/Archives/edgar/data/1858985/000185898524000012/onholdingag-20231231.htm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https://www.sec.gov/Archives/edgar/data/1858985/000185898523000011/onholdingag-20221231.htm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https://www.sec.gov/Archives/edgar/data/1858985/000185898522000006/onholdingag-20211231.htm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and Six-Month Period Ended June 30, 2026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https://www.sec.gov/Archives/edgar/data/1858985/000185898526000018/a26q2-ex993xpressrelease.htm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Unaudited interim condensed consolidated financial statements, June 30,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https://www.sec.gov/Archives/edgar/data/1858985/000185898526000018/onholdingag-20260630_d2.htm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Q2 2026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https://www.sec.gov/Archives/edgar/data/1858985/000185898526000018/a26q2-exhibit992xmda.htm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Ended March 31, 2026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https://www.sec.gov/Archives/edgar/data/1858985/000185898526000014/a26q1-ex991xpressrelease.htm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Q1 2026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https://www.sec.gov/Archives/edgar/data/1858985/000185898526000014/a26q1-exhibit992xmda.htm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https://www.sec.gov/Archives/edgar/data/1858985/000185898526000010/ex991pressreleasedatedmarc.htm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Third Quarter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https://www.sec.gov/Archives/edgar/data/1858985/000185898525000015/a25q3-ex991xpressrelease.htm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Q3 2025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https://www.sec.gov/Archives/edgar/data/1858985/000185898525000015/a25q3-exhibit992xmda.htm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2025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https://www.sec.gov/Archives/edgar/data/1858985/000185898525000012/a25q2-ex993xpressrelease.htm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https://www.sec.gov/Archives/edgar/data/1858985/000185898525000008/a25q1-ex991xpressrelease.htm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https://www.sec.gov/Archives/edgar/data/1858985/000185898525000005/ex991pressreleasedatedmarc.htm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Third Quarter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https://www.sec.gov/Archives/edgar/data/1858985/000185898524000029/a24q3-ex991xpressrelease.htm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2024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https://www.sec.gov/Archives/edgar/data/1858985/000185898524000024/a24q2-ex993xpressrelease.htm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https://www.sec.gov/Archives/edgar/data/1858985/000185898524000020/a24q1-ex991xpressrelease.htm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2023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https://www.sec.gov/Archives/edgar/data/1858985/000185898524000014/ex991pressreleasedatedmarc.htm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Enters Next Chapter: Investor Day 2026 and 2029 Financial Targets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https://www.sec.gov/Archives/edgar/data/1858985/000185898526000021/exhibit991oninvestorday202.htm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Investor Day 2023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https://www.sec.gov/Archives/edgar/data/1858985/000185898523000045/oninvestorday2023-pressrel.htm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Enters into Credit Facility Agreement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https://www.sec.gov/Archives/edgar/data/1858985/000185898523000038/form6-kxcreditfalicityagre.htm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CHF 700,000,000 Multicurrency Revolving Facility Agreement (anexo 4.19 del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https://www.sec.gov/Archives/edgar/data/1858985/000185898524000012/exhibit419_chf700000000m.htm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Appointment of New Chief Financial Officer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https://www.sec.gov/Archives/edgar/data/1858985/000185898526000003/exhibit991_pressrelease.htm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Co-Founders to Lead Next Chapter of Growth as Co-CEOs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https://www.sec.gov/Archives/edgar/data/1858985/000095010326004606/dp244091_ex9901.htm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the Annual General Meeting 2026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https://www.sec.gov/Archives/edgar/data/1858985/000095010326005884/dp245359_ex9901.htm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2021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https://www.sec.gov/Archives/edgar/data/1858985/000185898521000004/a991pressreleasedatednovem.htm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2021 and Q4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https://www.sec.gov/Archives/edgar/data/1858985/000185898522000008/a991pressreleasedatedmarch.htm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https://www.sec.gov/Archives/edgar/data/1858985/000185898522000016/a22q1-pressrelease.htm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https://www.sec.gov/Archives/edgar/data/1858985/000185898522000020/a22q2-pressrelease.htm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https://www.sec.gov/Archives/edgar/data/1858985/000185898522000025/a22q3-pressrelease.htm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https://www.sec.gov/Archives/edgar/data/1858985/000185898523000015/a991pressreleasedatedmarch.htm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https://www.sec.gov/Archives/edgar/data/1858985/000185898523000034/a23q1-ex991xpressrelease.htm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https://www.sec.gov/Archives/edgar/data/1858985/000185898523000042/a23q2-ex993xpressrelease.htm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https://www.sec.gov/Archives/edgar/data/1858985/000185898523000052/a23q3-ex991xpressrelease.htm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Description of securities (anexo 2.1 del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https://www.sec.gov/Archives/edgar/data/1858985/000185898526000008/exhibit21_descriptionofsec.htm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Annual Report 2025: income statement and sporting goods industry development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https://www.adidas-group.com/en/investors/financial-reports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Form 10-K, fiscal 2026 (ejercicio cerrado el 31-may-2026)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https://www.sec.gov/cgi-bin/browse-edgar?action=getcompany&amp;CIK=0000320187&amp;type=10-K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MD&amp;A del primer trimestre de 2025 (6-K, Exhibit 99.2): política de precios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https://www.sec.gov/Archives/edgar/data/1858985/000185898525000008/a25q1-exhibit992xmda.htm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Athletic Footwear Market Size, Share &amp; Trends Analysis Report, 2024-2030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https://www.grandviewresearch.com/industry-analysis/athletic-footwear-market-report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Sporting goods industry growth to slow, new report finds (McKinsey/WFSGI, Sporting Goods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SGI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https://sginews.com/Content/sporting-goods-industry-growth-to-slow-new-report-finds.aspx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PUMA Annual Report 2025: economic conditions and year-on-year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PUMA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https://annual-report.puma.com/2025/en/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Corporation: Consolidated financial results FY2025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https://corp.asics.com/en/investor_relations/library/financial_results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CHF) a los cierres de 2024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https://data.ecb.europa.eu/data/datasets/EXR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CourtListener (RECAP): expedientes con «On Holding AG» y «On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 Law Project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https://www.courtlistener.com/?q=%22On+Holding+AG%22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Compensation Report 2025 (6-K,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https://www.sec.gov/Archives/edgar/data/1858985/000185898526000010/ex992_compensationreport.htm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Amendment No. 1 to the Shareholders' Agreement (6-K,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https://www.sec.gov/Archives/edgar/data/1858985/000095010326004606/dp244091_ex9902.htm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Results y estatutos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https://www.sec.gov/Archives/edgar/data/1858985/000095010326007952/dp246675_6k.htm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2026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https://s21.q4cdn.com/241001792/files/doc_events/2026/May/28/AGM-Minutes-2026-vf-Website-Version.pdf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2025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https://s21.q4cdn.com/241001792/files/doc_events/2025/05/250522-On-Holding-AG-AGM-Minutes.pdf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2024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https://s21.q4cdn.com/241001792/files/doc_events/230423-On-Holding-AG-AGM-Minutes-1.pdf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salida del co-CEO Marc Maurer y nombramientos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https://www.sec.gov/Archives/edgar/data/1858985/000095010325004152/dp226991_ex9901.htm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Governance (dirección y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https://investors.on-running.com/governance/default.aspx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David Allemann, Olivier Bernhard y Caspar Coppetti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https://www.sec.gov/Archives/edgar/data/1858985/000095010326012255/xslSCHEDULE_13G_X02/primary_doc.xml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Martin Hoffmann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https://www.sec.gov/Archives/edgar/data/1858985/000095010326012253/xslSCHEDULE_13G_X02/primary_doc.xml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Baron Capital Group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https://www.sec.gov/Archives/edgar/data/1858985/000101791826000061/xslSCHEDULE_13G_X02/primary_doc.xml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FMR LLC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https://www.sec.gov/Archives/edgar/data/1858985/000031506626002100/xslSCHEDULE_13G_X02/primary_doc.xml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FMR LLC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https://www.sec.gov/Archives/edgar/data/1858985/000031506626001250/xslSCHEDULE_13G_X02/primary_doc.xml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Morgan Stanley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https://www.sec.gov/Archives/edgar/data/1858985/000089542126000054/xslSCHEDULE_13G_X01/primary_doc.xml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AllianceBernstein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https://www.sec.gov/Archives/edgar/data/1858985/000110944825000142/xslSCHEDULE_13G_X01/primary_doc.xml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Carlos Alberto Sicupira / CHL Investment Fund (a 30-sep-2024)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https://www.sec.gov/Archives/edgar/data/1858985/000155249024000002/xslSCHEDULE_13G_X01/primary_doc.xml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Martin Hoffmann (aviso de 175.000 acciones; ventas de jul-ago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https://www.sec.gov/Archives/edgar/data/1858985/000195824426000633/xsl144X01/primary_doc.xml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Martin Hoffmann (ventas de abr-jun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https://www.sec.gov/Archives/edgar/data/1858985/000195824426000434/xsl144X01/primary_doc.xml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Marc Maurer (ventas de mar-may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https://www.sec.gov/Archives/edgar/data/1858985/000195824426000356/xsl144X01/primary_doc.xml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David Allemann (venta por consolidación de PSU)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https://www.sec.gov/Archives/edgar/data/1858985/000195917326002036/xsl144X01/primary_doc.xml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(USD/EUR y CHF/EUR, diarios)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https://data-api.ecb.europa.eu/service/data/EXR/D.USD+CHF.EUR.SP00.A?startPeriod=2025-09-01&amp;endPeriod=2026-10-06&amp;format=csvdata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(ONON): cotizaciones diarias desde la OPV, índices S&amp;P 500 (^GSPC) y Consumer Discretionary Select Sector SPDR (XLY); cálculo de rentabilidades, beta, volatilidad y caída máxima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https://finance.yahoo.com/quote/ONON/history/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datos financieros y estimaciones 2026-2028, consenso y valoración sectorial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https://www.marketscreener.com/quote/stock/ON-HOLDING-AG-126877786/finances/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consenso, precios objetivo y titulares de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https://www.marketscreener.com/quote/stock/ON-HOLDING-AG-126877786/consensus/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(ONON): previsiones, precios objetivo (S&amp;P Global) y estadísticas (acciones, flotante, posición corta, beta)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https://stockanalysis.com/stocks/onon/forecast/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estadísticas (capitalización, valor empresa, ROIC, FCF yield) de Deckers, Nike, adidas, Asics, Lululemon, Amer Sports y Birkenstock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https://stockanalysis.com/stocks/deck/statistics/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ventas, EBITDA, BPA y deuda neta reales y estimados (páginas /finances/ de cada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https://www.marketscreener.com/quote/stock/DECKERS-OUTDOOR-CORPORATI-16402770/finances/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5,31 % el 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Switzerland 10-Year Government Bond Yield (0,51 %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90,3 %</w:t>
      </w:r>
      <w:r>
        <w:t xml:space="preserve"> · Secciones con menos del 60 % de campos cubiertos: </w:t>
      </w:r>
      <w:r>
        <w:rPr>
          <w:b/>
          <w:bCs/>
        </w:rPr>
        <w:t xml:space="preserve">transacciones</w:t>
      </w:r>
      <w:r>
        <w:t xml:space="preserve"> · Generado el 6 oct 2026.</w:t>
      </w:r>
    </w:p>
    <w:p>
      <w:pPr>
        <w:pStyle w:val="Nota"/>
        <w:spacing w:after="100"/>
      </w:pPr>
      <w:r>
        <w:t xml:space="preserve">Línea cotizada: acciones de Clase A de On Holding AG en la NYSE (USD). Las de Clase B (nominal 0,01 CHF, de los fundadores) no cotizan; las acciones se cuentan en equivalente económico de Clase A (A + B/10): 336,1 M diluidas a 30-jun-2026 (301,7 M de A, 325,0 M de B = 32,5 M de A y 1,9 M de planes con efecto dilutivo). Divisa: las cuentas están en CHF y el análisis también. El precio (31,88 USD, cierre del 5-oct-2026; a la hora del corte el 6-oct cotizaba en torno a 33,0 USD), la capitalización, el rango de 52 semanas, el volumen, los precios objetivo y los comparables cotizados en USD, EUR o JPY se convierten con los tipos de referencia del BCE del 6-oct-2026 (USD/CHF 0,8305 = 0,9359 CHF/EUR ÷ 1,1269 USD/EUR; JPY/CHF 0,00525). Los precios de cierre de cada año usan el USD/CHF del BCE al cierre (0,9121 en 2021, 0,9232 en 2022, 0,8380 en 2023, 0,9060 en 2024 y 0,7927 en 2025). Desde el 1-ene-2026 la moneda funcional de la matriz y de On AG es el USD (la de presentación sigue siendo el CHF), y la empresa ha anunciado un posible cambio de la moneda de presentación. El EBITDA es el NIIF (con la remuneración en acciones como gasto); la empresa solo guía EBITDA ajustado, que la excluye (≈ 2 % de las ventas). El EBITDA de consenso se ha pasado a base NIIF restando esa remuneración estimada (estimación propia). Los comparables toman ventas, EBITDA y BPA de un solo proveedor (MarketScreener) y la capitalización y el valor empresa de otro (Stock Analysis). Sin servicios de pago: no hay consenso histórico, múltiplos NTM históricos ni transcripciones de las conferencias. Dos de los cuatro subagentes de investigación se cortaron por un límite de uso y su parte se rehízo con menos tiempo: transacciones y calificaciones ESG quedan sin cubrir.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On Holding AG (ONON)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IywjIzAuMDA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26,48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(21,89 – 42,42)</c:v>
                </c:pt>
                <c:pt idx="1">
                  <c:v>Precio objetivo de los analistas (16,58 – 59,37)</c:v>
                </c:pt>
                <c:pt idx="2">
                  <c:v>Comparables: EV/EBITDA NTM (17,87 – 24,93)</c:v>
                </c:pt>
                <c:pt idx="3">
                  <c:v>Comparables: PER NTM (16,29 – 28,15)</c:v>
                </c:pt>
                <c:pt idx="4">
                  <c:v>DCF (WACC y g ± 0,5) (27,34 – 33,56)</c:v>
                </c:pt>
                <c:pt idx="5">
                  <c:v>Escenarios (bajista – alcista) (18,18 – 39,72)</c:v>
                </c:pt>
                <c:pt idx="6">
                  <c:v>Precio actual (26,48)</c:v>
                </c:pt>
              </c:strCache>
            </c:strRef>
          </c:cat>
          <c:val>
            <c:numRef>
              <c:f>Hoja1!$B$2:$B$8</c:f>
              <c:numCache>
                <c:formatCode>#,##0.00</c:formatCode>
                <c:ptCount val="7"/>
                <c:pt idx="0">
                  <c:v>21.89</c:v>
                </c:pt>
                <c:pt idx="1">
                  <c:v>16.58</c:v>
                </c:pt>
                <c:pt idx="2">
                  <c:v>17.87</c:v>
                </c:pt>
                <c:pt idx="3">
                  <c:v>16.29</c:v>
                </c:pt>
                <c:pt idx="4">
                  <c:v>27.34</c:v>
                </c:pt>
                <c:pt idx="5">
                  <c:v>18.18</c:v>
                </c:pt>
                <c:pt idx="6">
                  <c:v>26.35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(21,89 – 42,42)</c:v>
                </c:pt>
                <c:pt idx="1">
                  <c:v>Precio objetivo de los analistas (16,58 – 59,37)</c:v>
                </c:pt>
                <c:pt idx="2">
                  <c:v>Comparables: EV/EBITDA NTM (17,87 – 24,93)</c:v>
                </c:pt>
                <c:pt idx="3">
                  <c:v>Comparables: PER NTM (16,29 – 28,15)</c:v>
                </c:pt>
                <c:pt idx="4">
                  <c:v>DCF (WACC y g ± 0,5) (27,34 – 33,56)</c:v>
                </c:pt>
                <c:pt idx="5">
                  <c:v>Escenarios (bajista – alcista) (18,18 – 39,72)</c:v>
                </c:pt>
                <c:pt idx="6">
                  <c:v>Precio actual (26,48)</c:v>
                </c:pt>
              </c:strCache>
            </c:strRef>
          </c:cat>
          <c:val>
            <c:numRef>
              <c:f>Hoja1!$C$2:$C$8</c:f>
              <c:numCache>
                <c:formatCode>#,##0.00</c:formatCode>
                <c:ptCount val="7"/>
                <c:pt idx="0">
                  <c:v>20.53</c:v>
                </c:pt>
                <c:pt idx="1">
                  <c:v>42.79</c:v>
                </c:pt>
                <c:pt idx="2">
                  <c:v>7.059999999999999</c:v>
                </c:pt>
                <c:pt idx="3">
                  <c:v>11.86</c:v>
                </c:pt>
                <c:pt idx="4">
                  <c:v>6.220000000000002</c:v>
                </c:pt>
                <c:pt idx="5">
                  <c:v>21.54</c:v>
                </c:pt>
                <c:pt idx="6">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Mayorista (Wholesale)</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264.8</c:v>
                </c:pt>
                <c:pt idx="1">
                  <c:v>448.8</c:v>
                </c:pt>
                <c:pt idx="2">
                  <c:v>777</c:v>
                </c:pt>
                <c:pt idx="3">
                  <c:v>1120.3</c:v>
                </c:pt>
                <c:pt idx="4">
                  <c:v>1375.5</c:v>
                </c:pt>
                <c:pt idx="5">
                  <c:v>1753.4</c:v>
                </c:pt>
              </c:numCache>
            </c:numRef>
          </c:val>
        </c:ser>
        <c:ser>
          <c:idx val="1"/>
          <c:order val="1"/>
          <c:tx>
            <c:strRef>
              <c:f>Hoja1!$C$1</c:f>
              <c:strCache>
                <c:ptCount val="1"/>
                <c:pt idx="0">
                  <c:v>Venta directa (DTC)</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160.5</c:v>
                </c:pt>
                <c:pt idx="1">
                  <c:v>275.8</c:v>
                </c:pt>
                <c:pt idx="2">
                  <c:v>445.1</c:v>
                </c:pt>
                <c:pt idx="3">
                  <c:v>671.8</c:v>
                </c:pt>
                <c:pt idx="4">
                  <c:v>942.8</c:v>
                </c:pt>
                <c:pt idx="5">
                  <c:v>1260.5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Mayorista (Wholesale)</c:v>
                </c:pt>
                <c:pt idx="1">
                  <c:v>Venta directa (DTC)</c:v>
                </c:pt>
              </c:strCache>
            </c:strRef>
          </c:cat>
          <c:val>
            <c:numRef>
              <c:f>Hoja1!$B$2:$B$3</c:f>
              <c:numCache>
                <c:formatCode>General</c:formatCode>
                <c:ptCount val="2"/>
                <c:pt idx="0">
                  <c:v>58.2</c:v>
                </c:pt>
                <c:pt idx="1">
                  <c:v>41.8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Resto de América</c:v>
                </c:pt>
                <c:pt idx="2">
                  <c:v>EMEA</c:v>
                </c:pt>
                <c:pt idx="3">
                  <c:v>Asia-Pacífico</c:v>
                </c:pt>
              </c:strCache>
            </c:strRef>
          </c:cat>
          <c:val>
            <c:numRef>
              <c:f>Hoja1!$B$2:$B$5</c:f>
              <c:numCache>
                <c:formatCode>0"%"</c:formatCode>
                <c:ptCount val="4"/>
                <c:pt idx="0">
                  <c:v>51.4</c:v>
                </c:pt>
                <c:pt idx="1">
                  <c:v>6.3</c:v>
                </c:pt>
                <c:pt idx="2">
                  <c:v>25.3</c:v>
                </c:pt>
                <c:pt idx="3">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(calzado deportivo mundial, Grand View Research))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2030e</c:v>
                </c:pt>
              </c:strCache>
            </c:strRef>
          </c:cat>
          <c:val>
            <c:numRef>
              <c:f>Hoja1!$B$2:$B$6</c:f>
              <c:numCache>
                <c:formatCode>#,##0</c:formatCode>
                <c:ptCount val="5"/>
                <c:pt idx="0">
                  <c:v>127.3</c:v>
                </c:pt>
                <c:pt idx="1">
                  <c:v>133.1</c:v>
                </c:pt>
                <c:pt idx="2">
                  <c:v>146.7</c:v>
                </c:pt>
                <c:pt idx="3">
                  <c:v>153.9</c:v>
                </c:pt>
                <c:pt idx="4">
                  <c:v>205.8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On</c:v>
                </c:pt>
                <c:pt idx="1">
                  <c:v>Nike</c:v>
                </c:pt>
                <c:pt idx="2">
                  <c:v>adidas</c:v>
                </c:pt>
                <c:pt idx="3">
                  <c:v>Lululemon</c:v>
                </c:pt>
                <c:pt idx="4">
                  <c:v>Puma</c:v>
                </c:pt>
                <c:pt idx="5">
                  <c:v>Amer Sports (Salomon, Arc'teryx)</c:v>
                </c:pt>
                <c:pt idx="6">
                  <c:v>Deckers (HOKA, UGG)</c:v>
                </c:pt>
                <c:pt idx="7">
                  <c:v>Asics</c:v>
                </c:pt>
              </c:strCache>
            </c:strRef>
          </c:cat>
          <c:val>
            <c:numRef>
              <c:f>Hoja1!$B$2:$B$9</c:f>
              <c:numCache>
                <c:formatCode>0.0"%"</c:formatCode>
                <c:ptCount val="8"/>
                <c:pt idx="0">
                  <c:v>12.5</c:v>
                </c:pt>
                <c:pt idx="1">
                  <c:v>8.2</c:v>
                </c:pt>
                <c:pt idx="2">
                  <c:v>8.3</c:v>
                </c:pt>
                <c:pt idx="3">
                  <c:v>19.9</c:v>
                </c:pt>
                <c:pt idx="4">
                  <c:v>-4.9</c:v>
                </c:pt>
                <c:pt idx="5">
                  <c:v>10.7</c:v>
                </c:pt>
                <c:pt idx="6">
                  <c:v>23.1</c:v>
                </c:pt>
                <c:pt idx="7">
                  <c:v>17.6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4</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425.3</c:v>
                </c:pt>
                <c:pt idx="1">
                  <c:v>724.6</c:v>
                </c:pt>
                <c:pt idx="2">
                  <c:v>1222.1</c:v>
                </c:pt>
                <c:pt idx="3">
                  <c:v>1792.1</c:v>
                </c:pt>
                <c:pt idx="4">
                  <c:v>2318.3</c:v>
                </c:pt>
                <c:pt idx="5">
                  <c:v>3014</c:v>
                </c:pt>
                <c:pt idx="6">
                  <c:v>3514</c:v>
                </c:pt>
                <c:pt idx="7">
                  <c:v>4112</c:v>
                </c:pt>
                <c:pt idx="8">
                  <c:v>4770</c:v>
                </c:pt>
                <c:pt idx="9">
                  <c:v>5485</c:v>
                </c:pt>
                <c:pt idx="10">
                  <c:v>6198</c:v>
                </c:pt>
                <c:pt idx="11">
                  <c:v>6880</c:v>
                </c:pt>
                <c:pt idx="12">
                  <c:v>7499</c:v>
                </c:pt>
                <c:pt idx="13">
                  <c:v>8024</c:v>
                </c:pt>
                <c:pt idx="14">
                  <c:v>8425</c:v>
                </c:pt>
                <c:pt idx="15">
                  <c:v>8720</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-5</c:v>
                </c:pt>
                <c:pt idx="1">
                  <c:v>-109.7</c:v>
                </c:pt>
                <c:pt idx="2">
                  <c:v>131.5</c:v>
                </c:pt>
                <c:pt idx="3">
                  <c:v>245.1</c:v>
                </c:pt>
                <c:pt idx="4">
                  <c:v>316.2</c:v>
                </c:pt>
                <c:pt idx="5">
                  <c:v>504.4</c:v>
                </c:pt>
                <c:pt idx="6">
                  <c:v>668</c:v>
                </c:pt>
                <c:pt idx="7">
                  <c:v>781</c:v>
                </c:pt>
                <c:pt idx="8">
                  <c:v>930</c:v>
                </c:pt>
                <c:pt idx="9">
                  <c:v>1097</c:v>
                </c:pt>
                <c:pt idx="10">
                  <c:v>1240</c:v>
                </c:pt>
                <c:pt idx="11">
                  <c:v>1376</c:v>
                </c:pt>
                <c:pt idx="12">
                  <c:v>1500</c:v>
                </c:pt>
                <c:pt idx="13">
                  <c:v>1605</c:v>
                </c:pt>
                <c:pt idx="14">
                  <c:v>1685</c:v>
                </c:pt>
                <c:pt idx="15">
                  <c:v>1744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54.3</c:v>
                </c:pt>
                <c:pt idx="1">
                  <c:v>59.4</c:v>
                </c:pt>
                <c:pt idx="2">
                  <c:v>56</c:v>
                </c:pt>
                <c:pt idx="3">
                  <c:v>59.6</c:v>
                </c:pt>
                <c:pt idx="4">
                  <c:v>60.6</c:v>
                </c:pt>
                <c:pt idx="5">
                  <c:v>62.8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c:v>
                </c:pt>
                <c:pt idx="1">
                  <c:v>-15.1</c:v>
                </c:pt>
                <c:pt idx="2">
                  <c:v>10.8</c:v>
                </c:pt>
                <c:pt idx="3">
                  <c:v>13.7</c:v>
                </c:pt>
                <c:pt idx="4">
                  <c:v>13.6</c:v>
                </c:pt>
                <c:pt idx="5">
                  <c:v>16.7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c:v>
                </c:pt>
                <c:pt idx="1">
                  <c:v>-19.5</c:v>
                </c:pt>
                <c:pt idx="2">
                  <c:v>7</c:v>
                </c:pt>
                <c:pt idx="3">
                  <c:v>10.1</c:v>
                </c:pt>
                <c:pt idx="4">
                  <c:v>9.1</c:v>
                </c:pt>
                <c:pt idx="5">
                  <c:v>12.5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-6.5</c:v>
                </c:pt>
                <c:pt idx="1">
                  <c:v>-23.5</c:v>
                </c:pt>
                <c:pt idx="2">
                  <c:v>4.7</c:v>
                </c:pt>
                <c:pt idx="3">
                  <c:v>4.4</c:v>
                </c:pt>
                <c:pt idx="4">
                  <c:v>10.5</c:v>
                </c:pt>
                <c:pt idx="5">
                  <c:v>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32.3</c:v>
                </c:pt>
                <c:pt idx="1">
                  <c:v>35.7</c:v>
                </c:pt>
                <c:pt idx="2">
                  <c:v>43</c:v>
                </c:pt>
                <c:pt idx="3">
                  <c:v>32</c:v>
                </c:pt>
                <c:pt idx="4">
                  <c:v>24.9</c:v>
                </c:pt>
                <c:pt idx="5">
                  <c:v>22.6</c:v>
                </c:pt>
                <c:pt idx="6">
                  <c:v>14.5</c:v>
                </c:pt>
                <c:pt idx="7">
                  <c:v>13.5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33.2</c:v>
                </c:pt>
                <c:pt idx="1">
                  <c:v>40.6</c:v>
                </c:pt>
                <c:pt idx="2">
                  <c:v>40</c:v>
                </c:pt>
                <c:pt idx="3">
                  <c:v>38.2</c:v>
                </c:pt>
                <c:pt idx="4">
                  <c:v>34.5</c:v>
                </c:pt>
                <c:pt idx="5">
                  <c:v>30.6</c:v>
                </c:pt>
                <c:pt idx="6">
                  <c:v>26.4</c:v>
                </c:pt>
                <c:pt idx="7">
                  <c:v>21.6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44</c:v>
                </c:pt>
                <c:pt idx="1">
                  <c:v>50</c:v>
                </c:pt>
                <c:pt idx="2">
                  <c:v>52</c:v>
                </c:pt>
                <c:pt idx="3">
                  <c:v>42</c:v>
                </c:pt>
                <c:pt idx="4">
                  <c:v>39</c:v>
                </c:pt>
                <c:pt idx="5">
                  <c:v>37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193</c:v>
                </c:pt>
                <c:pt idx="1">
                  <c:v>166</c:v>
                </c:pt>
                <c:pt idx="2">
                  <c:v>269</c:v>
                </c:pt>
                <c:pt idx="3">
                  <c:v>180</c:v>
                </c:pt>
                <c:pt idx="4">
                  <c:v>168</c:v>
                </c:pt>
                <c:pt idx="5">
                  <c:v>137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78</c:v>
                </c:pt>
                <c:pt idx="1">
                  <c:v>57</c:v>
                </c:pt>
                <c:pt idx="2">
                  <c:v>75</c:v>
                </c:pt>
                <c:pt idx="3">
                  <c:v>33</c:v>
                </c:pt>
                <c:pt idx="4">
                  <c:v>67</c:v>
                </c:pt>
                <c:pt idx="5">
                  <c:v>50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-37.3</c:v>
                </c:pt>
                <c:pt idx="1">
                  <c:v>-35.400000000000006</c:v>
                </c:pt>
                <c:pt idx="2">
                  <c:v>-330.09999999999997</c:v>
                </c:pt>
                <c:pt idx="3">
                  <c:v>152.89999999999998</c:v>
                </c:pt>
                <c:pt idx="4">
                  <c:v>379</c:v>
                </c:pt>
                <c:pt idx="5">
                  <c:v>189.49999999999997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-27.5</c:v>
                </c:pt>
                <c:pt idx="1">
                  <c:v>-170.2</c:v>
                </c:pt>
                <c:pt idx="2">
                  <c:v>57.7</c:v>
                </c:pt>
                <c:pt idx="3">
                  <c:v>79.6</c:v>
                </c:pt>
                <c:pt idx="4">
                  <c:v>242.3</c:v>
                </c:pt>
                <c:pt idx="5">
                  <c:v>203.7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-7.2</c:v>
                </c:pt>
                <c:pt idx="1">
                  <c:v>-38.2</c:v>
                </c:pt>
                <c:pt idx="2">
                  <c:v>11.1</c:v>
                </c:pt>
                <c:pt idx="3">
                  <c:v>23</c:v>
                </c:pt>
                <c:pt idx="4">
                  <c:v>22.6</c:v>
                </c:pt>
                <c:pt idx="5">
                  <c:v>38.4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c:v>
                </c:pt>
                <c:pt idx="1">
                  <c:v>10</c:v>
                </c:pt>
                <c:pt idx="2">
                  <c:v>10</c:v>
                </c:pt>
                <c:pt idx="3">
                  <c:v>10</c:v>
                </c:pt>
                <c:pt idx="4">
                  <c:v>10</c:v>
                </c:pt>
                <c:pt idx="5">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-11.2</c:v>
                </c:pt>
                <c:pt idx="1">
                  <c:v>-31.1</c:v>
                </c:pt>
                <c:pt idx="2">
                  <c:v>6.3</c:v>
                </c:pt>
                <c:pt idx="3">
                  <c:v>7.8</c:v>
                </c:pt>
                <c:pt idx="4">
                  <c:v>19.6</c:v>
                </c:pt>
                <c:pt idx="5">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13.38</c:v>
                </c:pt>
                <c:pt idx="1">
                  <c:v>4.3</c:v>
                </c:pt>
                <c:pt idx="2">
                  <c:v>-1.6</c:v>
                </c:pt>
                <c:pt idx="3">
                  <c:v>-1.08</c:v>
                </c:pt>
                <c:pt idx="4">
                  <c:v>-1.82</c:v>
                </c:pt>
                <c:pt idx="5">
                  <c:v>-0.99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0.2</c:v>
                </c:pt>
                <c:pt idx="2">
                  <c:v>0</c:v>
                </c:pt>
                <c:pt idx="3">
                  <c:v>0</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3</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Hoja1!$A$2:$A$14</c:f>
              <c:strCache>
                <c:ptCount val="13"/>
                <c:pt idx="0">
                  <c:v>Olivier Bernhard (cofundador)</c:v>
                </c:pt>
                <c:pt idx="1">
                  <c:v>Caspar Coppetti (cofundador)</c:v>
                </c:pt>
                <c:pt idx="2">
                  <c:v>David Allemann (cofundador)</c:v>
                </c:pt>
                <c:pt idx="3">
                  <c:v>Los tres fundadores en conjunto (pacto)</c:v>
                </c:pt>
                <c:pt idx="4">
                  <c:v>Carlos Alberto Sicupira (CHL Investment Fund)</c:v>
                </c:pt>
                <c:pt idx="5">
                  <c:v>Morgan Stanley (MSIM)</c:v>
                </c:pt>
                <c:pt idx="6">
                  <c:v>Marc Lemann (MAAI Ltd.)</c:v>
                </c:pt>
                <c:pt idx="7">
                  <c:v>Baron Capital</c:v>
                </c:pt>
                <c:pt idx="8">
                  <c:v>FMR (Fidelity)</c:v>
                </c:pt>
                <c:pt idx="9">
                  <c:v>Alex Pérez (consejero)</c:v>
                </c:pt>
                <c:pt idx="10">
                  <c:v>Martin Hoffmann (ex CEO y CFO)</c:v>
                </c:pt>
                <c:pt idx="11">
                  <c:v>AllianceBernstein</c:v>
                </c:pt>
                <c:pt idx="12">
                  <c:v>Autocartera</c:v>
                </c:pt>
              </c:strCache>
            </c:strRef>
          </c:cat>
          <c:val>
            <c:numRef>
              <c:f>Hoja1!$B$2:$B$14</c:f>
              <c:numCache>
                <c:formatCode>0.0"%"</c:formatCode>
                <c:ptCount val="13"/>
                <c:pt idx="0">
                  <c:v>5</c:v>
                </c:pt>
                <c:pt idx="1">
                  <c:v>3.9</c:v>
                </c:pt>
                <c:pt idx="2">
                  <c:v>3.9</c:v>
                </c:pt>
                <c:pt idx="3">
                  <c:v>12.9</c:v>
                </c:pt>
                <c:pt idx="4">
                  <c:v>6</c:v>
                </c:pt>
                <c:pt idx="5">
                  <c:v>5.8</c:v>
                </c:pt>
                <c:pt idx="6">
                  <c:v>5.4</c:v>
                </c:pt>
                <c:pt idx="7">
                  <c:v>5.1</c:v>
                </c:pt>
                <c:pt idx="8">
                  <c:v>4.8</c:v>
                </c:pt>
                <c:pt idx="9">
                  <c:v>3</c:v>
                </c:pt>
                <c:pt idx="10">
                  <c:v>1</c:v>
                </c:pt>
                <c:pt idx="11">
                  <c:v>3.3</c:v>
                </c:pt>
                <c:pt idx="12">
                  <c:v>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 (desde 15-sep)</c:v>
                </c:pt>
                <c:pt idx="1">
                  <c:v>2022</c:v>
                </c:pt>
                <c:pt idx="2">
                  <c:v>2023</c:v>
                </c:pt>
                <c:pt idx="3">
                  <c:v>2024</c:v>
                </c:pt>
                <c:pt idx="4">
                  <c:v>2025</c:v>
                </c:pt>
              </c:strCache>
            </c:strRef>
          </c:cat>
          <c:val>
            <c:numRef>
              <c:f>Hoja1!$B$2:$B$6</c:f>
              <c:numCache>
                <c:formatCode>0"%"</c:formatCode>
                <c:ptCount val="5"/>
                <c:pt idx="0">
                  <c:v>8</c:v>
                </c:pt>
                <c:pt idx="1">
                  <c:v>-54.6</c:v>
                </c:pt>
                <c:pt idx="2">
                  <c:v>57.2</c:v>
                </c:pt>
                <c:pt idx="3">
                  <c:v>103.1</c:v>
                </c:pt>
                <c:pt idx="4">
                  <c:v>-15.1</c:v>
                </c:pt>
              </c:numCache>
            </c:numRef>
          </c:val>
        </c:ser>
        <c:ser>
          <c:idx val="1"/>
          <c:order val="1"/>
          <c:tx>
            <c:strRef>
              <c:f>Hoja1!$C$1</c:f>
              <c:strCache>
                <c:ptCount val="1"/>
                <c:pt idx="0">
                  <c:v>Índice</c:v>
                </c:pt>
              </c:strCache>
            </c:strRef>
          </c:tx>
          <c:spPr>
            <a:solidFill>
              <a:srgbClr val="EB6834"/>
            </a:solidFill>
            <a:ln w="9525">
              <a:noFill/>
            </a:ln>
          </c:spPr>
          <c:invertIfNegative val="0"/>
          <c:cat>
            <c:strRef>
              <c:f>Hoja1!$A$2:$A$6</c:f>
              <c:strCache>
                <c:ptCount val="5"/>
                <c:pt idx="0">
                  <c:v>2021 (desde 15-sep)</c:v>
                </c:pt>
                <c:pt idx="1">
                  <c:v>2022</c:v>
                </c:pt>
                <c:pt idx="2">
                  <c:v>2023</c:v>
                </c:pt>
                <c:pt idx="3">
                  <c:v>2024</c:v>
                </c:pt>
                <c:pt idx="4">
                  <c:v>2025</c:v>
                </c:pt>
              </c:strCache>
            </c:strRef>
          </c:cat>
          <c:val>
            <c:numRef>
              <c:f>Hoja1!$C$2:$C$6</c:f>
              <c:numCache>
                <c:formatCode>0"%"</c:formatCode>
                <c:ptCount val="5"/>
                <c:pt idx="0">
                  <c:v>6.4</c:v>
                </c:pt>
                <c:pt idx="1">
                  <c:v>-19.4</c:v>
                </c:pt>
                <c:pt idx="2">
                  <c:v>24.2</c:v>
                </c:pt>
                <c:pt idx="3">
                  <c:v>23.3</c:v>
                </c:pt>
                <c:pt idx="4">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0.0"x"</c:formatCode>
                <c:ptCount val="4"/>
                <c:pt idx="0">
                  <c:v>36.9</c:v>
                </c:pt>
                <c:pt idx="1">
                  <c:v>28.7</c:v>
                </c:pt>
                <c:pt idx="2">
                  <c:v>49.7</c:v>
                </c:pt>
                <c:pt idx="3">
                  <c:v>23.4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0.0"x"</c:formatCode>
                <c:ptCount val="4"/>
                <c:pt idx="0">
                  <c:v>32.8</c:v>
                </c:pt>
                <c:pt idx="1">
                  <c:v>32.8</c:v>
                </c:pt>
                <c:pt idx="2">
                  <c:v>32.8</c:v>
                </c:pt>
                <c:pt idx="3">
                  <c:v>32.8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On</c:v>
                </c:pt>
                <c:pt idx="1">
                  <c:v>Deckers (HOKA, UGG)</c:v>
                </c:pt>
                <c:pt idx="2">
                  <c:v>Nike</c:v>
                </c:pt>
                <c:pt idx="3">
                  <c:v>adidas</c:v>
                </c:pt>
                <c:pt idx="4">
                  <c:v>Asics</c:v>
                </c:pt>
                <c:pt idx="5">
                  <c:v>Lululemon</c:v>
                </c:pt>
                <c:pt idx="6">
                  <c:v>Amer Sports (Salomon, Arc'teryx)</c:v>
                </c:pt>
                <c:pt idx="7">
                  <c:v>Birkenstock</c:v>
                </c:pt>
              </c:strCache>
            </c:strRef>
          </c:cat>
          <c:val>
            <c:numRef>
              <c:f>Hoja1!$B$2:$B$9</c:f>
              <c:numCache>
                <c:formatCode>0.0"x"</c:formatCode>
                <c:ptCount val="8"/>
                <c:pt idx="0">
                  <c:v>11.2</c:v>
                </c:pt>
                <c:pt idx="1">
                  <c:v>7.1</c:v>
                </c:pt>
                <c:pt idx="2">
                  <c:v>15.6</c:v>
                </c:pt>
                <c:pt idx="3">
                  <c:v>7.4</c:v>
                </c:pt>
                <c:pt idx="4">
                  <c:v>11.8</c:v>
                </c:pt>
                <c:pt idx="5">
                  <c:v>5.8</c:v>
                </c:pt>
                <c:pt idx="6">
                  <c:v>9.1</c:v>
                </c:pt>
                <c:pt idx="7">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19.2</c:v>
                </c:pt>
              </c:numCache>
            </c:numRef>
          </c:xVal>
          <c:yVal>
            <c:numRef>
              <c:f>Hoja1!$C$2</c:f>
              <c:numCache>
                <c:formatCode>0.0"x"</c:formatCode>
                <c:ptCount val="1"/>
                <c:pt idx="0">
                  <c:v>11.2</c:v>
                </c:pt>
              </c:numCache>
            </c:numRef>
          </c:yVal>
          <c:smooth val="0"/>
        </c:ser>
        <c:ser>
          <c:idx val="1"/>
          <c:order val="1"/>
          <c:tx>
            <c:strRef>
              <c:f>Hoja1!$A$3</c:f>
              <c:strCache>
                <c:ptCount val="1"/>
                <c:pt idx="0">
                  <c:v>Deckers (HOKA, UGG)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7.4</c:v>
                </c:pt>
              </c:numCache>
            </c:numRef>
          </c:xVal>
          <c:yVal>
            <c:numRef>
              <c:f>Hoja1!$C$3</c:f>
              <c:numCache>
                <c:formatCode>0.0"x"</c:formatCode>
                <c:ptCount val="1"/>
                <c:pt idx="0">
                  <c:v>7.1</c:v>
                </c:pt>
              </c:numCache>
            </c:numRef>
          </c:yVal>
          <c:smooth val="0"/>
        </c:ser>
        <c:ser>
          <c:idx val="2"/>
          <c:order val="2"/>
          <c:tx>
            <c:strRef>
              <c:f>Hoja1!$A$4</c:f>
              <c:strCache>
                <c:ptCount val="1"/>
                <c:pt idx="0">
                  <c:v>Nike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-4.3</c:v>
                </c:pt>
              </c:numCache>
            </c:numRef>
          </c:xVal>
          <c:yVal>
            <c:numRef>
              <c:f>Hoja1!$C$4</c:f>
              <c:numCache>
                <c:formatCode>0.0"x"</c:formatCode>
                <c:ptCount val="1"/>
                <c:pt idx="0">
                  <c:v>15.6</c:v>
                </c:pt>
              </c:numCache>
            </c:numRef>
          </c:yVal>
          <c:smooth val="0"/>
        </c:ser>
        <c:ser>
          <c:idx val="3"/>
          <c:order val="3"/>
          <c:tx>
            <c:strRef>
              <c:f>Hoja1!$A$5</c:f>
              <c:strCache>
                <c:ptCount val="1"/>
                <c:pt idx="0">
                  <c:v>adidas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7.7</c:v>
                </c:pt>
              </c:numCache>
            </c:numRef>
          </c:xVal>
          <c:yVal>
            <c:numRef>
              <c:f>Hoja1!$C$5</c:f>
              <c:numCache>
                <c:formatCode>0.0"x"</c:formatCode>
                <c:ptCount val="1"/>
                <c:pt idx="0">
                  <c:v>7.4</c:v>
                </c:pt>
              </c:numCache>
            </c:numRef>
          </c:yVal>
          <c:smooth val="0"/>
        </c:ser>
        <c:ser>
          <c:idx val="4"/>
          <c:order val="4"/>
          <c:tx>
            <c:strRef>
              <c:f>Hoja1!$A$6</c:f>
              <c:strCache>
                <c:ptCount val="1"/>
                <c:pt idx="0">
                  <c:v>Asics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16.8</c:v>
                </c:pt>
              </c:numCache>
            </c:numRef>
          </c:xVal>
          <c:yVal>
            <c:numRef>
              <c:f>Hoja1!$C$6</c:f>
              <c:numCache>
                <c:formatCode>0.0"x"</c:formatCode>
                <c:ptCount val="1"/>
                <c:pt idx="0">
                  <c:v>11.8</c:v>
                </c:pt>
              </c:numCache>
            </c:numRef>
          </c:yVal>
          <c:smooth val="0"/>
        </c:ser>
        <c:ser>
          <c:idx val="5"/>
          <c:order val="5"/>
          <c:tx>
            <c:strRef>
              <c:f>Hoja1!$A$7</c:f>
              <c:strCache>
                <c:ptCount val="1"/>
                <c:pt idx="0">
                  <c:v>Lululemon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-3.2</c:v>
                </c:pt>
              </c:numCache>
            </c:numRef>
          </c:xVal>
          <c:yVal>
            <c:numRef>
              <c:f>Hoja1!$C$7</c:f>
              <c:numCache>
                <c:formatCode>0.0"x"</c:formatCode>
                <c:ptCount val="1"/>
                <c:pt idx="0">
                  <c:v>5.8</c:v>
                </c:pt>
              </c:numCache>
            </c:numRef>
          </c:yVal>
          <c:smooth val="0"/>
        </c:ser>
        <c:ser>
          <c:idx val="6"/>
          <c:order val="6"/>
          <c:tx>
            <c:strRef>
              <c:f>Hoja1!$A$8</c:f>
              <c:strCache>
                <c:ptCount val="1"/>
                <c:pt idx="0">
                  <c:v>Amer Sports (Salomon, Arc'teryx)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18.4</c:v>
                </c:pt>
              </c:numCache>
            </c:numRef>
          </c:xVal>
          <c:yVal>
            <c:numRef>
              <c:f>Hoja1!$C$8</c:f>
              <c:numCache>
                <c:formatCode>0.0"x"</c:formatCode>
                <c:ptCount val="1"/>
                <c:pt idx="0">
                  <c:v>9.1</c:v>
                </c:pt>
              </c:numCache>
            </c:numRef>
          </c:yVal>
          <c:smooth val="0"/>
        </c:ser>
        <c:ser>
          <c:idx val="7"/>
          <c:order val="7"/>
          <c:tx>
            <c:strRef>
              <c:f>Hoja1!$A$9</c:f>
              <c:strCache>
                <c:ptCount val="1"/>
                <c:pt idx="0">
                  <c:v>Birkenstock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13.1</c:v>
                </c:pt>
              </c:numCache>
            </c:numRef>
          </c:xVal>
          <c:yVal>
            <c:numRef>
              <c:f>Hoja1!$C$9</c:f>
              <c:numCache>
                <c:formatCode>0.0"x"</c:formatCode>
                <c:ptCount val="1"/>
                <c:pt idx="0">
                  <c:v>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307</c:v>
                </c:pt>
                <c:pt idx="1">
                  <c:v>353</c:v>
                </c:pt>
                <c:pt idx="2">
                  <c:v>446</c:v>
                </c:pt>
                <c:pt idx="3">
                  <c:v>550</c:v>
                </c:pt>
                <c:pt idx="4">
                  <c:v>642</c:v>
                </c:pt>
                <c:pt idx="5">
                  <c:v>741</c:v>
                </c:pt>
                <c:pt idx="6">
                  <c:v>833</c:v>
                </c:pt>
                <c:pt idx="7">
                  <c:v>902</c:v>
                </c:pt>
                <c:pt idx="8">
                  <c:v>982</c:v>
                </c:pt>
                <c:pt idx="9">
                  <c:v>1038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3998</c:v>
                </c:pt>
                <c:pt idx="1">
                  <c:v>5475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26,48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18.18</c:v>
                </c:pt>
                <c:pt idx="1">
                  <c:v>30.07</c:v>
                </c:pt>
                <c:pt idx="2">
                  <c:v>39.72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26,48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(21,89 – 42,42)</c:v>
                </c:pt>
                <c:pt idx="1">
                  <c:v>Precio objetivo de los analistas (16,58 – 59,37)</c:v>
                </c:pt>
                <c:pt idx="2">
                  <c:v>Comparables: EV/EBITDA NTM (17,87 – 24,93)</c:v>
                </c:pt>
                <c:pt idx="3">
                  <c:v>Comparables: PER NTM (16,29 – 28,15)</c:v>
                </c:pt>
                <c:pt idx="4">
                  <c:v>DCF (WACC y g ± 0,5) (27,34 – 33,56)</c:v>
                </c:pt>
                <c:pt idx="5">
                  <c:v>Escenarios (bajista – alcista) (18,18 – 39,72)</c:v>
                </c:pt>
                <c:pt idx="6">
                  <c:v>Precio actual (26,48)</c:v>
                </c:pt>
              </c:strCache>
            </c:strRef>
          </c:cat>
          <c:val>
            <c:numRef>
              <c:f>Hoja1!$B$2:$B$8</c:f>
              <c:numCache>
                <c:formatCode>#,##0.00</c:formatCode>
                <c:ptCount val="7"/>
                <c:pt idx="0">
                  <c:v>21.89</c:v>
                </c:pt>
                <c:pt idx="1">
                  <c:v>16.58</c:v>
                </c:pt>
                <c:pt idx="2">
                  <c:v>17.87</c:v>
                </c:pt>
                <c:pt idx="3">
                  <c:v>16.29</c:v>
                </c:pt>
                <c:pt idx="4">
                  <c:v>27.34</c:v>
                </c:pt>
                <c:pt idx="5">
                  <c:v>18.18</c:v>
                </c:pt>
                <c:pt idx="6">
                  <c:v>26.35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(21,89 – 42,42)</c:v>
                </c:pt>
                <c:pt idx="1">
                  <c:v>Precio objetivo de los analistas (16,58 – 59,37)</c:v>
                </c:pt>
                <c:pt idx="2">
                  <c:v>Comparables: EV/EBITDA NTM (17,87 – 24,93)</c:v>
                </c:pt>
                <c:pt idx="3">
                  <c:v>Comparables: PER NTM (16,29 – 28,15)</c:v>
                </c:pt>
                <c:pt idx="4">
                  <c:v>DCF (WACC y g ± 0,5) (27,34 – 33,56)</c:v>
                </c:pt>
                <c:pt idx="5">
                  <c:v>Escenarios (bajista – alcista) (18,18 – 39,72)</c:v>
                </c:pt>
                <c:pt idx="6">
                  <c:v>Precio actual (26,48)</c:v>
                </c:pt>
              </c:strCache>
            </c:strRef>
          </c:cat>
          <c:val>
            <c:numRef>
              <c:f>Hoja1!$C$2:$C$8</c:f>
              <c:numCache>
                <c:formatCode>#,##0.00</c:formatCode>
                <c:ptCount val="7"/>
                <c:pt idx="0">
                  <c:v>20.53</c:v>
                </c:pt>
                <c:pt idx="1">
                  <c:v>42.79</c:v>
                </c:pt>
                <c:pt idx="2">
                  <c:v>7.059999999999999</c:v>
                </c:pt>
                <c:pt idx="3">
                  <c:v>11.86</c:v>
                </c:pt>
                <c:pt idx="4">
                  <c:v>6.220000000000002</c:v>
                </c:pt>
                <c:pt idx="5">
                  <c:v>21.54</c:v>
                </c:pt>
                <c:pt idx="6">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2026-10-06T20:16:24.250Z</dcterms:created>
  <dcterms:modified xsi:type="dcterms:W3CDTF">2026-10-06T20:16:24.252Z</dcterms:modified>
</cp:coreProperties>
</file>

<file path=docProps/custom.xml><?xml version="1.0" encoding="utf-8"?>
<Properties xmlns="http://schemas.openxmlformats.org/officeDocument/2006/custom-properties" xmlns:vt="http://schemas.openxmlformats.org/officeDocument/2006/docPropsVTypes"/>
</file>