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Fluidra, S.A.</w:t>
      </w:r>
    </w:p>
    <w:p>
      <w:pPr>
        <w:spacing w:after="60"/>
        <w:rPr>
          <w:color w:val="52514E"/>
          <w:sz w:val="22"/>
          <w:szCs w:val="22"/>
        </w:rPr>
      </w:pPr>
      <w:r>
        <w:rPr>
          <w:color w:val="52514E"/>
          <w:sz w:val="22"/>
          <w:szCs w:val="22"/>
        </w:rPr>
        <w:t xml:space="preserve">FDR · Bolsas de Madrid, Barcelona, Bilbao y Valencia (Mercado Continuo) · ISIN ES0137650018 · Industria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17,00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22,22 EUR · mercado 26,89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+34,5 % · mercado +62,0 %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3.193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Fluidra,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FDR / ES0137650018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de Madrid, Barcelona, Bilbao y Valencia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(GICS) / Equipos de piscina y wellness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Sant Cugat del Vallès (Barcelona) · 1969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www.fluidra.com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16,91 – 26,22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3.193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4.321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6,2 M EUR/día (336.000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22,22 EUR</w:t>
      </w:r>
      <w:r>
        <w:t xml:space="preserve"> frente a 17,00 · con la prima implícita del mercado: 26,89 (+58,2 %) · Rentabilidad total esperada a 12 meses </w:t>
      </w:r>
      <w:r>
        <w:rPr>
          <w:b/>
          <w:bCs/>
        </w:rPr>
        <w:t xml:space="preserve">+34,5 %</w:t>
      </w:r>
      <w:r>
        <w:t xml:space="preserve"> · Alcista / bajista +68,5 % / -15,5 %</w:t>
      </w:r>
    </w:p>
    <w:p>
      <w:pPr>
        <w:spacing w:after="100"/>
      </w:pPr>
      <w:r>
        <w:rPr>
          <w:b/>
        </w:rPr>
        <w:t xml:space="preserve">La recomendación y por qué.</w:t>
      </w:r>
      <w:r>
        <w:t xml:space="preserve"> Comprar, con convicción media. El valor objetivo es de 22,22 EUR frente a un precio de 17,00 EUR (cierre del 8 de octubre): un potencial del 30,7 % y una rentabilidad total esperada del 34,5 % con el dividendo. El alcista gana un 68,5 % y el bajista pierde un 15,5 % (asimetría de 4,42 veces). La razón: el precio descuenta un valle permanente del ciclo de la piscina, cuando nuestras cifras coinciden con las del consenso.</w:t>
      </w:r>
    </w:p>
    <w:p>
      <w:pPr>
        <w:spacing w:after="100"/>
      </w:pPr>
      <w:r>
        <w:rPr>
          <w:b/>
        </w:rPr>
        <w:t xml:space="preserve">El negocio.</w:t>
      </w:r>
      <w:r>
        <w:t xml:space="preserve"> Fluidra es el primer fabricante mundial de equipos de piscina, con el 13 % de un mercado de 17.400 M EUR [1]. El 65 % de las ventas es reposición y mantenimiento de una base instalada que crece cada año [1], y un solo distribuidor de EE. UU. compra el 21 % [1]. El margen EBITDA ajustado (22,9 % en 2025 [1]) queda por debajo del de Hayward y el ROIC del 8,3 % apenas iguala el WACC del 8,17 %, lastrado por el fondo de comercio de Zodiac: crecer añade poco valor. La calidad sí sostiene el crecimiento que proyectamos: un 4,1 % anual, por debajo del mercado (4-6 %), con subidas de precio del 2 % frente al 3 % del 1S26 y la cuota bajando del 12,6 % al 11,7 % en 2033e [3, 31, 32].</w:t>
      </w:r>
    </w:p>
    <w:p>
      <w:pPr>
        <w:spacing w:after="100"/>
      </w:pPr>
      <w:r>
        <w:rPr>
          <w:b/>
        </w:rPr>
        <w:t xml:space="preserve">Sector y ciclo.</w:t>
      </w:r>
      <w:r>
        <w:t xml:space="preserve"> La obra nueva está en mínimos: 169.000 piscinas en los cinco primeros países en 2025, un 21 % por debajo de su media [3]. En EE. UU. se construyeron menos de 60.000, frente a 117.000-120.000 en 2021 [12, 16]. La tesis solo necesita que deje de caer.</w:t>
      </w:r>
    </w:p>
    <w:p>
      <w:pPr>
        <w:spacing w:after="100"/>
      </w:pPr>
      <w:r>
        <w:rPr>
          <w:b/>
        </w:rPr>
        <w:t xml:space="preserve">Finanzas.</w:t>
      </w:r>
      <w:r>
        <w:t xml:space="preserve"> Las ventas de 2025 (2.184 M) siguen por debajo de las de 2022, pero el margen reportado subió al 21,6 %, el mejor desde 2021. La conversión en caja es alta: rendimiento del flujo libre del 8,3 %. La deuda neta ajustada es de 2,6 veces el EBITDA, con Moody's en Ba2 y perspectiva positiva [11]. Lo que resta: la reestructuración se repite cada año (50-55 M previstos en 2026 [7]), y por eso el DCF proyecta el EBITDA reportado y no el ajustado.</w:t>
      </w:r>
    </w:p>
    <w:p>
      <w:pPr>
        <w:spacing w:after="100"/>
      </w:pPr>
      <w:r>
        <w:rPr>
          <w:b/>
        </w:rPr>
        <w:t xml:space="preserve">Equipo y gobierno.</w:t>
      </w:r>
      <w:r>
        <w:t xml:space="preserve"> Las familias fundadoras y Rhône controlan de hecho la junta con el 40 % [33]. Preside un miembro de una de ellas, con funciones ejecutivas, y solo el 73 % apoyó la política de remuneración de 2025 [34]. Cumple 10 de 13 criterios de gobierno.</w:t>
      </w:r>
    </w:p>
    <w:p>
      <w:pPr>
        <w:spacing w:after="100"/>
      </w:pPr>
      <w:r>
        <w:rPr>
          <w:b/>
        </w:rPr>
        <w:t xml:space="preserve">Valoración.</w:t>
      </w:r>
      <w:r>
        <w:t xml:space="preserve"> El DCF da 23,80 EUR y los comparables 19,33 EUR: Fluidra cotiza a 8,4 veces el EBITDA de los próximos 12 meses, frente a una mediana de 9,6, y un 23 % por debajo de su media histórica. El DCF inverso es la clave: el precio supone que las ventas caen un 2,0 % al año hasta 2033 o que el margen se queda en el 19,6 %, cerca del valle de 2023. Con nuestras cifras, la acción rinde un 9,9 % anual, frente al 8,2 % de nuestro WACC y al 7,1 % que pide el mercado. Las dos reglas dan Comprar; con la prima implícita del mercado (4,20 % [41]) el valor objetivo sube a 26,89 EUR. Nuestras cifras son las del consenso: discrepamos en el riesgo que se paga, no en la previsión, y eso limita la convicción: la dejamos en media aunque los criterios del motor sugieran alta, porque el precio puede seguir descontando el valle mientras la obra nueva no repunte. La subiríamos si la obra nueva de EE. UU. vuelve a crecer.</w:t>
      </w:r>
    </w:p>
    <w:p>
      <w:pPr>
        <w:spacing w:after="100"/>
      </w:pPr>
      <w:r>
        <w:rPr>
          <w:b/>
        </w:rPr>
        <w:t xml:space="preserve">Riesgos y catalizadores.</w:t>
      </w:r>
      <w:r>
        <w:t xml:space="preserve"> Primero, que la obra nueva en EE. UU. no se recupere y el canal vuelva a desestocar: es el escenario bajista, de 14,37 EUR. Segundo, los robots chinos baratos (un 6 % de las ventas [6]): cada punto de margen vale un 7 % del valor. Tercero, los aranceles de EE. UU., que ya obligaron a recortar la guía en julio de 2025 [27]. Catalizadores: los resultados de nueve meses del 29 de octubre [73], la guía de 2027 en febrero y la fase II de Aiper.</w:t>
      </w:r>
    </w:p>
    <w:p>
      <w:pPr>
        <w:spacing w:after="100"/>
      </w:pPr>
      <w:r>
        <w:rPr>
          <w:b/>
        </w:rPr>
        <w:t xml:space="preserve">Qué cambiaría la decisión.</w:t>
      </w:r>
      <w:r>
        <w:t xml:space="preserve"> Compraríamos por debajo de 21,78 EUR, mantendríamos entre 21,78 y 30,42, y venderíamos por encima. Pasaríamos a Mantener si el volumen de Norteamérica cae dos trimestres seguidos, si la empresa recorta la guía de margen de 2026 o si la reestructuración de 2027 supera los 40 M.</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22,22 EUR</w:t>
      </w:r>
      <w:r>
        <w:t xml:space="preserve"> (+30,7 % sobre 17,00; rentabilidad total esperada +34,5 %) · con la prima implícita del mercado: 26,89 (+58,2 %)</w:t>
      </w:r>
    </w:p>
    <w:p>
      <w:pPr>
        <w:spacing w:after="100"/>
      </w:pPr>
      <w:r>
        <w:t xml:space="preserve">Fluidra es el líder mundial en equipos de piscina, con el 13 % de un mercado de 17.400 M EUR y marcas como Zodiac, Jandy, Polaris y AstralPool [1]. Dos tercios de sus ventas son reposición de equipos en una base instalada de unos 20 millones de piscinas enterradas residenciales, lo que da un suelo de demanda que no tenía en 2021 [1]. Genera caja con regularidad: el flujo libre acumulado de 2021-2025 fue de 997 M, el 119 % del beneficio, y hoy rinde un 8,3 % sobre la capitalización.</w:t>
      </w:r>
    </w:p>
    <w:p>
      <w:pPr>
        <w:spacing w:after="100"/>
      </w:pPr>
      <w:r>
        <w:t xml:space="preserve">El precio de 17,00 EUR es el mínimo de 52 semanas, un 28,5 % menos que hace un año [38]. A 8,4 veces el EBITDA de los próximos 12 meses y 14,0 veces el beneficio, el mercado descuenta que las ventas caigan un 2,0 % al año hasta 2033 o que el margen se quede en el 19,6 %, cerca del valle del desestocaje de 2023. El consenso de 15 analistas, con 12 recomendaciones de compra, espera lo contrario: un EBITDA ajustado de 532 M en 2026 y de 625 M en 2028 [42, 43].</w:t>
      </w:r>
    </w:p>
    <w:p>
      <w:pPr>
        <w:spacing w:after="100"/>
      </w:pPr>
      <w:r>
        <w:t xml:space="preserve">Creemos que el mercado extrapola el valle. La obra nueva está un 21 % por debajo de su media [3], el plan de eficiencia de 120 M avanza [2] y la guía de 2026 se ha mantenido. Para invertir hay que creer tres cosas: que el canal no vuelva a desestocar, que los robots chinos no se coman más de un punto de margen y que la reestructuración deje de repetirse a partir de 2027.</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 / -15,5 %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8,2 %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(4,1 %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34,5 %, asimetría de 4,42, bajista del -15,5 % y el precio descuenta 6,2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21,78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21,78 y 30,42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30,42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volumen de Norteamérica cae dos trimestres seguidos, pasaríamos a Mantener.</w:t>
      </w:r>
    </w:p>
    <w:p>
      <w:pPr>
        <w:pStyle w:val="ListParagraph"/>
        <w:numPr>
          <w:ilvl w:val="0"/>
          <w:numId w:val="2"/>
        </w:numPr>
        <w:spacing w:after="60"/>
      </w:pPr>
      <w:r>
        <w:t xml:space="preserve">Si la empresa recorta la guía de margen ajustado de 2026 por debajo del 23,3 %, pasaríamos a Mantener.</w:t>
      </w:r>
    </w:p>
    <w:p>
      <w:pPr>
        <w:pStyle w:val="ListParagraph"/>
        <w:numPr>
          <w:ilvl w:val="0"/>
          <w:numId w:val="2"/>
        </w:numPr>
        <w:spacing w:after="60"/>
      </w:pPr>
      <w:r>
        <w:t xml:space="preserve">Si los costes de reestructuración de 2027 superan los 40 M, rebajaríamos el margen del DCF un punto (−7 % de valor).</w:t>
      </w:r>
    </w:p>
    <w:p>
      <w:pPr>
        <w:pStyle w:val="ListParagraph"/>
        <w:numPr>
          <w:ilvl w:val="0"/>
          <w:numId w:val="2"/>
        </w:numPr>
        <w:spacing w:after="60"/>
      </w:pPr>
      <w:r>
        <w:t xml:space="preserve">Si el precio supera los 21,78 EUR sin cambios en las cifras, pasaríamos a Mantener; por encima de 30,42 EUR,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valle permanente: ventas a la baja o un margen EBITDA del 19,6 % para siempre, es decir, que la obra nueva en EE. UU. no vuelve, que los robots chinos y los aranceles erosionan los márgenes y que la reestructuración es un coste fijo más. La acción cotiza 9,4 veces el EBITDA de los últimos 12 meses, frente a una media de 12,2 en los cinco últimos cierres, y en su mínimo de 52 semanas.</w:t>
      </w:r>
    </w:p>
    <w:p>
      <w:pPr>
        <w:keepNext/>
        <w:spacing w:after="100"/>
      </w:pPr>
      <w:r>
        <w:rPr>
          <w:b/>
          <w:bCs/>
        </w:rPr>
        <w:t xml:space="preserve">Lo que creemos nosotros.</w:t>
      </w:r>
    </w:p>
    <w:p>
      <w:pPr>
        <w:spacing w:after="100"/>
      </w:pPr>
      <w:r>
        <w:t xml:space="preserve">Un ciclo que deja de empeorar. Las ventas crecen un 4,5-5 % al año desde 2027, por debajo del objetivo de la empresa (+6-8 %), y el margen reportado sube al 23,5 % en 2030, por debajo del objetivo ajustado de más del 25 %. Nuestra previsión coincide con el consenso: no pedimos un auge como el de 2021, solo que el negocio de reposición siga creciendo.</w:t>
      </w:r>
    </w:p>
    <w:p>
      <w:pPr>
        <w:keepNext/>
        <w:spacing w:after="100"/>
      </w:pPr>
      <w:r>
        <w:rPr>
          <w:b/>
          <w:bCs/>
        </w:rPr>
        <w:t xml:space="preserve">Por qué podemos tener razón.</w:t>
      </w:r>
    </w:p>
    <w:p>
      <w:pPr>
        <w:spacing w:after="100"/>
      </w:pPr>
      <w:r>
        <w:t xml:space="preserve">El 65 % de las ventas es reposición, que creció incluso en 2025 con la obra nueva en mínimos [1]. El segundo trimestre de 2026 creció un 4,7 % con un margen ajustado del 28,4 % [3]. Y la caída de 2023 vino de un desestocaje del canal que ya se ha hecho: las existencias de la propia Fluidra bajaron de 599 M en 2022 a 437 M en 2025 [1].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valle</w:t>
      </w:r>
      <w:r>
        <w:t xml:space="preserve">: el DCF inverso exige ventas a la baja (−2,0 % al año) o un margen del 19,6 %, cerca del mínimo de 2023.</w:t>
      </w:r>
    </w:p>
    <w:p>
      <w:pPr>
        <w:pStyle w:val="ListParagraph"/>
        <w:numPr>
          <w:ilvl w:val="0"/>
          <w:numId w:val="2"/>
        </w:numPr>
        <w:spacing w:after="60"/>
      </w:pPr>
      <w:r>
        <w:rPr>
          <w:b/>
        </w:rPr>
        <w:t xml:space="preserve">Reposición recurrente</w:t>
      </w:r>
      <w:r>
        <w:t xml:space="preserve">: el 65 % de las ventas no depende de la obra nueva [1].</w:t>
      </w:r>
    </w:p>
    <w:p>
      <w:pPr>
        <w:pStyle w:val="ListParagraph"/>
        <w:numPr>
          <w:ilvl w:val="0"/>
          <w:numId w:val="2"/>
        </w:numPr>
        <w:spacing w:after="60"/>
      </w:pPr>
      <w:r>
        <w:rPr>
          <w:b/>
        </w:rPr>
        <w:t xml:space="preserve">Caja abundante</w:t>
      </w:r>
      <w:r>
        <w:t xml:space="preserve">: rendimiento del flujo libre del 8,3 % y dividendo del 3,8 %.</w:t>
      </w:r>
    </w:p>
    <w:p>
      <w:pPr>
        <w:pStyle w:val="ListParagraph"/>
        <w:numPr>
          <w:ilvl w:val="0"/>
          <w:numId w:val="2"/>
        </w:numPr>
        <w:spacing w:after="60"/>
      </w:pPr>
      <w:r>
        <w:rPr>
          <w:b/>
        </w:rPr>
        <w:t xml:space="preserve">Barata frente a su historia y sus rivales</w:t>
      </w:r>
      <w:r>
        <w:t xml:space="preserve">: 8,4 veces el EBITDA de los próximos 12 meses, frente a una mediana de 9,6 de los comparables y una media histórica de 12,2 veces el de los últimos 12.</w:t>
      </w:r>
    </w:p>
    <w:p>
      <w:pPr>
        <w:pStyle w:val="ListParagraph"/>
        <w:numPr>
          <w:ilvl w:val="0"/>
          <w:numId w:val="2"/>
        </w:numPr>
        <w:spacing w:after="60"/>
      </w:pPr>
      <w:r>
        <w:rPr>
          <w:b/>
        </w:rPr>
        <w:t xml:space="preserve">Palanca de eficiencia</w:t>
      </w:r>
      <w:r>
        <w:t xml:space="preserve">: plan de 120 M de ahorro en cinco años, con 15 M ya en el primer semestre de 2026 [2].</w:t>
      </w:r>
    </w:p>
    <w:p>
      <w:pPr>
        <w:pStyle w:val="Heading2"/>
      </w:pPr>
      <w:r>
        <w:t xml:space="preserve">En contra</w:t>
      </w:r>
    </w:p>
    <w:p>
      <w:pPr>
        <w:pStyle w:val="ListParagraph"/>
        <w:numPr>
          <w:ilvl w:val="0"/>
          <w:numId w:val="2"/>
        </w:numPr>
        <w:spacing w:after="60"/>
      </w:pPr>
      <w:r>
        <w:rPr>
          <w:b/>
        </w:rPr>
        <w:t xml:space="preserve">ROIC del 8,3 %</w:t>
      </w:r>
      <w:r>
        <w:t xml:space="preserve">, casi igual al WACC del 8,17 %: el fondo de comercio de Zodiac pesa y crecer apenas crea valor.</w:t>
      </w:r>
    </w:p>
    <w:p>
      <w:pPr>
        <w:pStyle w:val="ListParagraph"/>
        <w:numPr>
          <w:ilvl w:val="0"/>
          <w:numId w:val="2"/>
        </w:numPr>
        <w:spacing w:after="60"/>
      </w:pPr>
      <w:r>
        <w:rPr>
          <w:b/>
        </w:rPr>
        <w:t xml:space="preserve">Reestructuración recurrente</w:t>
      </w:r>
      <w:r>
        <w:t xml:space="preserve">: 56 M en 2024, 29 M en 2025 y 50-55 M previstos en 2026 [1, 7].</w:t>
      </w:r>
    </w:p>
    <w:p>
      <w:pPr>
        <w:pStyle w:val="ListParagraph"/>
        <w:numPr>
          <w:ilvl w:val="0"/>
          <w:numId w:val="2"/>
        </w:numPr>
        <w:spacing w:after="60"/>
      </w:pPr>
      <w:r>
        <w:rPr>
          <w:b/>
        </w:rPr>
        <w:t xml:space="preserve">Robots chinos</w:t>
      </w:r>
      <w:r>
        <w:t xml:space="preserve">: presión en precio en un 6 % de las ventas, y Maytronics, el especialista, ya está en pérdidas [6, 22].</w:t>
      </w:r>
    </w:p>
    <w:p>
      <w:pPr>
        <w:pStyle w:val="ListParagraph"/>
        <w:numPr>
          <w:ilvl w:val="0"/>
          <w:numId w:val="2"/>
        </w:numPr>
        <w:spacing w:after="60"/>
      </w:pPr>
      <w:r>
        <w:rPr>
          <w:b/>
        </w:rPr>
        <w:t xml:space="preserve">Concentración</w:t>
      </w:r>
      <w:r>
        <w:t xml:space="preserve">: un distribuidor de EE. UU. compra el 21 % de las ventas [1].</w:t>
      </w:r>
    </w:p>
    <w:p>
      <w:pPr>
        <w:pStyle w:val="ListParagraph"/>
        <w:numPr>
          <w:ilvl w:val="0"/>
          <w:numId w:val="2"/>
        </w:numPr>
        <w:spacing w:after="60"/>
      </w:pPr>
      <w:r>
        <w:rPr>
          <w:b/>
        </w:rPr>
        <w:t xml:space="preserve">Gobierno</w:t>
      </w:r>
      <w:r>
        <w:t xml:space="preserve">: control de hecho de las familias y Rhône (40 %) y solo un 73 % de apoyo a la política de remuneración de 2025 [33, 34].</w:t>
      </w:r>
    </w:p>
    <w:p>
      <w:pPr>
        <w:pStyle w:val="Heading2"/>
      </w:pPr>
      <w:r>
        <w:t xml:space="preserve">Qué tiene que pasar para que la tesis funcione</w:t>
      </w:r>
    </w:p>
    <w:p>
      <w:pPr>
        <w:spacing w:after="100"/>
      </w:pPr>
      <w:r>
        <w:t xml:space="preserve">La tesis depende de que el volumen de Norteamérica siga creciendo (+1 % en el primer semestre de 2026 [7]) mientras la obra nueva toca fondo. Si el canal de EE. UU. vuelve a reducir existencias, como en 2022-2023, el valor cae hacia el escenario bajista (14,37 EUR). La señal sería un volumen negativo en Norteamérica en los resultados del 29 de octubre o del cuarto trimestre, junto con un margen bruto por debajo del 55 %.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las ventas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2026 es del +3 % al +7 %; por debajo del 2 %, el escenario bajista gana peso.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 (1S26); 22,9 %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23,3 %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suelo de la guía; cada punto de margen vale un 7 % del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un nuevo desestocaje del canal, como en 2022-2023.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reestructuración y remuneración en acciones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50-55 M previstos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Más de 40 M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DCF supone que bajan; si no, el margen reportado no converge.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veces (junio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2,8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Limita las recompras y aumenta el riesgo en un bajista.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 / 14,0x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Fluidra nace en 1969, cuando cuatro familias catalanas (Planes, Serra, Corbera y Garrigós) fundan Astral, S.A. de Construcciones Metálicas para fabricar escaleras, skimmers, sumideros y filtros de piscina; el grupo tuvo su sede en Sabadell [24, 25]. Sale a bolsa el 31 de octubre de 2007 [25], con las familias sindicadas en un pacto de voto que se ha renovado ocho veces hasta 2025 [1]. Hasta 2017 era una empresa europea, más expuesta a la construcción nueva y con presencia marginal en EE. UU.: vendía 780 M EUR con un margen EBITDA ajustado del 12,7 % [3]. La fusión con Zodiac, propiedad de Rhône Capital desde 2016, se anunció en noviembre de 2017 y se cerró en julio de 2018: Rhône entró con el 42,4 % y ha ido vendiendo hasta el 11,7 % [1, 24]. Desde entonces es el primer fabricante mundial y el segundo de EE. UU., con ventas de 2.184 M EUR y un margen del 22,9 % en 2025 [1, 3]. Desde 2025 busca crecer en robots (27 % de Aiper) y en software (PoolTrackr)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Cuatro familias catalanas (Planes, Serra, Corbera y Garrigós) fundan Astral, S.A. de Construcciones Metálicas, que fabrica escaleras, skimmers, sumideros y filtros de acero inoxidable [24,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filiales en el extranjero, en Francia e Italia; después llegan el Reino Unido (1984) y Portugal (1988)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grupo Aquaria, que reúne las empresas de piscina; Banco Sabadell compra el 20 % del capital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a bolsa el 31 de octubre en Madrid y Barcelona; en septiembre las familias fundadoras firman el pacto de sindicación de voto, renovado ocho veces hasta 2025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Etapa europea: reestructuración, venta de negocios ajenos a la piscina y ventas de 650 a 780 M EUR (crecimiento anual de c. 2 %), con un margen EBITDA ajustado del 12,7 % en 2017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Zodiac (Jandy, Polaris, Zodiac), anunciada en noviembre de 2017 y cerrada en julio de 2018 con 83 M de acciones nuevas; Rhône Capital pasa a ser el primer accionista con el 42,4 % [1, 24]. Como condición de la Comisión Europea, vende su filial de robots Aquatron a BWT por 26,2 M EUR iniciales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IBEX 35 en marzo y compra en EE. UU. el fabricante de equipamiento comercial SR Smith por 240 M USD, según la prensa sectorial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1.300 a 2.200 M EUR (c. 8 % anual), margen EBITDA ajustado hasta el 22,9 % y ROCE del 11 % al 18 %; pasa a ser el número 2 de EE. UU.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Jaime Ramírez es nombrado consejero delegado en mayo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BAC Pool Systems, PoolTrackr y Powerplastics, toma el 27 % de Aiper (robots sin cable) por 100 M USD con opción a pasar al 51 %, y acuerda la compra de Variopool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familias fundadoras aportan el 20 % del capital a ADBE Partners, S.L.; Rhône Capital se queda en el 11,7 %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la compra de Hydrapro (química de piscina en Francia) y de Riaan Pool Group (unos 10 M EUR de ventas) [2].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Fluidra diseña, fabrica y vende el equipo y los consumibles de la piscina y el spa: bombas, filtros, calefacción y bombas de calor, iluminación, automatización y conectividad, robots limpiafondos, cloradores salinos, química y kits de análisis del agua (Taylor), cubiertas y software de gestión para profesionales (PoolTrackr) [1, 3]. Sus marcas principales son Jandy, Polaris y Zodiac en EE. UU. y AstralPool, Cepex, CTX y Gre en Europa [2]. El 90 % de la demanda que atiende es piscina residencial (30 % construcción nueva y 60 % mantenimiento, reparación y reforma) y el 10 %, piscina comercial [1]. Por regiones, Norteamérica aporta el 43 % de las ventas, EMEA el 49 % y Asia-Pacífico el 8 % [1]. Vende sobre todo a distribuidores profesionales (en EE. UU., Pool Corporation es su primer cliente), a constructores e instaladores, a minoristas y, en algunos países, a través de 90 tiendas propias para profesionales (Fluidra PRO Centers) [1]. Fabrica en 42 centros de producción [1]. Los robots limpiafondos son en torno al 6 % de las ventas [6].</w:t>
      </w:r>
    </w:p>
    <w:p>
      <w:pPr>
        <w:pStyle w:val="Heading2"/>
      </w:pPr>
      <w:r>
        <w:t xml:space="preserve">Cómo gana dinero</w:t>
      </w:r>
    </w:p>
    <w:p>
      <w:pPr>
        <w:spacing w:after="100"/>
      </w:pPr>
      <w:r>
        <w:t xml:space="preserve">El margen bruto fue del 56,6 % en 2025, el EBITDA ajustado de 501 M EUR (22,9 % de las ventas) y el resultado de explotación de 309 M EUR (14,1 %), después de 57 M EUR de amortización de intangibles de compras [1]. La mayor parte de la venta es recurrente: el 60 % de la demanda es mantenimiento y reposición de una base instalada de unos 20 millones de piscinas enterradas residenciales, que crece unos dos millones cada cinco años [1]. El margen depende sobre todo del precio (en Norteamérica subió precios un 5 % en 2025 y el volumen un 2 % [6]), de la mezcla entre equipo y robots y de los aranceles de EE. UU., que la compañía dice cubrir en valor absoluto pero no en porcentaje de margen [6]. La venta es estacional: el primer semestre aportó 1.227 M EUR en 2025, el 56 % del año [3]. La inversión es baja, en torno al 3 %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APAC</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 y servicios compartidos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EE. UU. y baja en el resto. Un solo cliente estadounidense supuso el 21,00 % de las ventas de 2025 (20,51 % en 2024) y el 23,43 % de las cuentas a cobrar; el resto de la cartera está muy diversificada [1]. Por el tamaño, ese cliente es casi con certeza Pool Corporation: sus compras a Zodiac Pool Systems fueron el 12 % de su coste de producto en 2025, unos 446 M USD sobre un coste de unos 3.718 M USD, unos 395 M EUR al cambio medio de 2025 (estimación propia), frente a los 459 M EUR que da el 21 % de Fluidra [1, 12]. La dependencia es menor que la de Hayward, cuyo primer cliente (Pool) es el 33 % de las ventas y el segundo el 12 % [18]. El poder de precios se ve en el margen bruto estable del 56,6 % en 2025 pese a los aranceles y a la inflación [1], y en el peso creciente de Zodiac en las compras de Pool: del 9 % en 2020 al 12 % en 2024 y 2025, por delante ya de Hayward [12, 13, 17]. Los distribuidores estadounidenses la han elegido proveedor del año cinco años seguidos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(tipo y perímetro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c. +6 %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+4,4 %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Sur de Europa +7,7 %, resto de Europa +0,8 %, Norteamérica +3,9 % y resto del mundo +2,5 % en el 1S26; en el 2T26 Norteamérica +2,6 % y resto de Europa −1,0 % [3,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volumen +4 %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volumen +2 %, precio +3 %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precio +2 %, volumen +3 % (Europa +6-7 %, Norteamérica c. +1 %) [3,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 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22,9 %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2026: 23,3-24,3 %, en la parte baja-media según la dirección [1,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circulante operativo / ventas LTM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jun-25: 24,8 %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cierre de 2025, 16 % (359 M)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dic-24: 2,4x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jun-26: 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en torno a 2x a medio plazo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ROCE (EBITA ajustado / capital empleado)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 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18 %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&gt;17 %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por unidad de negocio, 1S26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1S25: 1.227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1.258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Residencial 887 M (+4,3 %), tratamiento de agua residencial 192 M (+10,9 %), comercial 106 M (−2,8 %; −9,7 % en el 2T26 por retrasos de proyectos en Oriente Medio), conducción de fluidos 56 M (+6,9 %), riego e industrial 18 M (−16 %)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productos lanzados en los últimos cinco años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 19 % de las ventas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aftermarket / obra nueva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 65 % / 35 %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Obra nueva residencial en mínimos históricos en los cinco grandes mercados [3,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equipamiento y consumibles para piscinas residenciales y comerciales, a precio de fabricante y en todo el mundo. Usamos la estimación de Fluidra, 17.400 M EUR en 2025: 9.300 M en Norteamérica (53 %), 6.800 M en EMEA (39 %) y 1.300 M en Asia-Pacífico (7 %) [1]. No hay una segunda cifra pública en valor del mismo perímetro; la contrastamos con datos de base instalada: Hayward estima unos 25 millones de piscinas en el mundo, con Norteamérica y Europa en el 67 % de la base y el 85 % de las ventas de equipo [18], y Pool Corporation cuenta 14 millones de piscinas y spas en EE. UU., 5,5 millones de ellas enterradas [12]. Las dos fuentes coinciden en que el mercado es norteamericano y europeo en más de un 85 %. Dos estudios de mercado independientes dan órdenes de magnitud parecidos con perímetros distintos: Spherical Insights estima el equipamiento de piscina en 15.910 M USD en 2025 (unos 13.540 M EUR al cambio de cierre del año [23]) con un crecimiento del 4,71 % anual hasta 2035 [31], y Arizton valora el mercado de la piscina en 17.750 M USD en 2024 con un 4,64 % anual hasta 2030 [32]. La cifra de Fluidra es más alta porque incluye química, consumibles y piscina comercial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17.400 M EUR en 2025 (estimación de Fluidra): Norteamérica 9.300 M, EMEA 6.800 M y Asia-Pacífico 1.300 M [1]. Base instalada: unos 20 millones de piscinas enterradas residenciales según Fluidra [1] y unos 25 millones de piscinas en total según Hayward [18]. El crecimiento de los últimos cinco años lo aproximamos con las ventas de Pool Corporation, el mayor distribuidor del sector y con el 95 % de sus ventas en Norteamérica [12]: de 3.937 M USD en 2020 a 5.289 M USD en 2025, un 6,1 % anual (estimación propia) [20]. La cuota conjunta de los cinco primeros es una estimación propia sobre los 17.400 M EUR: Fluidra 12,6 %, Pentair Pool 7,6 %, Hayward 5,5 % y Maytronics 2,2 %, unos 28 % con cuatro, sin contar Aiper, que no publica cuentas [1, 18, 19, 22, 23]. Los estudios independientes prevén un crecimiento del 4,6-4,7 % anual [31, 32], algo por debajo del 4-6 % que espera Fluidra [3].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2026e-2028e, estimación propia con el crecimiento de mercado del 4-6 % anual que espera Fluidra (punto medio, 5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y mantenimiento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mundial de piscinas enterradas residenciales creció en más de dos millones en cinco años, hasta unos 20 millones [1]. En Pool Corporation, el 64 % de las ventas de 2025 fue mantenimiento y pequeña reparación, el 22 % reforma y mejora y solo el 14 % construcción nueva [12]; Hayward estima que la reposición es el 85 % de sus ventas residenciales en Norteamérica, con un ciclo de reposición del equipo de 8 a 11 años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Construcción de piscinas nuevas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los cinco primeros países (EE. UU., Francia, España, Alemania y Australia) se construyeron 169.000 piscinas residenciales en 2025, frente a 249.000 en 2020 y una media de 214.000 entre 1980 y 2025 [3]. En EE. UU., según las estimaciones de Pool Corporation (que revisa cada año la del anterior), se construyeron unas 80.000 piscinas enterradas en 2019 [17], unas 96.000 en 2020 y 117.000-120.000 en 2021 [15, 16], 98.000 en 2022 [15], 72.000-75.000 en 2023 [13, 14], 61.000-62.000 en 2024 [12, 13] y algo menos de 60.000 en 2025 [12]: la mitad que en 2021. Pool espera para 2026 las mismas unidades que en 2025 [12] y Fluidra una construcción plana [6]. En Francia, el primer mercado europeo con unos 3,7 millones de piscinas familiares (1,7 millones enterradas), la construcción cayó un 15 % en los nueve primeros meses de 2023 [30], se quedó en unas 94.000 piscinas nuevas en 2024 [28] y en unas 90.600 en 2025, y las ventas de piscinas subieron un 12 % en el primer trimestre de 2026 según la FPP [29].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vivienda y crédito al consumo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atribuye la caída de la construcción nueva y de las reformas desde la segunda mitad de 2022 a los tipos más altos, la inflación, el crédito más restrictivo y la menor construcción de viviendas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y mejora del equipo (velocidad variable, automatización, conectividad)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el precio explicó la mayor parte del crecimiento del sector: +5,1 % en el segmento Pool de Pentair (volumen +1,4 %) [19], +5,4 % en Hayward (volumen plano) [18] y +5 % en la Norteamérica de Fluidra (volumen +2 %)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y estacionalidad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 Corporation hizo en el segundo y el tercer trimestre el 61 % de sus ventas y el 78 % de su resultado de explotación de 2025 [12]; Fluidra calcula que el tiempo mueve el crecimiento del mercado en ±1 punto al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aranceles añadieron 1 punto a la inflación de producto de Pool Corporation en 2025 [12]. El Tribunal Supremo anuló el 20 de febrero de 2026 los aranceles basados en la ley IEEPA y el Gobierno anunció otros nuevos sobre las importaciones de todos los países [18]. Para Fluidra fueron en 2025 el principal factor de dilución del margen [6]. En julio de 2025 Fluidra rebajó su previsión del año por los aranceles, subió precios en Norteamérica en abril y la acción cayó un 6,47 % el día de los resultados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equipo de piscina de EE. UU. hay tres grandes fabricantes: Pentair, Zodiac (Fluidra) y Hayward suponen el 20 %, el 12 % y el 11 % de las compras de Pool Corporation [12], y sus márgenes son altos (33,8 % de resultado de segmento en Pentair Pool, 20,8 % de margen de explotación en Hayward [18, 19]). En robots la rivalidad es dura: la entrada de fabricantes chinos baja precios [6] y el margen de explotación de Maytronics pasó del 13,8 % en 2023 al −3,6 % en 2025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Cerca del 80 % del equipo residencial de EE. UU. se vende a través de distribuidores como Pool Corporation, Heritage y Baystate [18]. Un solo cliente estadounidense es el 21 % de las ventas de Fluidra [1] y Pool es el 33 % de las de Hayward [18]. Los programas de compra anticipada (early buy) dan a los distribuidores descuentos y plazos de pago largos [12,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plásticos, metales, motores y electrónica de proveedores diversos; Fluidra mantuvo el margen bruto en el 56,6 % en 2025 pese a la inflación y los aranceles [1]. El riesgo está en los componentes chinos y el acero y aluminio sujetos a aranceles en EE. UU.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bombas, filtros y calefacción la entrada es difícil: la reposición se hace con el mismo fabricante y la fidelidad del instalador pesa [18]. En robots limpiafondos, que se venden directamente al consumidor por internet y en grandes superficies, han entrado fabricantes chinos con éxito: Aiper ya es el primero del mundo por cuota a precio de venta al público según Fluidra [6].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piscina construida necesita filtrar, bombear y tratar el agua cada año, por lo que el mantenimiento no tiene sustituto [12]. El riesgo son las restricciones de agua por sequía, que pueden frenar la construcción y el llenado de piscinas [12].</w:t>
            </w:r>
          </w:p>
        </w:tc>
      </w:tr>
    </w:tbl>
    <w:p>
      <w:pPr>
        <w:spacing w:after="160" w:before="0"/>
      </w:pPr>
    </w:p>
    <w:p>
      <w:pPr>
        <w:pStyle w:val="Heading2"/>
      </w:pPr>
      <w:r>
        <w:t xml:space="preserve">Ciclo</w:t>
      </w:r>
    </w:p>
    <w:p>
      <w:pPr>
        <w:spacing w:after="100"/>
      </w:pPr>
      <w:r>
        <w:t xml:space="preserve">La construcción nueva está en mínimos (169.000 piscinas en los cinco primeros países en 2025, un 21 % por debajo de la media histórica [3]) y se espera plana en 2026, mientras el mantenimiento crece a un dígito bajo [6]; el sector vuelve a crecer en valor (Fluidra +7 % a tipo constante en 2025 y +5 % en el primer semestre de 2026 [1, 2]). En 2008-09 Pool Corporation perdió un 14 % de ventas y un 23 % de resultado de explotación [20]. En 2020-21 la demanda se disparó (Pool vendió un 35 % más en 2021 [20]). En 2022-23 el desestocaje de los distribuidores hundió a los fabricantes: Hayward cayó un 29 % en ventas y un 45 % en resultado de explotación entre 2021 y 2023 [21].</w:t>
      </w:r>
    </w:p>
    <w:p>
      <w:pPr>
        <w:pStyle w:val="Heading2"/>
      </w:pPr>
      <w:r>
        <w:t xml:space="preserve">Regulación</w:t>
      </w:r>
    </w:p>
    <w:p>
      <w:pPr>
        <w:spacing w:after="100"/>
      </w:pPr>
      <w:r>
        <w:t xml:space="preserve">Los aranceles de EE. UU. son la norma que más mueve las cifras: el Tribunal Supremo anuló el 20 de febrero de 2026 los aranceles aprobados al amparo de la ley IEEPA, el Gobierno anunció otros generales y siguen los del acero y el aluminio [18]. En EE. UU. el Departamento de Energía regula el etiquetado, los ensayos y la certificación de eficiencia de las bombas de piscina [18]. Las sequías traen restricciones al llenado y a la construcción de piscinas [12]. En Europa, Fluidra publica desde 2025 su información de sostenibilidad conforme a las normas ESRS y la taxonomía de la UE [1].</w:t>
      </w:r>
    </w:p>
    <w:p>
      <w:pPr>
        <w:pStyle w:val="Heading2"/>
      </w:pPr>
      <w:r>
        <w:t xml:space="preserve">Tendencias y disrupción</w:t>
      </w:r>
    </w:p>
    <w:p>
      <w:pPr>
        <w:spacing w:after="100"/>
      </w:pPr>
      <w:r>
        <w:t xml:space="preserve">Tres cambios pesan. Primero, los robots limpiafondos sin cable vendidos directamente al consumidor: son el 6 % de las ventas de Fluidra y los fabricantes chinos están empujando a los clientes hacia productos más baratos y presionando los márgenes [6]; Maytronics, el especialista israelí, ha pasado a pérdidas [22]. Fluidra responde con el 27 % de Aiper y la opción de pasar al 51 % cuando Aiper supere 370 M USD de ventas con un 15 % de margen EBITDA [1]. Segundo, la conectividad y el software para profesionales (PoolTrackr, en EE. UU. y Australia y en Europa en 2027) [2]. Tercero, la eficiencia energética (bombas de velocidad variable, bombas de calor), que sube el ticket medio de la reposición; Pentair compró en 2024 el fabricante de bombas de calor G&amp;F por 116 M USD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equipamiento de piscina, con el 13 % de un mercado de 17.400 M EUR; 2.º en EE. UU., 1.º en Europa y Asia-Pacífico [1,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 (segmento Pool)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PNR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proveedor de Pool Corporation (20 % de sus compras) [12]. El segmento Pool vendió 1.558,8 M USD en 2025 (+8,5 %, precio +5,1 %) [19]. El margen es el resultado de segmento, antes de amortización de intangibles y de costes de reestructuración, por lo que no es comparable con un EBIT [19].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1.122,2 M USD en 2025 (+6,7 %, todo precio) con un margen de explotación del 20,8 % y un EBITDA ajustado del 26,7 % [18]. Estima tener el 33 % del mercado residencial norteamericano; Pool Corporation es el 33 % de sus ventas y el 79 % se hace en EE. UU. [18].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Corporation (POOLCORP)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Distribuidor, no fabricante: es el primer cliente de Fluidra y a la vez competidor potencial con marca propia, que usa para mejorar su margen bruto (29,7 % en 2025) [12]. Vendió 5.289 M USD en 2025, con 456 almacenes [12, 20].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Maytronics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Israel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Especialista en robots (Dolphin). Las ventas bajaron de 1.890 M ILS en 2023 a 1.406 M ILS en 2025, y las de robots para piscina privada de 1.501 a 966 M ILS entre 2022 y 2025; el margen de explotación pasó del 13,8 % al −3,6 % [22]. Es la señal más clara de la presión de los robots chinos. Ingresos convertidos a euros al cambio del BCE del 31-12-2025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Aiper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Robots sin cable vendidos al consumidor por internet y en grandes superficies; primero del mundo por cuota a precio de venta al público según Fluidra [6]. Fluidra tiene el 27 % desde diciembre de 2025; las ventas crecieron un 21 % en el primer semestre de 2026 con un margen EBITDA del 6 % [1, 3].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producto no se vuelve más valioso con más usuarios. El software para profesionales (PoolTrackr) y las aplicaciones de piscina conectada pueden crear algo de red, pero aún es incipiente [1,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instalador repone con la marca que conoce y con piezas compatibles; Fluidra gana cuota convirtiendo distribuidores e instaladores de otras marcas [4], y Hayward también compite por la fidelidad de constructores y técnicos de su base instalada [11]. El ciclo de reposición de 8 a 11 años da varias ventas por piscina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de referencia en cada región (Jandy, Polaris, Zodiac, AstralPool) [3]; el peso de Zodiac en las compras de Pool Corporation subió del 9 % en 2020 al 12 % en 2025, por delante de Hayward [5, 10], y los distribuidores de EE. UU. la eligieron proveedor del año cinco veces seguidas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el productor más eficiente: su margen de explotación de 2025 (14,1 %) y su EBITDA ajustado (22,9 %) quedan por debajo de Hayward (20,8 % y 26,7 %) y del resultado de segmento de Pentair Pool (33,8 %) [1, 11, 12]. El plan de eficiencia, con la optimización de la red de fábricas, busca cerrar esa distancia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primer fabricante del mundo con el 13 % del mercado y la gama más amplia del sector [1, 2]; el mercado de EE. UU. se reparte entre tres fabricantes con márgenes altos [5, 11, 12], y en Europa, más fragmentado, es el líder [2, 11]. El ROCE subió del 11 % al 18 % entre 2018 y 2025 [2].</w:t>
            </w:r>
          </w:p>
        </w:tc>
      </w:tr>
    </w:tbl>
    <w:p>
      <w:pPr>
        <w:spacing w:after="160" w:before="0"/>
      </w:pPr>
    </w:p>
    <w:p>
      <w:pPr>
        <w:pStyle w:val="Heading2"/>
      </w:pPr>
      <w:r>
        <w:t xml:space="preserve">Amenazas</w:t>
      </w:r>
    </w:p>
    <w:p>
      <w:pPr>
        <w:spacing w:after="100"/>
      </w:pPr>
      <w:r>
        <w:t xml:space="preserve">La amenaza más probable ya está ocurriendo en los robots limpiafondos: los fabricantes chinos que venden al consumidor bajan precios y márgenes (Maytronics ha pasado a pérdidas [22]) y presionan el 6 % de las ventas de Fluidra [6]; la apuesta por Aiper la cubre en parte. La segunda es la dependencia de Pool Corporation (21 % de las ventas [1]), que crece en marca propia [12] y negocia programas de compra anticipada. La tercera son los aranceles de EE. UU. sobre lo fabricado fuera, que en 2025 diluyeron el margen [6]. En el equipo de la piscina, con reposición del mismo fabricante, la erosión sería lenta.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2021-2025: ingresos </w:t>
      </w:r>
      <w:r>
        <w:rPr>
          <w:b/>
          <w:bCs/>
        </w:rPr>
        <w:t xml:space="preserve">0,0 %</w:t>
      </w:r>
      <w:r>
        <w:t xml:space="preserve">, EBITDA </w:t>
      </w:r>
      <w:r>
        <w:rPr>
          <w:b/>
          <w:bCs/>
        </w:rPr>
        <w:t xml:space="preserve">-1,8 %</w:t>
      </w:r>
      <w:r>
        <w:t xml:space="preserve">, BPA </w:t>
      </w:r>
      <w:r>
        <w:rPr>
          <w:b/>
          <w:bCs/>
        </w:rPr>
        <w:t xml:space="preserve">-8,4 %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(venta de bienes, sin servicios ni trabajos para el inmovilizado) cayeron un 14 % en 2023 tras el ajuste de inventarios del canal posterior a la pandemia (de 2.389 M en 2022 a 2.051 M) y desde entonces crecen despacio: +2,5 % en 2024, +3,9 % en 2025 (+7 % a tipo constante: volumen +4 %, precio y +0,9 puntos de compras, con −3,1 puntos de divisa) y +2,6 % en el 1S26 (+4,4 % orgánico) [1, 3, 6]. El margen de EBITDA ajustado sube de 22,7 % en 2024 a 22,9 % en 2025 y a 25,5 % en el 1S26 (estacional), por el margen bruto estable en 56,6 % gracias al Programa de Simplificación (100 M de ahorro en 2023-2025) y a las subidas de precio, que compensan aranceles, inflación y mezcla [1, 3]. El EBIT reportado sube un 19 % en 2025 porque los gastos de reestructuración bajan de 51 M a 25 M. La amortización de la asignación del precio de compra (57 M en 2025) deprime el beneficio contable; la empresa usa el beneficio ajustado (250 M en 2025; BPA ajustado 1,30 EUR) [1]. 2021-2023 vienen de un proveedor de datos y no tienen el detalle de aprovisionamientos, impuestos ni minoritarios.</w:t>
      </w:r>
    </w:p>
    <w:p>
      <w:pPr>
        <w:pStyle w:val="Heading2"/>
      </w:pPr>
      <w:r>
        <w:t xml:space="preserve">Ajustes y partidas no recurrentes</w:t>
      </w:r>
    </w:p>
    <w:p>
      <w:pPr>
        <w:spacing w:after="100"/>
      </w:pPr>
      <w:r>
        <w:t xml:space="preserve">El EBITDA ajustado de Fluidra es el EBITDA por naturaleza más los gastos de reestructuración, M&amp;A e integración y la remuneración en acciones; incluye el resultado de participadas por puesta en equivalencia (Aiper desde 2026, inmaterial hasta ahora) [3]. Los ajustes se repiten todos los años: 2024, 51 M de reestructuración e integración y 5,6 M de acciones (EBITDA ajustado 477 frente a 421 M reportado); 2025, 25 M (20 M del Programa de Simplificación y 5 M de M&amp;A) y 4,0 M de acciones (501 frente a 472 M); 1S25, 12 + 2 M; 1S26, 33 + 3 M por el cierre del centro de I+D en Francia, plantas en China y Oregón y recortes de plantilla [1, 3, 7]. Para 2026 la empresa prevé 50-55 M de no recurrentes incluida la remuneración en acciones (unos 7 M), y el nuevo plan de eficiencia lleva unos 50 M de costes en tres años [5, 6, 7]. LTM a jun-26: 46 M de reestructuración y 5 M de acciones; EBITDA ajustado LTM 508 M frente a 457 M reportado. No se han metido como no recurrentes en el EBITDA porque se repiten cada año.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El EBITDA de esta tabla es el ajustado y el BPA, el reportado. En el 1S25 las ventas crecieron un 5 % y el EBITDA ajustado un 6 % [9]. Por trimestres: 1T26 ventas 564 M (igual que el 1T25; +5,4 % a tipo constante) y EBITDA ajustado 124 M (22,0 %, frente a 131 M y 23,2 %); 2T26 ventas 694 M (+4,7 %) y EBITDA ajustado 197 M (28,4 %, frente a 183 M) [3, 4]. En mayo la dirección defendía el alza del opex del trimestre (inversión en I+D, digital y fuerza de ventas) con recortes de plantilla de 10-12 M y subió los no recurrentes de 2026 a unos 50 M [5]. En julio el tono mejoró: margen estable, venta al cliente final en EE. UU. por encima de la venta al canal (el canal se vacía), recompra de 40 M (unos 2,1 M de acciones) y cambio de director financiero [7]. Los analistas repitieron tres temas: inventario del canal y volumen en Norteamérica (solo +1 % de volumen), aumento de los costes de reestructuración (ya 50-55 M en 2026, por adelantar cierres previstos para 2027) y si la recompra será recurrente (la dirección dice que es oportunista) [7]. La dirección no dio la política de precios de 2027, evitó cuantificar cuotas de mercado y no avanzó nada sobre una posible cotización en EE. UU. («una opción que siempre está ahí»); sí dijo que las compras recientes se pagaron a 5-6,5 veces EBITDA y que espera 5-10 M de devolución de aranceles en el 2S, dentro del opex [7]. Guía 2026 mantenida, con el margen en la parte baja-media del rango [7].</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Compras por 436 M en caja (entre ellas S.R. Smith, Custom Molded Products y Taylor Water Technologies): el crecimiento del 46 % de 2021 no es orgánico.; 2025: Aiper, 27 % por 85 M (100 M USD) pagados en los últimos días del año: entra en el balance como participada por puesta en equivalencia y no en la cuenta 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baja de 1.192 M en 2022 a 921 M en 2025 (1.087 M con arrendamientos; 2,2x EBITDA ajustado), por el fuerte flujo de 2023 (liberación de inventarios: de 599 M a 427 M) y por la menor caja a impuestos en 2025 [1, 8]. El balance de cierre de año no refleja el pico estacional: a 30-jun-26 clientes son 470 M (262 M en diciembre), existencias 502 M y proveedores 474 M; el capital circulante operativo es el 22,5 % de las ventas LTM, 230 pb menos que un año antes, en parte por provisiones de los cierres de plantas que la empresa reconoce como puntuales [3, 7]. A 30-jun-26: activo 3.759 M, patrimonio de la dominante 1.628 M, deuda bancaria 1.061 M, arrendamientos 192 M, deuda neta 1.101 M (2,2x) [3]. El riesgo de refinanciación está en la revolving de enero de 2027 y en el préstamo de 2029. Fondo de comercio e intangibles (2.007 M) superan el patrimonio: el valor contable tangible es negativo.</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997</w:t>
      </w:r>
      <w:r>
        <w:t xml:space="preserve">, conversión </w:t>
      </w:r>
      <w:r>
        <w:rPr>
          <w:b/>
          <w:bCs/>
        </w:rPr>
        <w:t xml:space="preserve">119 %</w:t>
      </w:r>
      <w:r>
        <w:t xml:space="preserve"> del beneficio neto; adquisiciones 619, dividendos 593, recompras 147.</w:t>
      </w:r>
    </w:p>
    <w:p>
      <w:pPr>
        <w:spacing w:after="100"/>
      </w:pPr>
      <w:r>
        <w:t xml:space="preserve">El flujo operativo (después de intereses e impuestos, que la empresa clasifica en explotación) fue de 343 M en 2025 y 311 M en 2024, con un capex de 71-73 M (3 % de las ventas, de él 30 M de intangibles, en buena parte desarrollo capitalizado de 27 M) y 44-49 M de principal de arrendamientos [1]. 2022 fue anómalo (120 M) por la acumulación de inventarios y 2023 excepcional (429 M) por su liberación [8]. El impuesto pagado de 2024 (100 M) incluyó pagos atrasados; en 2025 bajó a 47 M [1]. En 2025 la caja libre después de arrendamientos (unos 223 M) cubrió los dividendos (117 M) y la entrada en Aiper (85 M) [1]. Las compras y ventas de autocartera (unos 108 M en cada sentido) son el contrato de liquidez y se netean. La empresa sitúa el capex, I+D incluida, en torno al 3 % de las ventas; no separa mantenimiento y crecimiento.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S.L.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EY audita las cuentas individuales y consolidadas desde hace diez años sin interrupción y el informe del ejercicio anterior no tuvo salvedades [1]. Los servicios distintos de la auditoría son pequeños (101.000 EUR) [1]. La cuenta se presenta por naturaleza. Puntos de atención: la empresa capitaliza trabajos para su inmovilizado por 27 M en 2025 (24 M en 2024), el 1,2 % de las ventas, sobre todo desarrollo de producto [1]; la remuneración en acciones es pequeña (4,0 M en 2025, 5,6 M en 2024) pero se excluye del EBITDA ajustado, igual que 25-51 M anuales de reestructuración que se repiten desde 2022 [1]. Los deterioros de activos son menores (1,8 M en 2025) y el fondo de comercio de 1.269 M baja por divisa, no por deterioro [1]. El beneficio ajustado suma además la amortización de la asignación de precio de Zodiac (57 M) y la parte no monetaria del resultado financiero [3]. El tipo impositivo efectivo es del 26 % [1, 6].</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y M&amp;A de 51 M en 2024, 25 M en 2025 y 50-55 M previstos en 2026 (con acciones); el EBITDA ajustado los excluye todos los años [1,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Desarrollo capitalizado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 de trabajos para el inmovilizado en 2025, estables respecto a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contable tangible negativo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e intangibles de 2.007 M frente a 1.592 M de patrimonio de la dominante, herencia de la fusión con Zodiac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Confirming</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 de proveedores en reverse factoring al cierre de 2025, sin cambio de plazos según la empresa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8,2 %.</w:t>
      </w:r>
    </w:p>
    <w:p>
      <w:pPr>
        <w:spacing w:after="100"/>
      </w:pPr>
      <w:r>
        <w:t xml:space="preserve">La empresa mide su ROCE como EBITA ajustado LTM sobre patrimonio corregido (menos 527 M por la diferencia entre el valor del canje de Zodiac y su registro contable) más deuda neta: pasó del 11 % en 2018 al 18 % en 2025, con objetivo a medio plazo de más del 17 % [3]. Esa corrección y el uso del EBITA ajustado (antes de amortización de la asignación de precio y de reestructuración) lo hacen más alto que un ROIC contable. La mejora reciente viene del margen (Programa de Simplificación) más que de la rotación, porque el capital empleado apenas cambia desde 2021 y las ventas de 2025 siguen por debajo de 2022 [1, 8].</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31-dic-25: caja 121 M y pólizas de crédito no dispuestas por 556 M (límite 557 M, de los que 450 M son la línea revolving sindicada que vence en enero de 2027) más 13 M de líneas de descuento; programa de pagarés en el MARF de 200 M sin saldo [1]. A 30-jun-26: caja 141 M [3].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Ba2, perspectiva positiva desde marzo de 2026 [11]. S&amp;P: calificación confirmada el 6-oct-2025; el informe anual no publica el nivel (BB en origen, 2018) [1, 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sindicado (750 M USD a SOFR + 200 pb y 450 M EUR a Euribor + 225 pb, vencimiento enero de 2029) está garantizado con prendas sobre acciones de filiales, marcas de Zodiac y cuentas a cobrar en España, EE. UU., Francia y Australia; el único covenant es deuda financiera / EBITDA ajustado por debajo de 4,5x y solo cuando la revolving está dispuesta más de un 40 % [1]. Todo el préstamo es a tipo variable. El confirming (reverse factoring) suma 22 M en proveedores [1]. Hay precios aplazados de compras (BAC, 2,2 M; Variopool, segundo pago en 2027) y pasivos de adquisiciones de 0,8 M, y provisiones de 74 M (63 M corrientes) [1]. El pacto con Aiper prevé subir al 51 % aportando el negocio de robots de Fluidra cuando Aiper supere 370 M USD de ventas con un 15 % de margen [6].</w:t>
      </w:r>
    </w:p>
    <w:p>
      <w:pPr>
        <w:pStyle w:val="Heading1"/>
      </w:pPr>
      <w:r>
        <w:t xml:space="preserve">12. Asignación de capital</w:t>
      </w:r>
    </w:p>
    <w:p>
      <w:pPr>
        <w:pStyle w:val="Confianza"/>
        <w:spacing w:after="100"/>
      </w:pPr>
      <w:r>
        <w:t xml:space="preserve">Confianza: Media</w:t>
      </w:r>
    </w:p>
    <w:p>
      <w:pPr>
        <w:spacing w:after="100"/>
      </w:pPr>
      <w:r>
        <w:t xml:space="preserve">Fluidra reparte en torno al 50 % del BPA ajustado: 0,60 EUR por acción con cargo a 2024 y 0,65 EUR propuestos con cargo a 2025 (+8 %) [1, 6]. Las prioridades declaradas son, por este orden, invertir en crecimiento orgánico (capex con I+D en torno al 3 % de las ventas), compras que aporten más de un punto de crecimiento anual con rentabilidad superior al coste de capital al tercer año, y dividendos; el excedente, en recompras o dividendos extraordinarios [3]. Objetivo de apalancamiento: en torno a 2x deuda neta / EBITDA ajustado [3]. El 30-jul-26 lanzó una recompra de 40 M (unos 2,1 M de acciones), que la dirección califica de oportunista [2, 7]. Desde 2019 ha desplegado unos 1.800 M: 25 % en inversión orgánica, 38 % en compras y 36 % en dividendos y otros [3]. El plan de eficiencia 2026-2030 promete 120 M de ahorro (75 % en margen bruto) con unos 50 M de costes; en el 1S26 aportó unos 15 M [2,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Zodiac Pool Solutions (fusión)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83 M acciones nuevas (registradas a 13,7 EUR) y refinanciación de la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Llevó a Fluidra a número 2 en EE. UU.; las ventas pasaron de 1.300 M a 2.200 M en 2018-2025 y el margen de EBITDA ajustado del 12,7 % (2017) al 22,9 % [3]. Sin deterioros del fondo de comercio en 2024-2025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S.R. Smith, Custom Molded Products, Taylor Water Technologies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Llegaron en el pico de la pospandemia; las ventas de Norteamérica cayeron un 17 % en 2023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Chadson Engineering (Australia, filtración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1,1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APAC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BAC pool systems (cubiertas, Alemania y Suiza)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(26,9 M) y 2,2 M aplazados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8,1 M; 11,1 M de ventas desde la compra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PoolTrackr (software para profesionales,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Lanzado en EE. UU. y Australia; Europa en 2027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(robots limpiafondos), 27 %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de unos 180 M USD (+21 %) y margen EBITDA del 6 %; opción de subir al 51 % aportando el negocio de robots [6,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Variopool (suelos y paredes móviles, Países Bajos)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en dos pagos (2026 y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25 M y EBITDA de 3,5 M en 2025; cerrada en marzo de 2026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Riaan Pool Group (Sudáfrica) y Hydrapro (tratamiento de agua,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10 M y 30 M de ventas; Riaan prevista en el 3T26 y Hydrapro a principios de 2027 [2].</w:t>
            </w:r>
          </w:p>
        </w:tc>
      </w:tr>
    </w:tbl>
    <w:p>
      <w:pPr>
        <w:spacing w:after="160" w:before="0"/>
      </w:pPr>
    </w:p>
    <w:p>
      <w:pPr>
        <w:spacing w:after="100"/>
      </w:pPr>
      <w:r>
        <w:t xml:space="preserve">La dirección compra pequeño y barato desde 2022: según el director financiero, las compras recientes se pagaron a 5-6,5 veces EBITDA, por debajo del múltiplo de Fluidra [7], y ninguna ha generado deterioros. La gran apuesta del ciclo, las compras de 2021 (436 M) y la recompra de 2021-2022 (146 M netos), se hicieron en el pico: en 2023 las ventas cayeron un 14 % y el BPA un 29 % [8]. La entrada en Aiper (85 M por el 27 %, con margen del 6 %) es una apuesta de crecimiento con rentabilidad aún baja y con un canje futuro del negocio propio de robots cuyo valor no se ha publicado [6, 7]. El dividendo (50 % del BPA ajustado) supone ya unos 124 M anuales, más de la mitad de la caja libre después de arrendamientos.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generación de la familia Planes (Dispur), en el grupo desde 1994; consejero delegado desde 2006 y presidente ejecutivo desde 2016 [33]. Llevó la salida a bolsa de 2007, la fusión con Zodiac en 2018 y la entrada en el IBEX 35 en 2021 [33]. Su 0,20 % es directo; su familia aporta además el 25 % de ADBE Partners, que reúne el 28,35 % de los votos [33].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el 1-jun-2024 en sustitución de Bruce Brooks y consejero desde mayo de 2025 [1, 33]. Viene de Stanley Black &amp; Decker, donde presidió el negocio global de herramientas y almacenamiento, de más de 10.000 M USD de ingresos; es consejero de Kimberly-Clark [33]. No declaraba acciones al cierre de 2025; tiene 195.734 acciones condicionadas del incentivo a largo plazo [33,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Xavier (Javier) Tintoré Segura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y de sostenibilidad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Fluidra desde 2010 (finanzas, jurídico y sistemas) y director financiero desde 2018; suma sostenibilidad desde 2023 [1]. Antes trabajó en Shimizu, Dade Behring e Indo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Viner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Norteamérica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2022 y dirige Norteamérica desde 2024 [1]. Antes fue presidente y consejero delegado de BioLab, la división de piscina de KIK Consumer Products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Maytorena Montaño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1-sep-2024 lleva compras, fabricación y calidad a escala global [1]. Viene de vicepresidente de operaciones globales de TE Connectivity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Keith McQueen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Zodiac desde 1995 como director global de I+D; director de tecnología en 2021 y de producto desde 2024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anual de ventas, margen de EBITDA ajustado y BPA ajustado publicada en febrero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2.184 M€ (+3,9 %; +7 % a perímetro y tipo constantes), EBITDA ajustado de 501 M€ (22,9 %) en el extremo bajo del rango y BPA ajustado de 1,30 €, algo por debajo del rango por más amortización [1,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a +7 %, margen de EBITDA ajustado del 23,3 % al 24,3 % y BPA ajustado +4 % a +13 %, a tipo de cambio constante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Mantenida sin cambios con los resultados del primer trimestre y del semestre [3, 4]; ejercicio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Medio plazo (Capital Markets Day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+6 % a +8 % anual, margen de EBITDA ajustado superior al 25 %, ROCE superior al 17 % y deuda en torno a 2 veces el EBITDA [1,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EBITDA ajustado del 22,9 % en 2025 [1]; el objetivo sigue vigente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combina continuidad familiar y gestión profesional: Eloy Planes, de una de las cuatro familias fundadoras, preside con funciones ejecutivas desde 2016 y lleva treinta años en el grupo, y Jaime Ramírez, fichado en Stanley Black &amp; Decker, es consejero delegado desde junio de 2024 tras Bruce Brooks, que sigue en el consejo como dominical [1, 33]. El director financiero ocupa el cargo desde 2018 [1]. La mitad del comité de dirección entró en su puesto en 2024 o después (operaciones, sistemas, producto y regiones), señal de renovación tras la llegada del nuevo consejero delegado [1]. La credibilidad de la guía es media: en 2025 cumplió en ventas, pero el EBITDA quedó en el extremo bajo del rango y el BPA algo por debajo, por los aranceles [6]; la de 2026 se mantiene [3]. No hay plan de sucesión del presidente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Eloy Planes Corts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Jaime Ramírez Alzate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Jorge Valentín Constans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Esther Berrozpe Galindo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Olatz Urroz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McDonald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Aedhmar Hynes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Borra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Manuel Vargas Gómez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 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Steven Langman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(Rhône Capital)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Bruce Walker Brooks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(propuesto por Aniol,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(Schwarzsee 2018 y G3T)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Comisión Delegada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Mercedes Grau Monjo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(Boyser,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Maria del Carmen Gañet Cirera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(Edrem, familia fundadora)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73,0 %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ADBE Partners, S.L. (familias fundadoras Planes, Serra, Garrigós y Corbera)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Familias fundadoras sindicadas: 20,00 % directo y 8,35 % sindicado a su favor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4-dic-2025 las cuatro familias aportaron a ADBE acciones por el 20 % del capital y sindicaron en ella el voto de su 8,35 % directo; sin cambio económico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Rhône Capital (Piscine Luxembourg Holdings 1)</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privado; dos consejeros dominicales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Manuel Puig Rocha (Schwarzsee 2018) y G3T, S.L.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Inversores con pacto de 2023 y un consejero dominical: 8,85 % y 5,73 %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declarados en 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Wellington Management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3 % el 8-abr-2025.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1 % el 10-dic-2025.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(2.238.174 acciones)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ligadas al plan de acciones de empleados: 64.622 acciones en 2025.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presidente ejecutivo, Eloy Planes, devengó 3,32 M€ en 2025, 74 veces el coste medio por empleado (45.000 €): 0,66 M€ de fijo, 0,55 M€ de variable anual y 2,05 M€ en acciones del incentivo 2023-2025 [34]. El consejero delegado, Jaime Ramírez, devengó 1,97 M€, aún sin incentivo a largo plazo consolidado [34]. El variable anual de 2026 mide ventas (10 %), EBITDA ajustado, BPA ajustado y flujo de caja libre (25 % cada uno) y objetivos no financieros; el incentivo 2026-2028, en acciones, RTA relativo (45 %), EBITDA (45 %) y ESG (10 %), con malus y clawback [34]. </w:t>
      </w:r>
      <w:r>
        <w:rPr>
          <w:b/>
        </w:rPr>
        <w:t xml:space="preserve">La política de 2025 obtuvo solo un 73 % a favor</w:t>
      </w:r>
      <w:r>
        <w:t xml:space="preserve"> [34]; con el 40 % sindicado votando con el consejo, el apoyo del capital libre presente fue mucho menor. El informe de 2024 tuvo un 4,4 % en contra, un 8,5 % del capital libre presente (estimación propia: 6,97 millones de votos sobre 158,99 emitidos menos 76,89 del pacto) [34]; el de 2023, un 0,35 % [35].</w:t>
      </w:r>
    </w:p>
    <w:p>
      <w:pPr>
        <w:pStyle w:val="Heading2"/>
      </w:pPr>
      <w:r>
        <w:t xml:space="preserve">Operaciones vinculadas, estructura de control y defensas</w:t>
      </w:r>
    </w:p>
    <w:p>
      <w:pPr>
        <w:spacing w:after="100"/>
      </w:pPr>
      <w:r>
        <w:t xml:space="preserve">Ningún accionista tiene el control legal (el informe de gobierno lo niega) [33], pero </w:t>
      </w:r>
      <w:r>
        <w:rPr>
          <w:b/>
        </w:rPr>
        <w:t xml:space="preserve">las cuatro familias fundadoras y Rhône Capital deciden de hecho</w:t>
      </w:r>
      <w:r>
        <w:t xml:space="preserve">: ADBE Partners, propiedad al 25 % de las familias Planes (Dispur), Serra (Boyser), Garrigós (Aniol) y Corbera (Edrem), reúne el 28,35 % de los votos (20 % directo y 8,35 % sindicado desde el 4-dic-2025), y Rhône, el 11,67 % [33]. El pacto de accionistas firmado con Rhône el 3-nov-2017, vigente desde la fusión con Zodiac (2-jul-2018), cubre el 40,02 % del capital; Manuel Puig y G3T suman otro 14,58 % con su propio pacto de 2023 [33]. Rhône mantenía su 11,67 % según el último dato público [37]. Los firmantes tienen seis de los catorce consejeros, incluido el presidente ejecutivo, de la familia Planes [33]. Una acción, un voto; sin blindajes estatutarios ni operaciones vinculadas relevantes [33]. Flotante estimado: 39,6 % [33].</w:t>
      </w:r>
    </w:p>
    <w:p>
      <w:pPr>
        <w:pStyle w:val="Heading2"/>
      </w:pPr>
      <w:r>
        <w:t xml:space="preserve">Señales de alerta</w:t>
      </w:r>
    </w:p>
    <w:p>
      <w:pPr>
        <w:pStyle w:val="ListParagraph"/>
        <w:numPr>
          <w:ilvl w:val="0"/>
          <w:numId w:val="2"/>
        </w:numPr>
        <w:spacing w:after="60"/>
      </w:pPr>
      <w:r>
        <w:t xml:space="preserve">La política de remuneraciones de 2025 logró solo un 73 % de votos a favor en la junta, aunque el 40 % del capital sindicado vota con el consejo; los inversores criticaron la indemnización del presidente y el sueldo del consejero delegado, y la empresa no cambió la cláusula de cese [34].</w:t>
      </w:r>
    </w:p>
    <w:p>
      <w:pPr>
        <w:pStyle w:val="ListParagraph"/>
        <w:numPr>
          <w:ilvl w:val="0"/>
          <w:numId w:val="2"/>
        </w:numPr>
        <w:spacing w:after="60"/>
      </w:pPr>
      <w:r>
        <w:t xml:space="preserve">El presidente ejecutivo cobra dos anualidades de fijo y variable si se le cesa o hay cambio de control, más otras dos de fijo por no competencia: un coste que encarece una opa [33, 34].</w:t>
      </w:r>
    </w:p>
    <w:p>
      <w:pPr>
        <w:pStyle w:val="ListParagraph"/>
        <w:numPr>
          <w:ilvl w:val="0"/>
          <w:numId w:val="2"/>
        </w:numPr>
        <w:spacing w:after="60"/>
      </w:pPr>
      <w:r>
        <w:t xml:space="preserve">El auditor lleva diez ejercicios seguidos, cerca del límite de rotación; en la sociedad matriz los servicios ajenos a la auditoría equivalen al 100,9 % de los honorarios de auditoría [33].</w:t>
      </w:r>
    </w:p>
    <w:p>
      <w:pPr>
        <w:pStyle w:val="ListParagraph"/>
        <w:numPr>
          <w:ilvl w:val="0"/>
          <w:numId w:val="2"/>
        </w:numPr>
        <w:spacing w:after="60"/>
      </w:pPr>
      <w:r>
        <w:t xml:space="preserve">Posiciones cortas publicadas pequeñas: AQR 0,50 % (20-ago-2026) y Connor, Clark &amp; Lunn 0,60 % (1-jul-2026) [36].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30 de julio de 2026, con las cuentas del primer semestre, Fluidra mantuvo la guía del año a tipo de cambio constante: ventas entre +3 % y +7 %, margen EBITDA ajustado entre el 23,3 % y el 24,3 % y BPA ajustado entre +4 % y +13 % (sobre un tipo medio euro-dólar de 1,13 en 2025) [2, 3]. En el semestre las ventas crecieron un 4,9 % a tipo constante (1.258 M) y el EBITDA ajustado un 5,7 % (321 M, 25,5 % de margen) [3]. A medio plazo la compañía apunta a un crecimiento anual de ventas del 6-8 %, un margen EBITDA ajustado superior al 25 %, un ROCE por encima del 17 % y un apalancamiento en torno a 2 veces deuda neta/EBITDA; el plan de eficiencia busca 120 M de ahorros en cinco años, de los que lleva unos 15 M en el semestre [2,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8-oct-2026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8-oct-2026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19,00 – 31,00</w:t>
            </w:r>
          </w:p>
        </w:tc>
      </w:tr>
    </w:tbl>
    <w:p>
      <w:pPr>
        <w:spacing w:after="160" w:before="0"/>
      </w:pPr>
    </w:p>
    <w:p>
      <w:pPr>
        <w:pStyle w:val="Heading2"/>
      </w:pPr>
      <w:r>
        <w:t xml:space="preserve">Revisiones de estimaciones</w:t>
      </w:r>
    </w:p>
    <w:p>
      <w:pPr>
        <w:spacing w:after="100"/>
      </w:pPr>
      <w:r>
        <w:t xml:space="preserve">Las estimaciones completas vienen de un solo proveedor gratuito (MarketScreener) [42]; Stock Analysis, con datos de S&amp;P Global, solo publica gratis el año en curso: ventas 2026e de 2.270 M y BPA ajustado de 1,33 EUR, con 13 analistas [44]. El EBITDA del consenso es el ajustado de Fluidra: los 501 M que MarketScreener da como real de 2025 coinciden con el EBITDA ajustado publicado (22,9 % sobre 2.184 M), y el de 2026e (531,6 M) equivale a un margen del 23,4 %, dentro de la guía [1, 42]. El BPA de MarketScreener es el contable (0,92 EUR en 2025), no el ajustado de la compañía (1,30 EUR) [42, 44]. El precio objetivo medio (26,03 EUR) y el reparto de recomendaciones coinciden en las dos fuentes (9 compras fuertes, 3 compras y 3 mantener) [43, 44]; la última actualización de precios objetivo es del 31 de julio. En los últimos meses Barclays bajó a mantener (de 30 a 20 EUR, mayo de 2026), mientras JP Morgan (de 25 a 28 EUR) y Berenberg (de 27 a 28 EUR) subieron objetivo tras el semestre [44]. No hay serie gratuita de revisiones del BPA y del EBITDA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Fluidra pierde un 28,5 % en un año frente a una subida del 20,7 % del IBEX 35 y del 2,8 % del ETF sectorial europeo de referencia (EXH4), y cierra el 8 de octubre en 17,00 EUR, su mínimo de 52 semanas, un 35 % por debajo del máximo de 26,22 EUR del 11 de febrero [38]. La peor sesión del año fue la de los resultados de 2025 (26 de febrero, −6,2 %), y en mayo Barclays rebajó a mantener con objetivo de 20 EUR [38, 44]. La recompra de 40 M (31 de julio a 18 de septiembre) no frenó la caída: el precio pasó de 19,28 a 17,68 EUR mientras duró [38, 45, 46]. El contrato de liquidez con Banco Sabadell compró 1,85 M de acciones y vendió 1,86 M en el segundo trimestre, a unos 19,6 EUR [47]. A diez años, la acción sube un 14,3 % anual, por encima del índice, gracias a la fusión con Zodiac y al ciclo de 2020-2021; la caída del 65,8 % entre octubre de 2021 y octubre de 2022 muestra su sensibilidad a la construcción de piscinas en EE. UU. La beta de 1,10 es la del STOXX Europe 600 (frente al IBEX, 0,87). No hay posiciones cortas netas iguales o superiores al 0,5 % del capital en el registro de la CNMV [72].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 acción ha pasado de 35,20 EUR al cierre de 2021 a 17,00 EUR [38]. Con el mismo criterio que el actual, Fluidra cotiza a 9,4 veces el EBITDA de los últimos 12 meses, frente a una media de 12,2 veces en los cinco últimos cierres (mínimo 8,6 y máximo 15,4), y a 19,5 veces el beneficio, frente a 26,7: en el percentil 20 de su historia y un 23 % por debajo de la media en EV/EBITDA. No ha empeorado el margen (el reportado de 2025, 21,6 %, es el mejor desde 2021) sino el crecimiento: las ventas de 2025 (2.184 M) siguen por debajo de las de 2022 (2.389 M) porque la construcción de piscinas nuevas está en mínimos, y en 2026 el dólar débil resta otros dos puntos al crecimiento publicado [3]. No hay múltiplos históricos de los próximos 12 meses gratuitos.</w:t>
      </w:r>
    </w:p>
    <w:p>
      <w:pPr>
        <w:pStyle w:val="Heading1"/>
      </w:pPr>
      <w:r>
        <w:t xml:space="preserve">18. Comparables cotizados</w:t>
      </w:r>
    </w:p>
    <w:p>
      <w:pPr>
        <w:pStyle w:val="Confianza"/>
        <w:spacing w:after="100"/>
      </w:pPr>
      <w:r>
        <w:t xml:space="preserve">Confianza: Media</w:t>
      </w:r>
    </w:p>
    <w:p>
      <w:pPr>
        <w:spacing w:after="100"/>
      </w:pPr>
      <w:r>
        <w:t xml:space="preserve">Dos rivales directos de piscina (Hayward, el más parecido por producto y margen, y Pool Corp, el mayor distribuidor del sector y principal cliente del canal en EE. UU.), Pentair (piscina es su segmento más rentable, junto a tratamiento de agua y flujo) y cinco fabricantes de equipos de agua y fontanería con exposición a reforma y vivienda: A. O. Smith, Watts, Zurn Elkay, Geberit y Aalberts. Pool Corp es distribuidor (margen EBITDA del 12 %), así que su EV/ventas no es comparable. Maytronics, el especialista israelí en limpiafondos, se excluye: tuvo pérdidas en 2025 y no tiene consenso. Xylem es demasiado grande y municipal. Cifras de MarketScreener a 8-oct-2026 (precio, acciones, deuda neta de cierre de 2025 y consenso) convertidas al euro con el BCE del 8-oct (1,1186 USD y 0,9326 CHF por euro) [48]; ROIC y flujo libre de los últimos 12 meses, de Stock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Fluidra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Pool Corp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Hayward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Pentair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 O. Smith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Watts Water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Zurn Elkay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Geberit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Aalberts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9,6x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 / 10,1x / 17,1x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15,2x / 25,4x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 / 2,5x / 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8,9 + 0,50 × crecimiento; R² = 0,14. El crecimiento explica poco los múltiplos de estos comparables (R² &lt; 0,3): la regresión no se usa en la valoración.</w:t>
      </w:r>
    </w:p>
    <w:p>
      <w:pPr>
        <w:spacing w:after="100"/>
      </w:pPr>
      <w:r>
        <w:t xml:space="preserve">Los tres comparables de piscina cotizan a 8,9-10,0 veces el EBITDA de los próximos 12 meses y Hayward y Pool, a 13,7-13,8 veces el beneficio [52, 53]; Pentair, a 8,7 veces, aunque su consenso de 2027 parece incluir una compra aún no pagada [54]. Los fabricantes de agua de mayor calidad (Geberit, Watts, Zurn) cotizan a 14,5-17,4 veces con ROIC del 15-27 % y casi sin deuda; Aalberts y A. O. Smith, a 8,3-9,1 veces [55, 56, 57, 58, 59]. Fluidra cotiza a 8,4 veces el EBITDA de los próximos 12 meses y a 14,0 veces el beneficio: en el extremo bajo de la muestra y por debajo de Hayward, con un margen EBITDA ajustado del 22,9 % en 2025 [1] frente al 26,7 % de Hayward. El descuento lo explican un ROIC del 8,3 % (lastrado por el fondo de comercio de Zodiac), una deuda neta de 2,4 veces el EBITDA y un crecimiento esperado algo menor. La regresión entre múltiplo y crecimiento no explica nada (R² de 0,14) y no se usa. Usamos la mediana de la muestra (9,6 veces el EBITDA y 15,2 veces el beneficio de los próximos 12 meses), que da 19,33 EUR por acción: cerca de la de los tres de piscina.</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Evoqua Water Technologies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Xylem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Canje de acciones; valor empresa de 7.500 M USD sobre ventas de 1.740 M y EBITDA ajustado de 298 M del ejercicio fiscal 2022 (septiembre) [66, 67]; convertido al euro con el BCE del día del anuncio, como las demás [71]. Tratamiento de agua industrial con servicios recurrentes: múltiplo de techo del sector.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Manitowoc Ice (de Welbilt)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Pentair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1.600 M USD sobre ventas de 308 M y EBITDA de 92 M de 2021 (margen del 30 %); neto de 220 M de ventajas fiscales, 1.380 M USD y 15,0 veces [68]. Equipos de agua para hostelería, no piscina.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Elkay Manufacturing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Zurn Water Solutions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acciones (hasta 52,5 M de acciones de Zurn), 1.560 M USD al cierre del 11-feb-2022: 14,2 veces el EBITDA ajustado previsto para 2022 y 9,8 veces con las sinergias [69]. Múltiplo sobre beneficio futuro, no histórico.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Aiper (27 %)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M USD por el 27 % (25 M USD eran un préstamo previo convertido), lo que valora el 100 % de los fondos propios en unos 370 M USD; participación minoritaria con opción de llegar a la mayoría si Aiper cumple objetivos de volumen y rentabilidad. Sin ventas ni EBITDA publicados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ChlorKing</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Cloradores salinos y desinfección UV para piscina comercial; precio no publicado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(15,8x – 21,3x)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32,48 – 45,87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tres operaciones con múltiplo publicado pagaron entre 14 y 25 veces el EBITDA, el doble que las 7,6 veces de los próximos 12 meses a las que cotiza Fluidra, pero son activos de agua de mayor margen o crecimiento (Evoqua, Manitowoc Ice) o se midieron sobre EBITDA previsto con sinergias (Elkay) [66, 67, 68, 69]; en piscina las compras recientes (ChlorKing, Aiper, Hydrapro, Riaan) son pequeñas y sin precio publicado [1, 2, 70]. El valor de control del sector parece estar entre 12 y 15 veces el EBITDA. Fluidra es candidata poco probable a una OPA: las familias fundadoras, sus sociedades y Rhône Capital suman más de la mitad del capital y el flotante es del 40,8 % y su valor empresa de unos 4.400 M EUR solo está al alcance de un comprador grande de agua o de capital privado [37].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(+3,5 %, fijo) sigue la guía de ventas del +3 % al +7 % a tipo constante menos unos dos puntos de divisa: en el semestre las ventas crecieron un 2,6 % publicado y un 4,9 % a tipo constante [2, 3]; el consenso espera 2.268 M (+3,9 %) [42]. 2027e-2029e (+4,5 % a +5,0 %) quedan por debajo del objetivo a medio plazo de la empresa (+6 % a +8 % anual [3]) y en línea con el mercado (+4-6 % según Fluidra y +4,6-4,7 % según dos estudios [1, 31, 32]): el mantenimiento y la reposición, el 65 % de las ventas, crecen a un dígito medio y la obra nueva, en mínimos (169.000 piscinas en los cinco primeros países en 2025, un 21 % por debajo de su media), solo tiene que dejar de caer [3]. Después converge al 3,0 % en 2033e. Las ventas proyectadas quedan un 1,2 % por debajo del consenso en 2027e y 2028e.</w:t>
      </w:r>
    </w:p>
    <w:p>
      <w:pPr>
        <w:keepNext/>
        <w:spacing w:after="100"/>
      </w:pPr>
      <w:r>
        <w:rPr>
          <w:b/>
          <w:bCs/>
        </w:rPr>
        <w:t xml:space="preserve">Márgenes.</w:t>
      </w:r>
    </w:p>
    <w:p>
      <w:pPr>
        <w:spacing w:after="100"/>
      </w:pPr>
      <w:r>
        <w:t xml:space="preserve">Proyectamos el EBITDA reportado, no el ajustado: la reestructuración y la remuneración en acciones se repiten todos los años (56 M en 2024, 29 M en 2025 y 50-55 M previstos en 2026 [1, 7]). El margen pasa del 21,6 % de 2025 al 21,2 % en 2026e (margen ajustado en la parte baja-media de la guía, 23,3-24,3 %, menos unos 52 M de costes [7]) y sube al 23,5 % en 2030e: equivale a un margen ajustado de unos 24,5 %, por debajo del objetivo de más del 25 % de la empresa [3] y con un punto de costes recurrentes descontado. El precedente es 2021, con un 23,2 % reportado. El plan de eficiencia de 120 M en cinco años (15 M en el semestre) y la recuperación del volumen sostienen la subida; los robots chinos y los aranceles la frenan [2, 6]. El EBITDA proyectado coincide con el del consenso (diferencias inferiores al 1 %).</w:t>
      </w:r>
    </w:p>
    <w:p>
      <w:pPr>
        <w:keepNext/>
        <w:spacing w:after="100"/>
      </w:pPr>
      <w:r>
        <w:rPr>
          <w:b/>
          <w:bCs/>
        </w:rPr>
        <w:t xml:space="preserve">Inversión y circulante.</w:t>
      </w:r>
    </w:p>
    <w:p>
      <w:pPr>
        <w:spacing w:after="100"/>
      </w:pPr>
      <w:r>
        <w:t xml:space="preserve">Capex del 5,5 % de las ventas: el 3,3 % del inmovilizado de 2021-2025 más el 2,2 % de los pagos por arrendamientos (48,6 M en 2025), porque los arrendamientos están en la deuda y el EBITDA no lleva alquileres [1]. La amortización baja del 7,4 % al 5,4 % porque la de la asignación del precio de Zodiac (57 M en 2025) se agota; en 2033e queda por debajo del capex. El circulante comercial se fija en el 21,5 % de las ventas, el nivel de 2025 (21,7 %) y por debajo de la media de 2021-2025 (23,7 %): la empresa ha reducido existencias y alargado pagos, y la caída de 2022 (28,3 %) fue el desestocaje del canal. Tipo impositivo normalizado del 25,5 % (26,3 % en 2025).</w:t>
      </w:r>
    </w:p>
    <w:p>
      <w:pPr>
        <w:keepNext/>
        <w:spacing w:after="100"/>
      </w:pPr>
      <w:r>
        <w:rPr>
          <w:b/>
          <w:bCs/>
        </w:rPr>
        <w:t xml:space="preserve">Coste del capital.</w:t>
      </w:r>
    </w:p>
    <w:p>
      <w:pPr>
        <w:spacing w:after="100"/>
      </w:pPr>
      <w:r>
        <w:t xml:space="preserve">Tasa libre: Bund a 10 años del 3,57 % el 8-oct-2026 [40]. Beta de 1,10, la de Fluidra frente al STOXX Europe 600 (mensual, cinco años): frente al IBEX 35 sale 0,87, porque el índice español pesa mucho en bancos y eléctricas y Fluidra vende sobre todo fuera de España (Norteamérica es el 43,9 % de las ventas [1]); la de Pool Corp y Hayward desapalancada y reapalancada con la deuda de Fluidra da 1,17 [38]. Prima de mercado del 5,5 % y sin prima adicional: el 83 % de las ventas está en Norteamérica y Europa [1]. Coste de la deuda del 5,7 % antes de impuestos (préstamo sindicado a Euribor + 225 pb y SOFR + 200 pb; Moody's Ba2 con perspectiva positiva [1, 11]) y peso de la deuda del 27 % a valor de mercado. WACC del 8,17 %; con la prima implícita del mercado (4,20 % [41]), 7,13 %.</w:t>
      </w:r>
    </w:p>
    <w:p>
      <w:pPr>
        <w:keepNext/>
        <w:spacing w:after="100"/>
      </w:pPr>
      <w:r>
        <w:rPr>
          <w:b/>
          <w:bCs/>
        </w:rPr>
        <w:t xml:space="preserve">Valor terminal.</w:t>
      </w:r>
    </w:p>
    <w:p>
      <w:pPr>
        <w:spacing w:after="100"/>
      </w:pPr>
      <w:r>
        <w:t xml:space="preserve">Crecimiento a perpetuidad del 2,25 %: inflación del euro cerca del 2 % y un crecimiento real pequeño, por debajo de la tasa libre menos medio punto (3,07 %). El mercado de piscinas crece por encima de la economía por la base instalada (unos 20 millones de piscinas enterradas residenciales [1]) y por la reposición de equipos con más tecnología, pero el ROIC del 8,3 % apenas supera el WACC, así que crecer más no añade casi valor. El múltiplo de salida implícito (9,4 veces el EBITDA) coincide con la mediana de los comparables (9,6 veces) y con el múltiplo de contraste (9,5 veces). No usamos la etapa de transición: el ROIC no supera al WACC en más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(hoy: 13,0 %)</w:t>
            </w:r>
          </w:p>
        </w:tc>
      </w:tr>
    </w:tbl>
    <w:p>
      <w:pPr>
        <w:spacing w:after="160" w:before="0"/>
      </w:pPr>
    </w:p>
    <w:p>
      <w:pPr>
        <w:spacing w:after="100"/>
      </w:pPr>
      <w:r>
        <w:t xml:space="preserve">La proyección apenas necesita inversión neta de la amortización (reinversión acumulada de -3 M, con un capex bruto medio del 5,5 % de las ventas). En un negocio de activos ligeros, el crecimiento medio del 4,1 % tiene que salir de subir precios y de ganar volumen sin capital nuevo, y la prueba es el poder de precios y la cuota (11,7 % del mercado en 2033e, frente al 13,0 %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publicado en el semestre: volumen +2 % y precio +3 % en el 1S26, y precio +2 % y volumen +3 % en el 2T26; la guía es del +3 % al +7 % a tipo constante y la divisa resta unos dos puntos (4,9 % a tipo constante frente a 2,6 % publicado) [2, 3,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reposición y mantenimiento (65 % de las ventas) sobre una base instalada que crece; la obra nueva solo deja de caer. Precio del 2 %, por debajo del 3 % del 1S26, por la fatiga de precios tras las subidas de la pospandemia [1, 3, 7].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de recuperación de la obra nueva desde mínimos (169.000 piscinas en los cinco primeros países, un 21 % por debajo de su media) y subidas de precio ordinarias; el consenso da +5,0 % [3, 42].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en línea con el mercado (+4-6 % según Fluidra y +4,6-4,7 % según dos estudios) [3, 31, 32]. Reparto propio.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Empieza la convergencia hacia el 3 % de 2033e: menos volumen, precio en línea con la inflación y el cambio a equipos de más valor (bombas de velocidad variable, automatización) [1]. Reparto propio.</w:t>
            </w:r>
          </w:p>
        </w:tc>
      </w:tr>
    </w:tbl>
    <w:p>
      <w:pPr>
        <w:spacing w:after="160" w:before="0"/>
      </w:pPr>
    </w:p>
    <w:p>
      <w:pPr>
        <w:spacing w:after="100"/>
      </w:pPr>
      <w:r>
        <w:t xml:space="preserve">Sí: la proyección (4,1 % anual en 2026e-2033e) pide menos que el mercado (4-6 % según Fluidra y 4,6-4,7 % según dos estudios [3, 31, 32]) y menos que el objetivo de la empresa (6-8 % [3]); la cuota baja del 12,6 % al 11,7 % en 2033e. El foso es estrecho pero estable: reposición con la marca que el instalador conoce y Zodiac ganando peso en Pool Corporation [1, 12]. El poder de precios está demostrado (+5 % en Norteamérica en 2025, +3 % en el 1S26 [3, 6]) y suponemos solo un 2 %. La reinversión neta sale nula porque la amortización incluye 57 M de intangibles de Zodiac, que no hay que reponer; el capex bruto (5,5 % con arrendamientos) mantiene el de 2021-2025. El ciclo (−14 % en 2023) va en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19,6 % (base: 23,5 %)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8,2 %)</w:t>
            </w:r>
          </w:p>
        </w:tc>
      </w:tr>
    </w:tbl>
    <w:p>
      <w:pPr>
        <w:spacing w:after="160" w:before="0"/>
      </w:pPr>
    </w:p>
    <w:p>
      <w:pPr>
        <w:spacing w:after="100"/>
      </w:pPr>
      <w:r>
        <w:t xml:space="preserve">El DCF da 23,80 EUR por acción, un 40,0 % por encima del precio, con un WACC del 8,17 % y un 67 % del valor en el valor terminal; con WACC y crecimiento ± 0,5 puntos, entre 20,10 y 28,98 EUR. La proyección coincide con el consenso: la diferencia con el precio no viene de las cifras sino de lo que el mercado no se cree. El DCF inverso lo dice con claridad: a 17,00 EUR el precio descuenta que las ventas caigan un 2,0 % al año entre 2027e y 2033e con nuestros márgenes, o que el margen EBITDA se quede en el 19,6 % con nuestro crecimiento, por debajo de cualquier año desde 2021 salvo 2023 (19,2 %, en pleno desestocaje). Dicho de otro modo: con nuestras cifras, la acción rinde un 9,9 % anual, frente al 8,2 % de nuestro WACC y al 7,1 % que hoy pide el mercado. Es un precio de valle del ciclo: exige que la obra nueva no vuelva y que los robots chinos y los aranceles se coman la mejora de márgenes. La tabla de sensibilidad lo confirma: incluso con un WACC del 9,2 % y un crecimiento terminal del 1,3 % el DCF da 17,32 EUR, todavía por encima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67"/>
        <w:gridCol w:w="649"/>
        <w:gridCol w:w="866"/>
        <w:gridCol w:w="866"/>
        <w:gridCol w:w="758"/>
        <w:gridCol w:w="866"/>
        <w:gridCol w:w="866"/>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21,94 EUR (+29,1 %).</w:t>
      </w:r>
    </w:p>
    <w:p>
      <w:pPr>
        <w:spacing w:after="100"/>
      </w:pPr>
      <w:r>
        <w:t xml:space="preserve">La asimetría es favorable: el alcista gana un 68,5 % y el bajista pierde un 15,5 %, con un valor ponderado de los tres escenarios de 21,94 EUR. El bajista pesa un 30 % (más que el alcista) porque ya ocurrió en 2023, cuando las ventas cayeron un 14 % y el margen reportado bajó al 19,2 %, y porque los robots chinos y los aranceles son presiones nuevas. Aun así, en el bajista el valor (14,37 EUR) queda solo un 15 % por debajo del precio: el mercado ya descuenta buena parte de ese camino. El alcista no exige un nuevo auge como el de 2021, solo que la obra nueva en EE. UU. vuelva hacia su media y que el plan de eficiencia llegue al margen ajustado del 25 % que la empresa se ha marcado.</w:t>
      </w:r>
    </w:p>
    <w:p>
      <w:pPr>
        <w:pStyle w:val="Heading1"/>
      </w:pPr>
      <w:r>
        <w:t xml:space="preserve">22. Suma de partes</w:t>
      </w:r>
    </w:p>
    <w:p>
      <w:pPr>
        <w:pStyle w:val="Confianza"/>
        <w:spacing w:after="100"/>
      </w:pPr>
      <w:r>
        <w:t xml:space="preserve">Confianza: Media</w:t>
      </w:r>
    </w:p>
    <w:p>
      <w:pPr>
        <w:spacing w:after="100"/>
      </w:pPr>
      <w:r>
        <w:t xml:space="preserve">No aplica: Fluidra es un solo negocio de equipos de piscina (el 98 % de las ventas en 2025 [1]) con tres regiones que comparten producto, marcas y cadena de suministro. Aiper (27 %) se suma en el puente a valor contable.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17,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22,22 EUR (+30,7 % sobre 17,00).</w:t>
      </w:r>
    </w:p>
    <w:p>
      <w:pPr>
        <w:spacing w:after="100"/>
      </w:pPr>
      <w:r>
        <w:t xml:space="preserve">El DCF pesa un 50 % porque el negocio es estable fuera del ciclo de la obra nueva (el 65 % de las ventas es reposición) y sus supuestos coinciden con el consenso. Los comparables pesan un 25 %: la mediana da 19,33 EUR, pero la muestra mezcla piscina con fabricantes de agua de mayor ROIC, y Fluidra tiene más deuda y un ROIC del 8,3 %. Los escenarios pesan otro 25 % para recoger la ciclicidad. Las transacciones no se usan: las tres con múltiplo publicado son de agua, no de piscina, e incluyen prima de control (darían 36,37 EUR). La dispersión es estrecha en la parte baja: todos los métodos salvo el bajista quedan por encima del precio, de 19,33 EUR (comparables) a 23,80 EUR (DCF), y la prima implícita del mercado eleva el DCF a 30,20 EUR. El valor objetivo es de 22,22 EUR, un 30,7 % por encima del precio. En el puente restamos la recompra de 40 M y el primer tramo del dividendo (62 M), pagados después del balance de junio, y sumamos Aiper a valor contable (86 M).</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(margen ajustado en la parte baja-media del 23,3-24,3 %) y lectura del volumen en Norteamérica, que solo creció un 1 % en el semestre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ex del segundo tramo del dividendo con cargo a 2025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3,8 %; la política reparte en torno al 50 % del beneficio ajustado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menos costes de reestructuración y más ahorro del plan de 120 M; el consenso espera un EBITDA ajustado de 579 M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 trimestre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Hydrapro (unos 30 M de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Refuerza el tratamiento de agua en Francia; pequeño en cifras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Fase II de Aiper: aportación del negocio de robots a cambio del 51 %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 pasaría a consolidar Aiper y a distribuir robots con margen de distribuidor; cambia el perímetro y el riesgo de los robots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Temporada de piscinas en EE. UU. y permisos de obra nueva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bajada de los tipos hipotecarios que reactive la obra nueva es el motor del escenario alcista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obra nueva en EE. UU. no se recupera y el canal vuelve a desestocarse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(escenario bajista: 14,37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65 % de las ventas es reposición; la base instalada crece cada año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negativo dos trimestres seguidos o permisos de piscinas en EE. UU. por debajo de 55.000 al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 limpiafondos chinos baratos presionan precio y margen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 EBITDA (sensibilidad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robots son un 6 % de las ventas y la participación en Aiper da exposición al ganador del segmento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55 % o caída de ventas de robots de Fluidra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productos fabricados fuera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a −15 % (uno a dos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la empresa compensó los aranceles en valor absoluto con subidas de precio, aunque perdió margen porcentual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encima del 25 % o recorte de la guía por aranceles, como en julio de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reestructuración se vuelve permanente y el margen ajustado no llega al reportado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−7 % por cada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programa de simplificación anterior (2023-2025) cumplió sus 100 M de ahorro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reestructuración por encima de 40 M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un cliente: un distribuidor de EE. UU. (Pool Corp) supone el 21 %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−20 % si el cliente desestoca o traslada compras a Hayward o a su marca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de Zodiac en las compras de Pool subió del 9 % en 2020 al 12 % en 2025; premio de proveedor del año cinco años seguidos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peso de Fluidra en el 10-K de Pool o del margen bruto de Pool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 por cada 10 % de depreciación del dólar (estimación propia: el 44 % de las ventas está en Norteamérica y la deuda amplifica el efecto en el valor de las acciones)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la deuda está en dólares (tramo de 750 M USD del préstamo sindicado), lo que cubre parcialmente el balance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 por encima de 1,25 dólares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control de hecho de las familias fundadoras y Rhône, con un presidente ejecutivo de una de ellas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limita la posibilidad de una OPA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Seis consejeros independientes y consejero coordinador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de la remuneración por encima del 25 % u operaciones con partes vinculadas</w:t>
            </w:r>
          </w:p>
        </w:tc>
      </w:tr>
    </w:tbl>
    <w:p>
      <w:pPr>
        <w:spacing w:after="160" w:before="0"/>
      </w:pPr>
    </w:p>
    <w:p>
      <w:pPr>
        <w:pStyle w:val="Heading2"/>
      </w:pPr>
      <w:r>
        <w:t xml:space="preserve">Pre-mortem</w:t>
      </w:r>
    </w:p>
    <w:p>
      <w:pPr>
        <w:spacing w:after="100"/>
      </w:pPr>
      <w:r>
        <w:t xml:space="preserve">Es octubre de 2029 y Fluidra cotiza a 10 EUR. La historia empezó en la primavera de 2027: los tipos hipotecarios de EE. UU. no bajaron y la obra nueva cayó por debajo de 50.000 piscinas, el nivel más bajo desde 2010. Pool Corp, con su margen también presionado, redujo existencias en el segundo semestre y Fluidra vendió un 8 % menos en Norteamérica. A la vez, los robots chinos baratos llegaron al canal profesional y el precio medio del robot cayó un 20 %; la fase II de Aiper se retrasó porque la empresa no llegó al 15 % de margen. Los aranceles se mantuvieron y la empresa ya no pudo subir precios. El margen EBITDA reportado volvió al 19 %, la deuda neta subió a 3 veces el EBITDA y la dirección recortó el dividendo para no superar el objetivo de apalancamiento. El mercado dejó de ver la reposición como un colchón y pagó 7 veces el EBITDA, como en 2022. Las señales que lo habrían anticipado: el volumen de Norteamérica en negativo dos trimestres seguidos, el margen bruto por debajo del 55 % y los costes de reestructuración que no bajaban de 40 M al año.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(AA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 (riesgo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 (22,9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77/100 (72 en 2024); en el Sustainability Yearbook 2026</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(B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(C en 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asunto que más mueve las cifras es la eficiencia energética del producto: el 83 % de la huella de carbono del grupo está en el uso de los productos vendidos (alcance 3, categoría 11), y la regulación y la demanda empujan hacia bombas de velocidad variable, bombas de calor y automatización, que suben el precio medio [1, 18]. En sus propias operaciones Fluidra ha reducido un 70 % las emisiones netas de alcance 1 y 2 frente a 2021 (base de 20.981 t CO2e) y se ha fijado la neutralidad en 2027 [1]. El segundo es el agua: las sequías y las restricciones de uso frenan la construcción y el llenado de piscinas [1, 12]. El tercero es la seguridad del producto (química, ahogamientos), que vigilan los reguladores de consumo [1].</w:t>
      </w:r>
    </w:p>
    <w:p>
      <w:pPr>
        <w:pStyle w:val="Heading2"/>
      </w:pPr>
      <w:r>
        <w:t xml:space="preserve">Controversias</w:t>
      </w:r>
    </w:p>
    <w:p>
      <w:pPr>
        <w:spacing w:after="100"/>
      </w:pPr>
      <w:r>
        <w:t xml:space="preserve">En 2025 Fluidra gestionó en EE. UU., a través de la CPSC, la retirada de unas 10.000 unidades de un reactivo de fosfatos sin envase a prueba de niños; en 2024 retiró 20.450 unidades en dos campañas, en ambos casos sin pérdidas por litigios [1]. Mantiene filiales en Rusia (AO Astral SNG) y la Universidad de Yale la incluyó en 2022 entre las empresas que seguían operando allí [1, 24]. No hemos encontrado sanciones ni litigios significativos en los últimos tres años en sus cuentas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dejarán los costes de reestructuración de ser recurrentes y cuánto se espera en 2027 y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mueve el valor un 7 %, y en 2024-2026 fueron de 29 a 56 M al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Robots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 hoy el negocio de robots propio y qué valor se le dará en la fase II de Aiper?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6 % de las ventas, está bajo presión china y se aportará a Aiper a cambio del 51 % sin precio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Canal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semanas de existencias tiene el canal en Norteamérica frente a 2019 y cuánto pesa Pool Corp en el volumen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21 % de las ventas va a un solo distribuidor y el desestocaje de 2022-2023 hundió las ventas un 14 %.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 que se vende en EE. UU. se fabrica fuera y qué arancel efectivo paga hoy?</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julio de 2025 los aranceles obligaron a recortar la guía y la acción cayó un 6,5 % ese día.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una recompra de solo 40 M si la acción cotiza a 8,4 veces el EBITDA y la empresa cree que vale mucho más?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un rendimiento del flujo libre del 8,3 %, recomprar crea más valor que comprar empresas pequeñas a 5-6,5 veces EBITDA con riesgo de integración.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revisarán las indemnizaciones del presidente ejecutivo (cuatro anualidades entre cese y no competencia) tras el 73 % de apoyo a la política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principal punto débil del gobierno y lo votarán de nuevo los inversores.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Rhône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Rhône Capital intención de vender su 11,7 % y cuándo vence el pacto de 2017?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acelerada presionaría el precio a corto plazo, aunque aumentaría el capital flotante.</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73 (31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11,7 % en 2033e frente al 13,0 %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21,5 % frente a 21,7 % real: genera una variación de circulante de 12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R² de 0,14 el crecimiento no explica los múltiplos de la muestra (la dispersión la explican el ROIC y la deuda de los fabricantes de agua); el valor de la regresión no se usa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34,5 %, asimetría de 4,42, bajista del -15,5 % y el precio descuenta 6,2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49, 50, 51, 60, 61, 62, 63, 64,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Detalle de la cuenta 2018-2023 (aprovisionamientos, impuestos, minoritarios, gastos financieros) y EBITDA ajustado 2018-2023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2018-2024 en la web de inversores: la web tiene antibot y las direcciones probadas de los PDF no existen; 2) Registro de información financiera de la CNMV: la consulta devuelve error; buscadores web sin resultados (límite agotado o bloqueo); 3) Proveedor de datos (Stock Analysis): solo 2021-2023 y sin ese detalle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2021-2023 con los totales del proveedor; 2018-2020 y el resto,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3T25 y 4T25 y semestres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de 9M25 y de resultados 2025: direcciones probadas no existen; 2) Transcripción de 2025: no da el desglose; 3) Proveedor de datos: sus ingresos trimestrales incluyen servicios y no coinciden con las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dan tres semestres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previo a cada publicación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la empresa: no lo citan; 2) Transcripciones: no lo citan; 3) Búsqueda web: límite agotado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Nivel actual del rating de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(IAGC): solo dice que se confirmó el 6-oct-2025; 2) Hecho relevante de 2018: BB en origen; 3) Búsqueda web: sin documento primario reciente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Variopool, Riaan e Hydrapro y múltiplos de cada compra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hechos posteriores del informe anual: no da el precio; 2) Nota de prensa y presentación del 1S26: no lo dan; 3) Transcripción del 1S26: solo un rango de 5-6,5x para las compras recientes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en valor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integrado 2025 de Fluidra: solo da el tamaño de 2025; 2) informes anuales de 2021-2024 de Fluidra: la web de inversores tiene antibot, Wayback Machine no respondía y la CNMV no lista los PDF; 3) búsqueda web de informes de mercado agotada en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construcción anual de piscinas en España (ASOFAP)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agregado de los cinco primeros países en gráfico; 2) presentación del primer semestre de 2026: misma serie agregada; 3) búsqueda web: solo aparecieron las cifras francesas de la FPP, que sí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Aiper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Fluidra: solo el umbral de 370 M USD de la fase II; 2) transcripción de resultados de 2025 y presentación del primer semestre: crecimiento y margen, sin cifra de ventas; 3) Aiper no cotiza ni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Maytronics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Maytronics (maytronics.com y ir.maytronics.com): sin PDF o sin conexión; 2) Wikipedia en inglés: sin artículo; 3) Stock Analysis con las cuentas de TASE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notificaciones de directivos de la CNMV por NIF (403 en todas las variantes); 2) ficha de la entidad en la CNMV (carga por JavaScript, sin enlaces); 3) búsqueda web y MarketScreener (búsquedas agotadas y página de operaciones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de la junta de 2026 y votos en contra de la política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da el 73 % a favor de la política y el resultado del informe de 2024); 2) otra información relevante de la CNMV (403 sin navegador); 3) web de Fluidra (antibot) y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 del pacto con Rhône (cláusula 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gobierno 2025 (remite a la web); 2) web de Fluidra, pactos parasociales (antibot);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 de guía 2020-2024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Presentaciones de resultados anuales en fluidra.com (direcciones no localizables, web con antibot); 2) noticias de MarketScreener (sin contenido útil); 3) búsqueda web (agotada)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compradas en la recompra de 40 M (cerrada el 18-sep-2026)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otra información relevante de la CNMV (HTTP 403 sin navegador); 2) noticias de MarketScreener del cierre de la recompra (texto de pago) y del anuncio (sin cifras); 3) estimación con el precio medio ponderado por volumen de Yahoo entre el 31-jul y el 17-sep (19,08 EUR): unos 2,10 M de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(la serie de revisiones es un gráfico sin datos en el HTML); 2) Stock Analysis (solo el año en curso y de pago el resto); 3) búsqueda web (sin servicio por límite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Integrado 2025 (incluye las cuentas anuales consolidadas auditadas de 2025 con notas, el informe de gestión, el IAGC y el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https://www.fluidra.com/wp-content/uploads/2026/03/3.-English_2025-Integrated-Anual-Report-ENG.pdf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prensa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https://www.fluidra.com/wp-content/uploads/2026/07/NP_H126_ENG_v6-final.pdf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https://www.fluidra.com/wp-content/uploads/2026/07/Q2-26-Eng_-vdef.pdf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https://www.fluidra.com/wp-content/uploads/2026/05/Q1-26-Eng_-vDEF.pdf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https://www.fluidra.com/wp-content/uploads/2026/05/Q1-2026-transcript.pdf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ejercicio 2025 (26-feb-2026)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https://www.fluidra.com/wp-content/uploads/2026/03/FDR_Transcript_FY2025.pdf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1S 2026 (30-jul-2026)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(LSEG StreetEvents)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https://www.fluidra.com/wp-content/uploads/2026/07/FDR-MAD_Transcript_2026-07-30.pdf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 FDR): cuenta de resultados, balance, flujos y segmentos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https://www.fluidra.com/wp-content/uploads/2025/07/NP_Fluidra-Resultados-S1_ES_DRAFT-vdef.pdf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 relevante: calificaciones crediticias preliminares de S&amp;P (BB) y Moody's (Ba3), 15-feb-2018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https://www.fluidra.com/wp-content/uploads/2025/01/Preliminary-credit-ratings-of-Fluidra.pdf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confirma el rating Ba2 de Fluidra y eleva la perspectiva a positiva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https://thecorner.eu/companies/moodys-confirms-fluidras-long-term-corporate-family-rating-cfr-at-ba2-and-upgrades-outlook-from-stable-to-positive/124669/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https://www.sec.gov/Archives/edgar/data/945841/000119312526074833/pool-20251231.htm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https://www.sec.gov/Archives/edgar/data/945841/000094584125000032/pool-20241231.htm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https://www.sec.gov/Archives/edgar/data/945841/000094584124000021/pool-20231231.htm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https://www.sec.gov/Archives/edgar/data/945841/000094584123000015/pool-20221231.htm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https://www.sec.gov/Archives/edgar/data/945841/000094584122000023/pool-20211231.htm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https://www.sec.gov/Archives/edgar/data/945841/000094584121000022/pool-20201231.htm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https://www.sec.gov/Archives/edgar/data/1834622/000183462226000008/hayw-20251231.htm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plc,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https://www.sec.gov/Archives/edgar/data/77360/000007736026000007/pnr-20251231.htm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datos XBRL de los 10-K (ventas y resultado de explotación 2008-2025)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https://data.sec.gov/api/xbrl/companyfacts/CIK0000945841.json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datos XBRL de los 10-K (ventas y resultado de explotación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https://data.sec.gov/api/xbrl/companyfacts/CIK0001834622.json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Maytronics Ltd. (TASE: MTRN), cuenta de resultados 2021-2025 y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https://stockanalysis.com/quote/tlv/MTRN/financials/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1,1750 e ILS 3,7471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(artículo de enciclopedia con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https://en.wikipedia.org/wiki/Fluidra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2007 (primer informe anual como sociedad cotizada, con la historia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https://www.fluidra.com/wp-content/uploads/2025/01/Annual-Report-2007.pdf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vende Aquatron para cumplir con Bruselas en su fusión con Zodiac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https://www.bolsamania.com/noticias/empresas/fluidra-vende-filial-aquatron-cumplir-condiciones-bruselas-fusion-zodiac--3586610.html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impacto de los aranceles castiga a Fluidra en bolsa a pesar de elevar un 21 % los beneficios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https://es.ara.cat/economia/industria/impacto-aranceles-castiga-fluidra-bolsa-pesar-elevar-21-beneficios_1_5460241.html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FPP revient sur le marché de la piscine 2024 et ses perspectives 2025 (rueda de prensa de la FPP)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https://www.guide-piscine.fr/pro/marche-de-la-piscine/etudes-de-marche-piscine-et-bain/la-fpp-revient-sur-le-marche-de-la-piscine-2024-et-ses-perspectives-2025-5928_H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Piscine à la maison : le grand retour des bassins privés (datos de la FPP de 2025 y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MySweetimmo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https://www.mysweetimmo.com/2026/05/08/piscine-a-la-maison-le-grand-retour-des-bassins-prives/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chiffres : le marché de la piscine (datos de la FPP de 2022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Guide-Piscine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https://www.guide-piscine.fr/pro/marche-de-la-piscine/etudes-de-marche-piscine-et-bain/en-chiffres-le-marche-de-la-piscine-en-2024-5286_H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Swimming Pool Equipment Market 2026-2035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Spherical Insights &amp; Consulting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https://www.sphericalinsights.com/blogs/top-15-companies-in-global-swimming-pool-equipment-market-2026-2035-expert-view-by-spherical-insights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Pool Market Research Report 2025-2030 (resumen público del estudio)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Arizton Advisory &amp;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https://www.arizton.com/market-reports/pool-market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(formulario CNMV, registrado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https://www.cnmv.es/webservices/verdocumento/ver?e=48H0ghu5pdctx0Q8%2bdrxgK%2bwn3CYnJh51wR%2fyLeyFg8DAeVNxCRAwLPil3Xzyzk3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(registrado en la CNMV el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https://www.cnmv.es/webservices/verdocumento/ver?e=9ni3E5AnemriQX6q1qwSSAIus2yxpVy0aj1YinqSLXSdH%2f%2fkEpqk5KB8quWhzhTh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2024 (registrado en la CNMV el 27-mar-2025)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https://www.cnmv.es/webservices/verdocumento/ver?e=v0R1vr%2bMrkzITyu%2f%2fxR6Q%2bdorm3bDKzETYWqa4egEVGdH%2f%2fkEpqk5KB8quWhzhTh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netas: Fluidra, 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accionistas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https://www.marketscreener.com/quote/stock/FLUIDRA-S-A-365952/company-shareholders/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y dividendos de FDR.MC, ^IBEX, ^STOXX, EXSA.DE, EXH4.DE, POOL, HAYW, PNR y ^GSPC hasta 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https://finance.yahoo.com/quote/FDR.MC/history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de vencimiento residual (serie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previsiones financieras (cuenta de resultados, flujos y ratios estimados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(BME:FDR): previsiones y recomendaciones de analistas (datos de S&amp;P Global y TipRanks)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https://stockanalysis.com/quote/bme/FDR/forecast/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Completes EUR40 Million Stock Buyback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MT Newswires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https://www.marketscreener.com/news/fluidra-completes-eur40-million-stock-buyback-plan-ce785adad981f626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announces an Equity Buyback for 40 million worth of its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Capital IQ en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https://www.marketscreener.com/news/fluidra-s-a-announces-an-equity-buyback-for-40-million-worth-of-its-shares-ce7f50dadd89ff2c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Otra información relevante: operaciones del contrato de liquidez,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https://www.fluidra.com/wp-content/uploads/2026/07/Fluidra-OIR-Info-Trimestral-ct-liquidez-ENG.pdf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ILS),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https://data-api.ecb.europa.eu/service/data/EXR/D.USD+ILS+CHF.EUR.SP00.A?startPeriod=2026-09-25&amp;format=csvdata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Curva de tipos AAA del área euro,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https://data-api.ecb.europa.eu/service/data/YC/B.U2.EUR.4F.G_N_A.SV_C_YM.SR_10Y?format=csvdata&amp;startPeriod=2026-09-20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(POOL):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https://stockanalysis.com/stocks/pool/statistics/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(HAYW):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https://stockanalysis.com/stocks/hayw/statistics/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Pool Corporation: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https://www.marketscreener.com/quote/stock/POOL-CORPORATION-10514/finances/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https://www.marketscreener.com/quote/stock/HAYWARD-HOLDINGS-INC-119962176/finances/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https://www.marketscreener.com/quote/stock/PENTAIR-PLC-16656327/finances/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https://www.marketscreener.com/quote/stock/A-O-SMITH-CORPORATION-40311155/finances/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Technologies: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https://www.marketscreener.com/quote/stock/WATTS-WATER-TECHNOLOGIES--14922/finances/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Water Solutions: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https://www.marketscreener.com/quote/stock/ZURN-ELKAY-WATER-SOLUTION-10314844/finances/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https://www.marketscreener.com/quote/stock/GEBERIT-AG-9365160/finances/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previsiones financieras y datos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https://www.marketscreener.com/quote/stock/AALBERTS-NV-6371/finances/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(PNR):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https://stockanalysis.com/stocks/pnr/statistics/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O. Smith (AOS):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Watts Water (WTS):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https://stockanalysis.com/stocks/wts/statistics/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Elkay (ZWS):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https://stockanalysis.com/stocks/zws/statistics/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Geberit (SWX:GEBN):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https://stockanalysis.com/quote/swx/GEBN/statistics/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Aalberts (AMS:AALB): estadísticas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https://stockanalysis.com/quote/ams/AALB/statistics/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To Acquire Evoqua in $7.5 Billion All-Stock Transaction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Xylem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https://www.sec.gov/Archives/edgar/data/1524472/000119312523012563/d441004dex991.htm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resultados del cuarto trimestre y del ejercicio fiscal 2022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Evoqua Water Technologies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https://www.sec.gov/Archives/edgar/data/1604643/000160464322000122/q4fy22exhibit991.htm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to acquire Manitowoc Ice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Pentair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https://www.sec.gov/Archives/edgar/data/77360/000007736022000008/exhibit991manitowocdefinit.htm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and Elkay to combine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Zurn Water Solutions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https://www.sec.gov/Archives/edgar/data/1439288/000110465922021717/tm226396d2_ex99-1.htm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Acquires ChlorKing (EX-99.1)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Hayward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https://www.sec.gov/Archives/edgar/data/1834622/000183462224000081/chlorkingex991pressrelease.htm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dólar/euro, serie diaria desde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https://data-api.ecb.europa.eu/service/data/EXR/D.USD.EUR.SP00.A?startPeriod=2021-01-01&amp;format=csvdata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Notificaciones de posiciones cortas: Fluidra, S.A. (NIF A-17728593)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https://www.cnmv.es/Portal/Consultas/EE/PosicionesCortas.aspx?nif=A17728593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Fluidra, S.A. - calendario de eventos (resultados del 3T 2026 el 29-oct-2026)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https://www.marketscreener.com/quote/stock/FLUIDRA-S-A-365952/calendar/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86,9 %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Bolsa de Madrid (FDR), única. Cuentas de 2024 y 2025 de las cuentas anuales consolidadas auditadas; 2021-2023 de un proveedor de datos (Stock Analysis), sin desglose de aprovisionamientos, impuestos ni EBITDA ajustado; 2018-2020 no se recogen porque los informes anuales antiguos no se pudieron descargar (la web de inversores tiene antibot). El EBITDA de la cuenta es el reportado NIIF; el de los trimestres y el del consenso, el ajustado de la compañía (sin reestructuración, M&amp;A, integración ni remuneración en acciones); el motor resta del consenso un 2,2 % de ventas para que los múltiplos de los próximos 12 meses midan lo mismo que los de los últimos 12. Los trimestres mezclan trimestres (1T y 2T) y el segundo semestre de 2025, porque Fluidra no publica el tercer y el cuarto trimestre por separado en los documentos obtenidos. Acciones en circulación (187,8 M) estimadas tras la recompra de 40 M terminada el 18-sep-2026, con el precio medio ponderado del periodo. Comparables convertidos al euro con el tipo del BCE del 8-oct-2026.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Fluidra, S.A. (FDR)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EMEA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1139.8</c:v>
                </c:pt>
                <c:pt idx="1">
                  <c:v>1166</c:v>
                </c:pt>
                <c:pt idx="2">
                  <c:v>1009.2</c:v>
                </c:pt>
                <c:pt idx="3">
                  <c:v>1009.3</c:v>
                </c:pt>
                <c:pt idx="4">
                  <c:v>1059.9</c:v>
                </c:pt>
              </c:numCache>
            </c:numRef>
          </c:val>
        </c:ser>
        <c:ser>
          <c:idx val="1"/>
          <c:order val="1"/>
          <c:tx>
            <c:strRef>
              <c:f>Hoja1!$C$1</c:f>
              <c:strCache>
                <c:ptCount val="1"/>
                <c:pt idx="0">
                  <c:v>Norteamérica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881.6</c:v>
                </c:pt>
                <c:pt idx="1">
                  <c:v>1037.2</c:v>
                </c:pt>
                <c:pt idx="2">
                  <c:v>857</c:v>
                </c:pt>
                <c:pt idx="3">
                  <c:v>925.4</c:v>
                </c:pt>
                <c:pt idx="4">
                  <c:v>947.7</c:v>
                </c:pt>
              </c:numCache>
            </c:numRef>
          </c:val>
        </c:ser>
        <c:ser>
          <c:idx val="2"/>
          <c:order val="2"/>
          <c:tx>
            <c:strRef>
              <c:f>Hoja1!$D$1</c:f>
              <c:strCache>
                <c:ptCount val="1"/>
                <c:pt idx="0">
                  <c:v>APAC</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204.7</c:v>
                </c:pt>
                <c:pt idx="1">
                  <c:v>238.8</c:v>
                </c:pt>
                <c:pt idx="2">
                  <c:v>212.4</c:v>
                </c:pt>
                <c:pt idx="3">
                  <c:v>211.9</c:v>
                </c:pt>
                <c:pt idx="4">
                  <c:v>208.6</c:v>
                </c:pt>
              </c:numCache>
            </c:numRef>
          </c:val>
        </c:ser>
        <c:ser>
          <c:idx val="3"/>
          <c:order val="3"/>
          <c:tx>
            <c:strRef>
              <c:f>Hoja1!$E$1</c:f>
              <c:strCache>
                <c:ptCount val="1"/>
                <c:pt idx="0">
                  <c:v>Operaciones</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559.2</c:v>
                </c:pt>
                <c:pt idx="1">
                  <c:v>548.4</c:v>
                </c:pt>
                <c:pt idx="2">
                  <c:v>471.2</c:v>
                </c:pt>
                <c:pt idx="3">
                  <c:v>477.1</c:v>
                </c:pt>
                <c:pt idx="4">
                  <c:v>508.9</c:v>
                </c:pt>
              </c:numCache>
            </c:numRef>
          </c:val>
        </c:ser>
        <c:ser>
          <c:idx val="4"/>
          <c:order val="4"/>
          <c:tx>
            <c:strRef>
              <c:f>Hoja1!$F$1</c:f>
              <c:strCache>
                <c:ptCount val="1"/>
                <c:pt idx="0">
                  <c:v>Eliminaciones y servicios compartidos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-598.3</c:v>
                </c:pt>
                <c:pt idx="1">
                  <c:v>-603.1</c:v>
                </c:pt>
                <c:pt idx="2">
                  <c:v>-499.1</c:v>
                </c:pt>
                <c:pt idx="3">
                  <c:v>-522.1</c:v>
                </c:pt>
                <c:pt idx="4">
                  <c:v>-541.5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EMEA</c:v>
                </c:pt>
                <c:pt idx="1">
                  <c:v>Norteamérica</c:v>
                </c:pt>
                <c:pt idx="2">
                  <c:v>APAC</c:v>
                </c:pt>
                <c:pt idx="3">
                  <c:v>Operaciones</c:v>
                </c:pt>
                <c:pt idx="4">
                  <c:v>Eliminaciones y servicios compartidos</c:v>
                </c:pt>
              </c:strCache>
            </c:strRef>
          </c:cat>
          <c:val>
            <c:numRef>
              <c:f>Hoja1!$B$2:$B$6</c:f>
              <c:numCache>
                <c:formatCode>General</c:formatCode>
                <c:ptCount val="5"/>
                <c:pt idx="0">
                  <c:v>48.5</c:v>
                </c:pt>
                <c:pt idx="1">
                  <c:v>43.4</c:v>
                </c:pt>
                <c:pt idx="2">
                  <c:v>9.6</c:v>
                </c:pt>
                <c:pt idx="3">
                  <c:v>23.3</c:v>
                </c:pt>
                <c:pt idx="4">
                  <c:v>-24.8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Sur de Europa</c:v>
                </c:pt>
                <c:pt idx="2">
                  <c:v>Resto de Europa</c:v>
                </c:pt>
                <c:pt idx="3">
                  <c:v>Resto del mundo</c:v>
                </c:pt>
              </c:strCache>
            </c:strRef>
          </c:cat>
          <c:val>
            <c:numRef>
              <c:f>Hoja1!$B$2:$B$5</c:f>
              <c:numCache>
                <c:formatCode>0"%"</c:formatCode>
                <c:ptCount val="4"/>
                <c:pt idx="0">
                  <c:v>43.9</c:v>
                </c:pt>
                <c:pt idx="1">
                  <c:v>26.2</c:v>
                </c:pt>
                <c:pt idx="2">
                  <c:v>13.2</c:v>
                </c:pt>
                <c:pt idx="3">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2026e-2028e, estimación propia con el crecimiento de mercado del 4-6 % anual que espera Fluidra (punto medio, 5 %))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2025</c:v>
                </c:pt>
                <c:pt idx="1">
                  <c:v>2026e</c:v>
                </c:pt>
                <c:pt idx="2">
                  <c:v>2027e</c:v>
                </c:pt>
                <c:pt idx="3">
                  <c:v>2028e</c:v>
                </c:pt>
              </c:strCache>
            </c:strRef>
          </c:cat>
          <c:val>
            <c:numRef>
              <c:f>Hoja1!$B$2:$B$5</c:f>
              <c:numCache>
                <c:formatCode>#,##0</c:formatCode>
                <c:ptCount val="4"/>
                <c:pt idx="0">
                  <c:v>17400</c:v>
                </c:pt>
                <c:pt idx="1">
                  <c:v>18270</c:v>
                </c:pt>
                <c:pt idx="2">
                  <c:v>19184</c:v>
                </c:pt>
                <c:pt idx="3">
                  <c:v>20143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Fluidra</c:v>
                </c:pt>
                <c:pt idx="1">
                  <c:v>Pentair (segmento Pool)</c:v>
                </c:pt>
                <c:pt idx="2">
                  <c:v>Hayward Holdings</c:v>
                </c:pt>
                <c:pt idx="3">
                  <c:v>Pool Corporation (POOLCORP)</c:v>
                </c:pt>
                <c:pt idx="4">
                  <c:v>Maytronics</c:v>
                </c:pt>
                <c:pt idx="5">
                  <c:v>Aiper</c:v>
                </c:pt>
              </c:strCache>
            </c:strRef>
          </c:cat>
          <c:val>
            <c:numRef>
              <c:f>Hoja1!$B$2:$B$7</c:f>
              <c:numCache>
                <c:formatCode>0.0"%"</c:formatCode>
                <c:ptCount val="6"/>
                <c:pt idx="0">
                  <c:v>14.2</c:v>
                </c:pt>
                <c:pt idx="1">
                  <c:v>33.8</c:v>
                </c:pt>
                <c:pt idx="2">
                  <c:v>20.8</c:v>
                </c:pt>
                <c:pt idx="3">
                  <c:v>11</c:v>
                </c:pt>
                <c:pt idx="4">
                  <c:v>-3.6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2186.9</c:v>
                </c:pt>
                <c:pt idx="1">
                  <c:v>2389.2</c:v>
                </c:pt>
                <c:pt idx="2">
                  <c:v>2050.7</c:v>
                </c:pt>
                <c:pt idx="3">
                  <c:v>2101.6</c:v>
                </c:pt>
                <c:pt idx="4">
                  <c:v>2183.7</c:v>
                </c:pt>
                <c:pt idx="5">
                  <c:v>2260</c:v>
                </c:pt>
                <c:pt idx="6">
                  <c:v>2362</c:v>
                </c:pt>
                <c:pt idx="7">
                  <c:v>2480</c:v>
                </c:pt>
                <c:pt idx="8">
                  <c:v>2604</c:v>
                </c:pt>
                <c:pt idx="9">
                  <c:v>2721</c:v>
                </c:pt>
                <c:pt idx="10">
                  <c:v>2830</c:v>
                </c:pt>
                <c:pt idx="11">
                  <c:v>2929</c:v>
                </c:pt>
                <c:pt idx="12">
                  <c:v>3017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508.1</c:v>
                </c:pt>
                <c:pt idx="1">
                  <c:v>477.9</c:v>
                </c:pt>
                <c:pt idx="2">
                  <c:v>393.5</c:v>
                </c:pt>
                <c:pt idx="3">
                  <c:v>420.9</c:v>
                </c:pt>
                <c:pt idx="4">
                  <c:v>472.4</c:v>
                </c:pt>
                <c:pt idx="5">
                  <c:v>479</c:v>
                </c:pt>
                <c:pt idx="6">
                  <c:v>527</c:v>
                </c:pt>
                <c:pt idx="7">
                  <c:v>570</c:v>
                </c:pt>
                <c:pt idx="8">
                  <c:v>609</c:v>
                </c:pt>
                <c:pt idx="9">
                  <c:v>639</c:v>
                </c:pt>
                <c:pt idx="10">
                  <c:v>665</c:v>
                </c:pt>
                <c:pt idx="11">
                  <c:v>688</c:v>
                </c:pt>
                <c:pt idx="12">
                  <c:v>709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56.6</c:v>
                </c:pt>
                <c:pt idx="4">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23.2</c:v>
                </c:pt>
                <c:pt idx="1">
                  <c:v>20</c:v>
                </c:pt>
                <c:pt idx="2">
                  <c:v>19.2</c:v>
                </c:pt>
                <c:pt idx="3">
                  <c:v>20</c:v>
                </c:pt>
                <c:pt idx="4">
                  <c:v>21.6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17.5</c:v>
                </c:pt>
                <c:pt idx="1">
                  <c:v>13.1</c:v>
                </c:pt>
                <c:pt idx="2">
                  <c:v>11.5</c:v>
                </c:pt>
                <c:pt idx="3">
                  <c:v>12.4</c:v>
                </c:pt>
                <c:pt idx="4">
                  <c:v>14.2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11.5</c:v>
                </c:pt>
                <c:pt idx="1">
                  <c:v>6.7</c:v>
                </c:pt>
                <c:pt idx="2">
                  <c:v>5.5</c:v>
                </c:pt>
                <c:pt idx="3">
                  <c:v>6.6</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1T25</c:v>
                </c:pt>
                <c:pt idx="1">
                  <c:v>2T25</c:v>
                </c:pt>
                <c:pt idx="2">
                  <c:v>2S25</c:v>
                </c:pt>
                <c:pt idx="3">
                  <c:v>1T26</c:v>
                </c:pt>
                <c:pt idx="4">
                  <c:v>2T26</c:v>
                </c:pt>
              </c:strCache>
            </c:strRef>
          </c:cat>
          <c:val>
            <c:numRef>
              <c:f>Hoja1!$B$2:$B$6</c:f>
              <c:numCache>
                <c:formatCode>0.0"%"</c:formatCode>
                <c:ptCount val="5"/>
                <c:pt idx="3">
                  <c:v>0</c:v>
                </c:pt>
                <c:pt idx="4">
                  <c:v>4.7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1T25</c:v>
                </c:pt>
                <c:pt idx="1">
                  <c:v>2T25</c:v>
                </c:pt>
                <c:pt idx="2">
                  <c:v>2S25</c:v>
                </c:pt>
                <c:pt idx="3">
                  <c:v>1T26</c:v>
                </c:pt>
                <c:pt idx="4">
                  <c:v>2T26</c:v>
                </c:pt>
              </c:strCache>
            </c:strRef>
          </c:cat>
          <c:val>
            <c:numRef>
              <c:f>Hoja1!$C$2:$C$6</c:f>
              <c:numCache>
                <c:formatCode>0.0"%"</c:formatCode>
                <c:ptCount val="5"/>
                <c:pt idx="3">
                  <c:v>5.4</c:v>
                </c:pt>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43</c:v>
                </c:pt>
                <c:pt idx="1">
                  <c:v>44</c:v>
                </c:pt>
                <c:pt idx="2">
                  <c:v>49</c:v>
                </c:pt>
                <c:pt idx="3">
                  <c:v>51</c:v>
                </c:pt>
                <c:pt idx="4">
                  <c:v>44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108</c:v>
                </c:pt>
                <c:pt idx="1">
                  <c:v>114</c:v>
                </c:pt>
                <c:pt idx="2">
                  <c:v>94</c:v>
                </c:pt>
                <c:pt idx="3">
                  <c:v>101</c:v>
                </c:pt>
                <c:pt idx="4">
                  <c:v>93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63</c:v>
                </c:pt>
                <c:pt idx="1">
                  <c:v>40</c:v>
                </c:pt>
                <c:pt idx="2">
                  <c:v>46</c:v>
                </c:pt>
                <c:pt idx="3">
                  <c:v>58</c:v>
                </c:pt>
                <c:pt idx="4">
                  <c:v>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245.50000000000006</c:v>
                </c:pt>
                <c:pt idx="1">
                  <c:v>9.599999999999994</c:v>
                </c:pt>
                <c:pt idx="2">
                  <c:v>325.29999999999995</c:v>
                </c:pt>
                <c:pt idx="3">
                  <c:v>193.60000000000002</c:v>
                </c:pt>
                <c:pt idx="4">
                  <c:v>222.9</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252.4</c:v>
                </c:pt>
                <c:pt idx="1">
                  <c:v>159.9</c:v>
                </c:pt>
                <c:pt idx="2">
                  <c:v>113.8</c:v>
                </c:pt>
                <c:pt idx="3">
                  <c:v>138.1</c:v>
                </c:pt>
                <c:pt idx="4">
                  <c:v>176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10.6</c:v>
                </c:pt>
                <c:pt idx="1">
                  <c:v>8.1</c:v>
                </c:pt>
                <c:pt idx="2">
                  <c:v>6</c:v>
                </c:pt>
                <c:pt idx="3">
                  <c:v>6.8</c:v>
                </c:pt>
                <c:pt idx="4">
                  <c:v>8.3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15.6</c:v>
                </c:pt>
                <c:pt idx="1">
                  <c:v>9.7</c:v>
                </c:pt>
                <c:pt idx="2">
                  <c:v>7</c:v>
                </c:pt>
                <c:pt idx="3">
                  <c:v>8.6</c:v>
                </c:pt>
                <c:pt idx="4">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2.14</c:v>
                </c:pt>
                <c:pt idx="1">
                  <c:v>2.9</c:v>
                </c:pt>
                <c:pt idx="2">
                  <c:v>3.09</c:v>
                </c:pt>
                <c:pt idx="3">
                  <c:v>2.75</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10.2</c:v>
                </c:pt>
                <c:pt idx="1">
                  <c:v>9.6</c:v>
                </c:pt>
                <c:pt idx="2">
                  <c:v>9.7</c:v>
                </c:pt>
                <c:pt idx="3">
                  <c:v>1012.1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435.8</c:v>
                </c:pt>
                <c:pt idx="1">
                  <c:v>26.6</c:v>
                </c:pt>
                <c:pt idx="2">
                  <c:v>34.2</c:v>
                </c:pt>
                <c:pt idx="3">
                  <c:v>5.7</c:v>
                </c:pt>
                <c:pt idx="4">
                  <c:v>116.5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75.9</c:v>
                </c:pt>
                <c:pt idx="1">
                  <c:v>159.9</c:v>
                </c:pt>
                <c:pt idx="2">
                  <c:v>132.9</c:v>
                </c:pt>
                <c:pt idx="3">
                  <c:v>107.7</c:v>
                </c:pt>
                <c:pt idx="4">
                  <c:v>116.7</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86.1</c:v>
                </c:pt>
                <c:pt idx="1">
                  <c:v>59.8</c:v>
                </c:pt>
                <c:pt idx="2">
                  <c:v>0.4</c:v>
                </c:pt>
                <c:pt idx="3">
                  <c:v>0</c:v>
                </c:pt>
                <c:pt idx="4">
                  <c:v>0.3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2</c:v>
                </c:pt>
                <c:pt idx="1">
                  <c:v>6</c:v>
                </c:pt>
                <c:pt idx="2">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ADBE Partners, S.L. (familias fundadoras Planes, Serra, Garrigós y Corbera)</c:v>
                </c:pt>
                <c:pt idx="1">
                  <c:v>Rhône Capital (Piscine Luxembourg Holdings 1)</c:v>
                </c:pt>
                <c:pt idx="2">
                  <c:v>Manuel Puig Rocha (Schwarzsee 2018) y G3T, S.L.</c:v>
                </c:pt>
                <c:pt idx="3">
                  <c:v>Wellington Management Group</c:v>
                </c:pt>
                <c:pt idx="4">
                  <c:v>Fidelity International</c:v>
                </c:pt>
                <c:pt idx="5">
                  <c:v>Autocartera</c:v>
                </c:pt>
              </c:strCache>
            </c:strRef>
          </c:cat>
          <c:val>
            <c:numRef>
              <c:f>Hoja1!$B$2:$B$7</c:f>
              <c:numCache>
                <c:formatCode>0.0"%"</c:formatCode>
                <c:ptCount val="6"/>
                <c:pt idx="0">
                  <c:v>28.35</c:v>
                </c:pt>
                <c:pt idx="1">
                  <c:v>11.67</c:v>
                </c:pt>
                <c:pt idx="2">
                  <c:v>14.58</c:v>
                </c:pt>
                <c:pt idx="3">
                  <c:v>3.3</c:v>
                </c:pt>
                <c:pt idx="4">
                  <c:v>1.03</c:v>
                </c:pt>
                <c:pt idx="5">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c:v>
                </c:pt>
                <c:pt idx="1">
                  <c:v>173.4</c:v>
                </c:pt>
                <c:pt idx="2">
                  <c:v>-17.1</c:v>
                </c:pt>
                <c:pt idx="3">
                  <c:v>24.6</c:v>
                </c:pt>
                <c:pt idx="4">
                  <c:v>71.7</c:v>
                </c:pt>
                <c:pt idx="5">
                  <c:v>68</c:v>
                </c:pt>
                <c:pt idx="6">
                  <c:v>-58.7</c:v>
                </c:pt>
                <c:pt idx="7">
                  <c:v>29.8</c:v>
                </c:pt>
                <c:pt idx="8">
                  <c:v>24.8</c:v>
                </c:pt>
                <c:pt idx="9">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c:v>
                </c:pt>
                <c:pt idx="1">
                  <c:v>7.4</c:v>
                </c:pt>
                <c:pt idx="2">
                  <c:v>-15</c:v>
                </c:pt>
                <c:pt idx="3">
                  <c:v>11.8</c:v>
                </c:pt>
                <c:pt idx="4">
                  <c:v>-15.5</c:v>
                </c:pt>
                <c:pt idx="5">
                  <c:v>7.9</c:v>
                </c:pt>
                <c:pt idx="6">
                  <c:v>-5.6</c:v>
                </c:pt>
                <c:pt idx="7">
                  <c:v>22.8</c:v>
                </c:pt>
                <c:pt idx="8">
                  <c:v>14.8</c:v>
                </c:pt>
                <c:pt idx="9">
                  <c:v>49.3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15.4</c:v>
                </c:pt>
                <c:pt idx="6">
                  <c:v>8.6</c:v>
                </c:pt>
                <c:pt idx="7">
                  <c:v>12.2</c:v>
                </c:pt>
                <c:pt idx="8">
                  <c:v>13.4</c:v>
                </c:pt>
                <c:pt idx="9">
                  <c:v>11.7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12.2</c:v>
                </c:pt>
                <c:pt idx="1">
                  <c:v>12.2</c:v>
                </c:pt>
                <c:pt idx="2">
                  <c:v>12.2</c:v>
                </c:pt>
                <c:pt idx="3">
                  <c:v>12.2</c:v>
                </c:pt>
                <c:pt idx="4">
                  <c:v>12.2</c:v>
                </c:pt>
                <c:pt idx="5">
                  <c:v>12.2</c:v>
                </c:pt>
                <c:pt idx="6">
                  <c:v>12.2</c:v>
                </c:pt>
                <c:pt idx="7">
                  <c:v>12.2</c:v>
                </c:pt>
                <c:pt idx="8">
                  <c:v>12.2</c:v>
                </c:pt>
                <c:pt idx="9">
                  <c:v>12.2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Fluidra</c:v>
                </c:pt>
                <c:pt idx="1">
                  <c:v>Pool Corp</c:v>
                </c:pt>
                <c:pt idx="2">
                  <c:v>Hayward</c:v>
                </c:pt>
                <c:pt idx="3">
                  <c:v>Pentair</c:v>
                </c:pt>
                <c:pt idx="4">
                  <c:v>A. O. Smith</c:v>
                </c:pt>
                <c:pt idx="5">
                  <c:v>Watts Water</c:v>
                </c:pt>
                <c:pt idx="6">
                  <c:v>Zurn Elkay</c:v>
                </c:pt>
                <c:pt idx="7">
                  <c:v>Geberit</c:v>
                </c:pt>
                <c:pt idx="8">
                  <c:v>Aalberts</c:v>
                </c:pt>
              </c:strCache>
            </c:strRef>
          </c:cat>
          <c:val>
            <c:numRef>
              <c:f>Hoja1!$B$2:$B$10</c:f>
              <c:numCache>
                <c:formatCode>0.0"x"</c:formatCode>
                <c:ptCount val="9"/>
                <c:pt idx="0">
                  <c:v>8.4</c:v>
                </c:pt>
                <c:pt idx="1">
                  <c:v>10</c:v>
                </c:pt>
                <c:pt idx="2">
                  <c:v>8.9</c:v>
                </c:pt>
                <c:pt idx="3">
                  <c:v>8.7</c:v>
                </c:pt>
                <c:pt idx="4">
                  <c:v>9.1</c:v>
                </c:pt>
                <c:pt idx="5">
                  <c:v>16.7</c:v>
                </c:pt>
                <c:pt idx="6">
                  <c:v>14.5</c:v>
                </c:pt>
                <c:pt idx="7">
                  <c:v>17.4</c:v>
                </c:pt>
                <c:pt idx="8">
                  <c:v>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Fluidra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5.2</c:v>
                </c:pt>
              </c:numCache>
            </c:numRef>
          </c:xVal>
          <c:yVal>
            <c:numRef>
              <c:f>Hoja1!$C$2</c:f>
              <c:numCache>
                <c:formatCode>0.0"x"</c:formatCode>
                <c:ptCount val="1"/>
                <c:pt idx="0">
                  <c:v>8.4</c:v>
                </c:pt>
              </c:numCache>
            </c:numRef>
          </c:yVal>
          <c:smooth val="0"/>
        </c:ser>
        <c:ser>
          <c:idx val="1"/>
          <c:order val="1"/>
          <c:tx>
            <c:strRef>
              <c:f>Hoja1!$A$3</c:f>
              <c:strCache>
                <c:ptCount val="1"/>
                <c:pt idx="0">
                  <c:v>Pool Corp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3.1</c:v>
                </c:pt>
              </c:numCache>
            </c:numRef>
          </c:xVal>
          <c:yVal>
            <c:numRef>
              <c:f>Hoja1!$C$3</c:f>
              <c:numCache>
                <c:formatCode>0.0"x"</c:formatCode>
                <c:ptCount val="1"/>
                <c:pt idx="0">
                  <c:v>10</c:v>
                </c:pt>
              </c:numCache>
            </c:numRef>
          </c:yVal>
          <c:smooth val="0"/>
        </c:ser>
        <c:ser>
          <c:idx val="2"/>
          <c:order val="2"/>
          <c:tx>
            <c:strRef>
              <c:f>Hoja1!$A$4</c:f>
              <c:strCache>
                <c:ptCount val="1"/>
                <c:pt idx="0">
                  <c:v>Hayward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5.3</c:v>
                </c:pt>
              </c:numCache>
            </c:numRef>
          </c:xVal>
          <c:yVal>
            <c:numRef>
              <c:f>Hoja1!$C$4</c:f>
              <c:numCache>
                <c:formatCode>0.0"x"</c:formatCode>
                <c:ptCount val="1"/>
                <c:pt idx="0">
                  <c:v>8.9</c:v>
                </c:pt>
              </c:numCache>
            </c:numRef>
          </c:yVal>
          <c:smooth val="0"/>
        </c:ser>
        <c:ser>
          <c:idx val="3"/>
          <c:order val="3"/>
          <c:tx>
            <c:strRef>
              <c:f>Hoja1!$A$5</c:f>
              <c:strCache>
                <c:ptCount val="1"/>
                <c:pt idx="0">
                  <c:v>Pentair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9.4</c:v>
                </c:pt>
              </c:numCache>
            </c:numRef>
          </c:xVal>
          <c:yVal>
            <c:numRef>
              <c:f>Hoja1!$C$5</c:f>
              <c:numCache>
                <c:formatCode>0.0"x"</c:formatCode>
                <c:ptCount val="1"/>
                <c:pt idx="0">
                  <c:v>8.7</c:v>
                </c:pt>
              </c:numCache>
            </c:numRef>
          </c:yVal>
          <c:smooth val="0"/>
        </c:ser>
        <c:ser>
          <c:idx val="4"/>
          <c:order val="4"/>
          <c:tx>
            <c:strRef>
              <c:f>Hoja1!$A$6</c:f>
              <c:strCache>
                <c:ptCount val="1"/>
                <c:pt idx="0">
                  <c:v>A. O. Smith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3.1</c:v>
                </c:pt>
              </c:numCache>
            </c:numRef>
          </c:xVal>
          <c:yVal>
            <c:numRef>
              <c:f>Hoja1!$C$6</c:f>
              <c:numCache>
                <c:formatCode>0.0"x"</c:formatCode>
                <c:ptCount val="1"/>
                <c:pt idx="0">
                  <c:v>9.1</c:v>
                </c:pt>
              </c:numCache>
            </c:numRef>
          </c:yVal>
          <c:smooth val="0"/>
        </c:ser>
        <c:ser>
          <c:idx val="5"/>
          <c:order val="5"/>
          <c:tx>
            <c:strRef>
              <c:f>Hoja1!$A$7</c:f>
              <c:strCache>
                <c:ptCount val="1"/>
                <c:pt idx="0">
                  <c:v>Watts Water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9.6</c:v>
                </c:pt>
              </c:numCache>
            </c:numRef>
          </c:xVal>
          <c:yVal>
            <c:numRef>
              <c:f>Hoja1!$C$7</c:f>
              <c:numCache>
                <c:formatCode>0.0"x"</c:formatCode>
                <c:ptCount val="1"/>
                <c:pt idx="0">
                  <c:v>16.7</c:v>
                </c:pt>
              </c:numCache>
            </c:numRef>
          </c:yVal>
          <c:smooth val="0"/>
        </c:ser>
        <c:ser>
          <c:idx val="6"/>
          <c:order val="6"/>
          <c:tx>
            <c:strRef>
              <c:f>Hoja1!$A$8</c:f>
              <c:strCache>
                <c:ptCount val="1"/>
                <c:pt idx="0">
                  <c:v>Zurn Elkay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7.4</c:v>
                </c:pt>
              </c:numCache>
            </c:numRef>
          </c:xVal>
          <c:yVal>
            <c:numRef>
              <c:f>Hoja1!$C$8</c:f>
              <c:numCache>
                <c:formatCode>0.0"x"</c:formatCode>
                <c:ptCount val="1"/>
                <c:pt idx="0">
                  <c:v>14.5</c:v>
                </c:pt>
              </c:numCache>
            </c:numRef>
          </c:yVal>
          <c:smooth val="0"/>
        </c:ser>
        <c:ser>
          <c:idx val="7"/>
          <c:order val="7"/>
          <c:tx>
            <c:strRef>
              <c:f>Hoja1!$A$9</c:f>
              <c:strCache>
                <c:ptCount val="1"/>
                <c:pt idx="0">
                  <c:v>Geberit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4.4</c:v>
                </c:pt>
              </c:numCache>
            </c:numRef>
          </c:xVal>
          <c:yVal>
            <c:numRef>
              <c:f>Hoja1!$C$9</c:f>
              <c:numCache>
                <c:formatCode>0.0"x"</c:formatCode>
                <c:ptCount val="1"/>
                <c:pt idx="0">
                  <c:v>17.4</c:v>
                </c:pt>
              </c:numCache>
            </c:numRef>
          </c:yVal>
          <c:smooth val="0"/>
        </c:ser>
        <c:ser>
          <c:idx val="8"/>
          <c:order val="8"/>
          <c:tx>
            <c:strRef>
              <c:f>Hoja1!$A$10</c:f>
              <c:strCache>
                <c:ptCount val="1"/>
                <c:pt idx="0">
                  <c:v>Aalberts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2.8</c:v>
                </c:pt>
              </c:numCache>
            </c:numRef>
          </c:xVal>
          <c:yVal>
            <c:numRef>
              <c:f>Hoja1!$C$10</c:f>
              <c:numCache>
                <c:formatCode>0.0"x"</c:formatCode>
                <c:ptCount val="1"/>
                <c:pt idx="0">
                  <c:v>8.3</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Evoqua Water Technologies</c:v>
                </c:pt>
                <c:pt idx="1">
                  <c:v>Manitowoc Ice (de Welbilt)</c:v>
                </c:pt>
                <c:pt idx="2">
                  <c:v>Elkay Manufacturing</c:v>
                </c:pt>
                <c:pt idx="3">
                  <c:v>Aiper (27 %)</c:v>
                </c:pt>
                <c:pt idx="4">
                  <c:v>ChlorKing</c:v>
                </c:pt>
              </c:strCache>
            </c:strRef>
          </c:cat>
          <c:val>
            <c:numRef>
              <c:f>Hoja1!$B$2:$B$6</c:f>
              <c:numCache>
                <c:formatCode>0.0"x"</c:formatCode>
                <c:ptCount val="5"/>
                <c:pt idx="0">
                  <c:v>25.2</c:v>
                </c:pt>
                <c:pt idx="1">
                  <c:v>17.4</c:v>
                </c:pt>
                <c:pt idx="2">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264</c:v>
                </c:pt>
                <c:pt idx="1">
                  <c:v>284</c:v>
                </c:pt>
                <c:pt idx="2">
                  <c:v>307</c:v>
                </c:pt>
                <c:pt idx="3">
                  <c:v>328</c:v>
                </c:pt>
                <c:pt idx="4">
                  <c:v>345</c:v>
                </c:pt>
                <c:pt idx="5">
                  <c:v>358</c:v>
                </c:pt>
                <c:pt idx="6">
                  <c:v>372</c:v>
                </c:pt>
                <c:pt idx="7">
                  <c:v>385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1829</c:v>
                </c:pt>
                <c:pt idx="1">
                  <c:v>3768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17,00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14.37</c:v>
                </c:pt>
                <c:pt idx="1">
                  <c:v>23.8</c:v>
                </c:pt>
                <c:pt idx="2">
                  <c:v>28.65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17,00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Hoja1!$B$2:$B$9</c:f>
              <c:numCache>
                <c:formatCode>#,##0.0</c:formatCode>
                <c:ptCount val="8"/>
                <c:pt idx="0">
                  <c:v>16.91</c:v>
                </c:pt>
                <c:pt idx="1">
                  <c:v>19</c:v>
                </c:pt>
                <c:pt idx="2">
                  <c:v>18.32</c:v>
                </c:pt>
                <c:pt idx="3">
                  <c:v>16.68</c:v>
                </c:pt>
                <c:pt idx="4">
                  <c:v>20.1</c:v>
                </c:pt>
                <c:pt idx="5">
                  <c:v>14.37</c:v>
                </c:pt>
                <c:pt idx="6">
                  <c:v>26.82</c:v>
                </c:pt>
                <c:pt idx="7">
                  <c:v>16.92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(16,91 – 26,22)</c:v>
                </c:pt>
                <c:pt idx="1">
                  <c:v>Precio objetivo de los analistas (19,00 – 31,00)</c:v>
                </c:pt>
                <c:pt idx="2">
                  <c:v>Comparables: EV/EBITDA NTM (18,32 – 35,36)</c:v>
                </c:pt>
                <c:pt idx="3">
                  <c:v>Comparables: PER NTM (16,68 – 30,79)</c:v>
                </c:pt>
                <c:pt idx="4">
                  <c:v>DCF (WACC y g ± 0,5) (20,10 – 28,98)</c:v>
                </c:pt>
                <c:pt idx="5">
                  <c:v>Escenarios (bajista – alcista) (14,37 – 28,65)</c:v>
                </c:pt>
                <c:pt idx="6">
                  <c:v>DCF con la prima implícita del mercado (4,2 %)</c:v>
                </c:pt>
                <c:pt idx="7">
                  <c:v>Precio actual (17,00)</c:v>
                </c:pt>
              </c:strCache>
            </c:strRef>
          </c:cat>
          <c:val>
            <c:numRef>
              <c:f>Hoja1!$C$2:$C$9</c:f>
              <c:numCache>
                <c:formatCode>#,##0.0</c:formatCode>
                <c:ptCount val="8"/>
                <c:pt idx="0">
                  <c:v>9.309999999999999</c:v>
                </c:pt>
                <c:pt idx="1">
                  <c:v>12</c:v>
                </c:pt>
                <c:pt idx="2">
                  <c:v>17.04</c:v>
                </c:pt>
                <c:pt idx="3">
                  <c:v>14.11</c:v>
                </c:pt>
                <c:pt idx="4">
                  <c:v>8.879999999999999</c:v>
                </c:pt>
                <c:pt idx="5">
                  <c:v>14.28</c:v>
                </c:pt>
                <c:pt idx="6">
                  <c:v>7.539999999999999</c:v>
                </c:pt>
                <c:pt idx="7">
                  <c:v>0.1599999999999966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