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Deutsche Börse AG</w:t>
      </w:r>
    </w:p>
    <w:p>
      <w:pPr>
        <w:spacing w:after="60"/>
        <w:rPr>
          <w:color w:val="52514E"/>
          <w:sz w:val="22"/>
          <w:szCs w:val="22"/>
        </w:rPr>
      </w:pPr>
      <w:r>
        <w:rPr>
          <w:color w:val="52514E"/>
          <w:sz w:val="22"/>
          <w:szCs w:val="22"/>
        </w:rPr>
        <w:t xml:space="preserve">DB1 · Xetra (Fráncfort) · ISIN DE0005810055 · Financieros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21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308,90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310,96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+2,0 % (base +1,9 %)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313,30 EUR · mercado 365,92</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55.756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14,8x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1,4x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Deutsche Börse AG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DB1 / DE0005810055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Xetra (Fráncfort)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DAX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Financieros / Bolsas y datos financieros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Eschborn (Fráncfort) · 1992</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deutsche-boerse.com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308,90 (20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200,10 – 312,20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180,5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55.756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61.217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86 M EUR/día (≈ 306.000 acciones, 3 meses, Xetra)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feb 2027</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310,96 EUR</w:t>
      </w:r>
      <w:r>
        <w:t xml:space="preserve"> frente a 308,90 · Rentabilidad a 12 meses </w:t>
      </w:r>
      <w:r>
        <w:rPr>
          <w:b/>
          <w:bCs/>
        </w:rPr>
        <w:t xml:space="preserve">+2,0 % (base +1,9 %)</w:t>
      </w:r>
      <w:r>
        <w:t xml:space="preserve"> · Valor intrínseco 313,30 EUR · con la prima implícita del mercado: 365,92 (+18,5 %) · Alcista / bajista +7,1 % / -23,2 %</w:t>
      </w:r>
    </w:p>
    <w:p>
      <w:pPr>
        <w:spacing w:after="100"/>
      </w:pPr>
      <w:r>
        <w:rPr>
          <w:b/>
        </w:rPr>
        <w:t xml:space="preserve">La recomendación y por qué.</w:t>
      </w:r>
      <w:r>
        <w:t xml:space="preserve"> Mantener, con convicción baja. Tras el 3T26, el valor intrínseco (síntesis del DCF, los escenarios y los comparables) es de 313,30 EUR, un 1,4 % sobre el cierre de 308,90 EUR del 20-oct; el DCF solo da 299,50 EUR (−3,0 %). A 12 meses, con nuestra regla de múltiplos, la rentabilidad es del 2,1 % ponderada y del 1,9 % en el caso base, con dividendo: lejos del 15 % que exigimos. El negocio va mejor de lo previsto, pero el precio ya lo recoge: cotiza a 22,9 veces el beneficio de los próximos 12 meses, frente a una mediana histórica de 17,6. Con la prima de riesgo que hoy pide el mercado (WACC del 6,68 %), el DCF sube a 375,48 EUR: las dos reglas discrepan y por eso la convicción es baja.</w:t>
      </w:r>
    </w:p>
    <w:p>
      <w:pPr>
        <w:spacing w:after="100"/>
      </w:pPr>
      <w:r>
        <w:rPr>
          <w:b/>
        </w:rPr>
        <w:t xml:space="preserve">Qué ha cambiado con el 3T26 (20-oct).</w:t>
      </w:r>
      <w:r>
        <w:t xml:space="preserve"> Buen trimestre: 4.888 M de ingresos netos en nueve meses y la guía de 2026 sube por segunda vez, a más de 6.500 M (≈ 5.700 M sin tesorería y más de 800 M de tesorería) y ≈ 3.900 M de EBITDA [21, 22]. Los derivados de tipos crecen un 48 % y la custodia de fondos un 24 % [21]. El lastre es el software e índices (IMS): su EBITDA cae un 24 % [21]. La acción abrió el 21-oct con caídas de hasta el 4,3 % y a las 10:00 cotizaba a 305,5 EUR [75]. Subimos 2026e al +8,7 % (≈ 6.550 M) y el BPA base de 2028e queda en 15,30 EUR, casi igual que el consenso (15,35).</w:t>
      </w:r>
    </w:p>
    <w:p>
      <w:pPr>
        <w:spacing w:after="100"/>
      </w:pPr>
      <w:r>
        <w:rPr>
          <w:b/>
        </w:rPr>
        <w:t xml:space="preserve">El negocio.</w:t>
      </w:r>
      <w:r>
        <w:t xml:space="preserve"> Infraestructura de mercados con foso amplio: la liquidez de Eurex en derivados europeos, la custodia de Clearstream y, desde 2023, software (SimCorp) e índices y datos (ISS STOXX). Margen EBITDA del 59,6 % en 2026e y ROIC del 12,9 % (24,9 % sin el fondo de comercio) frente a un WACC del 7,68 % [1]. La calidad sostiene el crecimiento proyectado (veredicto: Sí): el 5,4 % medio está por debajo del +12 % sin tesorería de 2026 y no necesita capital nuevo [21].</w:t>
      </w:r>
    </w:p>
    <w:p>
      <w:pPr>
        <w:spacing w:after="100"/>
      </w:pPr>
      <w:r>
        <w:rPr>
          <w:b/>
        </w:rPr>
        <w:t xml:space="preserve">Finanzas.</w:t>
      </w:r>
      <w:r>
        <w:t xml:space="preserve"> Deuda neta de ≈ 5.500 M a 30-sep con arrendamientos (1,4 veces el EBITDA) [21]. La tesorería (intereses de los saldos de clientes) baja de 1.050 M en 2024 a 837 M en 2025 y algo más de 800 M en 2026; el DCF la deja en ≈ 800 M con el depósito del BCE al 2,5 %. Altman Z de 4,74 y Piotroski de 7.</w:t>
      </w:r>
    </w:p>
    <w:p>
      <w:pPr>
        <w:spacing w:after="100"/>
      </w:pPr>
      <w:r>
        <w:rPr>
          <w:b/>
        </w:rPr>
        <w:t xml:space="preserve">Valoración.</w:t>
      </w:r>
      <w:r>
        <w:t xml:space="preserve"> El DCF inverso dice que el precio descuenta un crecimiento del 6,0 % anual, por encima del 5,4 % de nuestro base: ya no hay margen de seguridad. Los comparables por PER dan 313,59-347,98 EUR y los escenarios, 237,24 (bajista), 299,50 (base) y 330,78 EUR (alcista). El objetivo medio de los analistas (304,64 EUR, 14 analistas) está por debajo del precio [27].</w:t>
      </w:r>
    </w:p>
    <w:p>
      <w:pPr>
        <w:spacing w:after="100"/>
      </w:pPr>
      <w:r>
        <w:rPr>
          <w:b/>
        </w:rPr>
        <w:t xml:space="preserve">Riesgos y catalizadores.</w:t>
      </w:r>
      <w:r>
        <w:t xml:space="preserve"> El primero es el múltiplo: si el PER vuelve a su mediana (17,6 veces), el precio cae aunque el beneficio cumpla. El segundo, Allfunds (5.300 M, cierre previsto en el 1S27, revisión de competencia en Bruselas) [6]. El tercero, que IMS siga cayendo. Catalizadores: las revisiones del consenso tras el 3T26 y los resultados de 2026 con la guía de 2027 el 10-feb-2027.</w:t>
      </w:r>
    </w:p>
    <w:p>
      <w:pPr>
        <w:spacing w:after="100"/>
      </w:pPr>
      <w:r>
        <w:rPr>
          <w:b/>
        </w:rPr>
        <w:t xml:space="preserve">Qué cambiaría la decisión.</w:t>
      </w:r>
      <w:r>
        <w:t xml:space="preserve"> Compraríamos por debajo de 274,05 EUR y venderíamos por encima de 350,18 EUR. Pasaríamos a Comprar si la guía de 2027 mantiene la tesorería por encima de 800 M con el crecimiento sin tesorería por encima del 10 %; a Vender, si Bruselas exigiera concesiones que destruyan el valor de Allfunds.</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310,96 EUR</w:t>
      </w:r>
      <w:r>
        <w:t xml:space="preserve"> (rentabilidad +2,0 % (base +1,9 %)) · Valor intrínseco: 313,30 EUR (+1,4 % sobre 308,90) · con la prima implícita del mercado: 365,92 (+18,5 %)</w:t>
      </w:r>
    </w:p>
    <w:p>
      <w:pPr>
        <w:spacing w:after="100"/>
      </w:pPr>
      <w:r>
        <w:t xml:space="preserve">Deutsche Börse es la infraestructura central de los mercados europeos: Eurex concentra la liquidez de los derivados de tipos en euros, Clearstream custodia los valores de los inversores internacionales y SimCorp e ISS STOXX añaden software e índices con ingresos recurrentes. Gana un margen EBITDA cercano al 60 % y un ROIC del 12,9 % [1, 21].</w:t>
      </w:r>
    </w:p>
    <w:p>
      <w:pPr>
        <w:spacing w:after="100"/>
      </w:pPr>
      <w:r>
        <w:t xml:space="preserve">El 3T26 confirma el buen año (guía subida por segunda vez), pero el precio (308,90 EUR, 22,9 veces el beneficio de los próximos 12 meses) ya descuenta un crecimiento del 6,0 % anual, más que el 5,4 % de nuestro base, y un múltiplo muy por encima de su historia (mediana de 17,6 veces).</w:t>
      </w:r>
    </w:p>
    <w:p>
      <w:pPr>
        <w:spacing w:after="100"/>
      </w:pPr>
      <w:r>
        <w:t xml:space="preserve">Para invertir hay que creer que el crecimiento sin tesorería seguirá cerca del 10 % y que el mercado mantendrá el múltiplo. A 12 meses, con la regla común, la acción rinde un 2,1 %: no basta para comprar al precio de hoy.</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310,96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 × 13,82 = 223,88 · 20,3x × 15,30 = 310,59 · 24,8x × 16,08 = 398,78</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 / 1,9 %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304,64 (nuestro base +2,0 %)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313,30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 / -23,2 %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 frente a 7,7 % y 6,7 %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6,7 %)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365,92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(5,9 %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274,05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274,05 y 350,18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350,18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274,05 EUR: pasaríamos a Comprar.</w:t>
      </w:r>
    </w:p>
    <w:p>
      <w:pPr>
        <w:pStyle w:val="ListParagraph"/>
        <w:numPr>
          <w:ilvl w:val="0"/>
          <w:numId w:val="2"/>
        </w:numPr>
        <w:spacing w:after="60"/>
      </w:pPr>
      <w:r>
        <w:t xml:space="preserve">Precio por encima de 350,18 EUR: Vender o reducir.</w:t>
      </w:r>
    </w:p>
    <w:p>
      <w:pPr>
        <w:pStyle w:val="ListParagraph"/>
        <w:numPr>
          <w:ilvl w:val="0"/>
          <w:numId w:val="2"/>
        </w:numPr>
        <w:spacing w:after="60"/>
      </w:pPr>
      <w:r>
        <w:t xml:space="preserve">Guía de 2027 con tesorería &gt; 800 M y crecimiento sin tesorería &gt; 10 %: revisaríamos al alza el BPA.</w:t>
      </w:r>
    </w:p>
    <w:p>
      <w:pPr>
        <w:pStyle w:val="ListParagraph"/>
        <w:numPr>
          <w:ilvl w:val="0"/>
          <w:numId w:val="2"/>
        </w:numPr>
        <w:spacing w:after="60"/>
      </w:pPr>
      <w:r>
        <w:t xml:space="preserve">Fase II de la Comisión Europea sobre Allfunds con concesiones relevantes: revisaríamos a la baja.</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del 6,0 % anual y un PER de 23 veces que paga por la calidad del negocio y por un 2026 excelente en derivados de tipos.</w:t>
      </w:r>
    </w:p>
    <w:p>
      <w:pPr>
        <w:keepNext/>
        <w:spacing w:after="100"/>
      </w:pPr>
      <w:r>
        <w:rPr>
          <w:b/>
          <w:bCs/>
        </w:rPr>
        <w:t xml:space="preserve">Lo que creemos nosotros.</w:t>
      </w:r>
    </w:p>
    <w:p>
      <w:pPr>
        <w:spacing w:after="100"/>
      </w:pPr>
      <w:r>
        <w:t xml:space="preserve">Coincidimos con el consenso en cifras (BPA de 2028e de 15,30 EUR frente a 15,35), pero el PER a un año tenderá hacia su historia: la ganancia de beneficio se la come la normalización del múltiplo.</w:t>
      </w:r>
    </w:p>
    <w:p>
      <w:pPr>
        <w:keepNext/>
        <w:spacing w:after="100"/>
      </w:pPr>
      <w:r>
        <w:rPr>
          <w:b/>
          <w:bCs/>
        </w:rPr>
        <w:t xml:space="preserve">Por qué podemos tener razón.</w:t>
      </w:r>
    </w:p>
    <w:p>
      <w:pPr>
        <w:spacing w:after="100"/>
      </w:pPr>
      <w:r>
        <w:t xml:space="preserve">El 2026 se apoya en volatilidad de tipos (Oriente Medio, subidas de septiembre), que no se repite cada año; la tesorería baja con el BCE, IMS cae y la compra de Allfunds pesará durante su integración.</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308,9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pStyle w:val="Heading2"/>
      </w:pPr>
      <w:r>
        <w:t xml:space="preserve">A favor</w:t>
      </w:r>
    </w:p>
    <w:p>
      <w:pPr>
        <w:pStyle w:val="ListParagraph"/>
        <w:numPr>
          <w:ilvl w:val="0"/>
          <w:numId w:val="2"/>
        </w:numPr>
        <w:spacing w:after="60"/>
      </w:pPr>
      <w:r>
        <w:rPr>
          <w:b/>
        </w:rPr>
        <w:t xml:space="preserve">Foso amplio</w:t>
      </w:r>
      <w:r>
        <w:t xml:space="preserve">: margen EBITDA del 59,6 % y ROIC del 12,9 % frente a un WACC del 7,68 %.</w:t>
      </w:r>
    </w:p>
    <w:p>
      <w:pPr>
        <w:pStyle w:val="ListParagraph"/>
        <w:numPr>
          <w:ilvl w:val="0"/>
          <w:numId w:val="2"/>
        </w:numPr>
        <w:spacing w:after="60"/>
      </w:pPr>
      <w:r>
        <w:rPr>
          <w:b/>
        </w:rPr>
        <w:t xml:space="preserve">Guía de 2026 subida por segunda vez</w:t>
      </w:r>
      <w:r>
        <w:t xml:space="preserve">: más de 6.500 M de ingresos netos y ≈ 3.900 M de EBITDA [21, 22].</w:t>
      </w:r>
    </w:p>
    <w:p>
      <w:pPr>
        <w:pStyle w:val="ListParagraph"/>
        <w:numPr>
          <w:ilvl w:val="0"/>
          <w:numId w:val="2"/>
        </w:numPr>
        <w:spacing w:after="60"/>
      </w:pPr>
      <w:r>
        <w:rPr>
          <w:b/>
        </w:rPr>
        <w:t xml:space="preserve">Crecimiento sin tesorería del +12 %</w:t>
      </w:r>
      <w:r>
        <w:t xml:space="preserve"> en nueve meses, tres cuartas partes estructural [21].</w:t>
      </w:r>
    </w:p>
    <w:p>
      <w:pPr>
        <w:pStyle w:val="ListParagraph"/>
        <w:numPr>
          <w:ilvl w:val="0"/>
          <w:numId w:val="2"/>
        </w:numPr>
        <w:spacing w:after="60"/>
      </w:pPr>
      <w:r>
        <w:rPr>
          <w:b/>
        </w:rPr>
        <w:t xml:space="preserve">Deuda baja</w:t>
      </w:r>
      <w:r>
        <w:t xml:space="preserve">: 1,4 veces el EBITDA.</w:t>
      </w:r>
    </w:p>
    <w:p>
      <w:pPr>
        <w:pStyle w:val="Heading2"/>
      </w:pPr>
      <w:r>
        <w:t xml:space="preserve">En contra</w:t>
      </w:r>
    </w:p>
    <w:p>
      <w:pPr>
        <w:pStyle w:val="ListParagraph"/>
        <w:numPr>
          <w:ilvl w:val="0"/>
          <w:numId w:val="2"/>
        </w:numPr>
        <w:spacing w:after="60"/>
      </w:pPr>
      <w:r>
        <w:rPr>
          <w:b/>
        </w:rPr>
        <w:t xml:space="preserve">Múltiplo exigente</w:t>
      </w:r>
      <w:r>
        <w:t xml:space="preserve">: 22,9 veces el beneficio de los próximos 12 meses frente a una mediana histórica de 17,6.</w:t>
      </w:r>
    </w:p>
    <w:p>
      <w:pPr>
        <w:pStyle w:val="ListParagraph"/>
        <w:numPr>
          <w:ilvl w:val="0"/>
          <w:numId w:val="2"/>
        </w:numPr>
        <w:spacing w:after="60"/>
      </w:pPr>
      <w:r>
        <w:rPr>
          <w:b/>
        </w:rPr>
        <w:t xml:space="preserve">IMS cae</w:t>
      </w:r>
      <w:r>
        <w:t xml:space="preserve">: EBITDA −24 % en el 3T26 [21].</w:t>
      </w:r>
    </w:p>
    <w:p>
      <w:pPr>
        <w:pStyle w:val="ListParagraph"/>
        <w:numPr>
          <w:ilvl w:val="0"/>
          <w:numId w:val="2"/>
        </w:numPr>
        <w:spacing w:after="60"/>
      </w:pPr>
      <w:r>
        <w:rPr>
          <w:b/>
        </w:rPr>
        <w:t xml:space="preserve">Allfunds</w:t>
      </w:r>
      <w:r>
        <w:t xml:space="preserve">: 5.300 M y riesgo de competencia [6].</w:t>
      </w:r>
    </w:p>
    <w:p>
      <w:pPr>
        <w:pStyle w:val="ListParagraph"/>
        <w:numPr>
          <w:ilvl w:val="0"/>
          <w:numId w:val="2"/>
        </w:numPr>
        <w:spacing w:after="60"/>
      </w:pPr>
      <w:r>
        <w:rPr>
          <w:b/>
        </w:rPr>
        <w:t xml:space="preserve">Rentabilidad a 12 meses del 2,1 %</w:t>
      </w:r>
      <w:r>
        <w:t xml:space="preserve">, muy por debajo del 15 % que exigimos; el objetivo medio de los analistas (304,64 EUR) ya está por debajo del precio [27].</w:t>
      </w:r>
    </w:p>
    <w:p>
      <w:pPr>
        <w:pStyle w:val="Heading2"/>
      </w:pPr>
      <w:r>
        <w:t xml:space="preserve">Qué tiene que pasar para que la tesis funcione</w:t>
      </w:r>
    </w:p>
    <w:p>
      <w:pPr>
        <w:spacing w:after="100"/>
      </w:pPr>
      <w:r>
        <w:t xml:space="preserve">La tesis depende de que la parte sin tesorería siga creciendo cerca del 10 % mientras la tesorería se queda en torno a 800 M. La señal de que no se cumple sería una guía de 2027 con la tesorería por debajo de 700 M o un crecimiento sin tesorería por debajo del 7 %.</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Resultado de tesorería 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800 M (guía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700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Casi todo margen: mueve el BPA.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ingresos sin tesorería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 (9M26)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7 %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tesis de crecimiento estructural.</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EBITDA de IMS (SimCorp e índices)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en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negocio que justificó la compra de SimCorp.</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Estado de la compra de Allfunds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Pendiente (cierre 1S27)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Fase II o concesiones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Mayor compra de su historia.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15,9x / 14,8x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25,4x / 22,9x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18,4x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(2016-2025)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1,4x · 1,4x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Deutsche Börse AG nace en 1992 como operadora de la bolsa de Fráncfort y sale a bolsa en 2001. Su forma actual la dan tres apuestas: la integración vertical de negociación y compensación (Eurex y Eurex Clearing), la custodia y liquidación de valores con Clearstream y, desde 2023, el salto al software y los datos para gestores con la compra de SimCorp y la unión de ISS y STOXX en ISS STOXX. En diciembre de 2025 presentó la estrategia «Leading the Transformation» (objetivos a 2028); en enero de 2026 firmó la compra de Allfunds por unos 5.300 M EUR, la mayor de su historia, con cierre previsto en el 1S27, y en marzo de 2026 cerró la compra del 19,69 % restante de ISS STOXX por 1.150 M EUR [21, 30, 31].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Creación de Deutsche Börse AG como operadora de la Bolsa de Fráncfort.</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Nace Eurex, el mercado de derivados germano-suizo, con negociación electrónica.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Toma el 100 % de Clearstream (custodia y liquidación).</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SimCorp, base del segmento Investment Management Solutions junto con ISS STOXX [31].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Stephan Leithner es el primer ejecutivo; en noviembre la Comisión Europea abre una investigación formal por posible coordinación con Nasdaq en derivados (cooperación Eurex-HEX de 1999) y en diciembre presenta la estrategia «Leading the Transformation» con objetivos a 2028 [31].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Firma la compra de Allfunds (≈ 5.300 M EUR, enero; cierre previsto en el 1S27) y compra el 19,69 % restante de ISS STOXX a General Atlantic por 1.150 M EUR (marzo, a 20 veces el EBITDA ajustado de ISS STOXX) [21, 31].</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Infraestructura de mercados europea con cuatro segmentos [31]. </w:t>
      </w:r>
      <w:r>
        <w:rPr>
          <w:b/>
        </w:rPr>
        <w:t xml:space="preserve">Trading &amp; Clearing</w:t>
      </w:r>
      <w:r>
        <w:t xml:space="preserve"> (2.553 M EUR de ingresos netos en 2025): derivados financieros en Eurex y su cámara Eurex Clearing (tipos de interés, renta variable, compensación de swaps OTC y repo), energía y materias primas en EEX, contado en Xetra y Börse Frankfurt, y divisas y activos digitales (360T, Crypto Finance). </w:t>
      </w:r>
      <w:r>
        <w:rPr>
          <w:b/>
        </w:rPr>
        <w:t xml:space="preserve">Securities Services</w:t>
      </w:r>
      <w:r>
        <w:t xml:space="preserve"> (1.605 M): Clearstream, depositario central internacional (ICSD) y central de Alemania y Luxemburgo, con emisión, liquidación y custodia de valores de unos 60 mercados y gestión de garantías. </w:t>
      </w:r>
      <w:r>
        <w:rPr>
          <w:b/>
        </w:rPr>
        <w:t xml:space="preserve">Investment Management Solutions</w:t>
      </w:r>
      <w:r>
        <w:t xml:space="preserve"> (1.331 M): software de gestión de inversiones de SimCorp (SaaS y licencias) e índices STOXX y DAX, datos ESG y voto por delegación de ISS STOXX. </w:t>
      </w:r>
      <w:r>
        <w:rPr>
          <w:b/>
        </w:rPr>
        <w:t xml:space="preserve">Fund Services</w:t>
      </w:r>
      <w:r>
        <w:t xml:space="preserve"> (537 M): procesamiento de fondos (Vestima) y distribución (Clearstream Fund Centre), que Allfunds ampliaría. Sus clientes son bancos, intermediarios, gestoras, aseguradoras y empresas energéticas de todo el mundo; el 36 % de los ingresos ya viene del lado comprador (gestoras e inversores) [31].</w:t>
      </w:r>
    </w:p>
    <w:p>
      <w:pPr>
        <w:pStyle w:val="Heading2"/>
      </w:pPr>
      <w:r>
        <w:t xml:space="preserve">Cómo gana dinero</w:t>
      </w:r>
    </w:p>
    <w:p>
      <w:pPr>
        <w:spacing w:after="100"/>
      </w:pPr>
      <w:r>
        <w:t xml:space="preserve">Cobra comisiones por contrato negociado y compensado (Eurex, EEX), por custodia (según el valor depositado) y por liquidación (según el número de operaciones) en Clearstream, licencias de índices sobre ETF y derivados, datos y suscripciones de software. El 63 % de los ingresos es recurrente [31]. Además gana intereses sobre el efectivo que los clientes dejan en Clearstream y las garantías de Eurex Clearing: el </w:t>
      </w:r>
      <w:r>
        <w:rPr>
          <w:b/>
        </w:rPr>
        <w:t xml:space="preserve">resultado de tesorería</w:t>
      </w:r>
      <w:r>
        <w:t xml:space="preserve">, 837 M EUR en 2025 (13,9 % de los ingresos netos, −20 % por las bajadas del BCE) y 218 M en el 3T26 (+7 %, la primera subida desde 2024, con saldos medios de 18.733 M, +10 %) [21, 22, 31]. El margen depende del volumen: los costes crecen en torno al 3 % al año, de modo que el EBITDA sin tesorería subió un 19 % en el 3T26 con ingresos un 14 % mayores [21, 22]. La empresa atribuye ≈ 3/4 del crecimiento del 3T26 a factores estructurales y ≈ 1/4 a cíclicos (sobre todo septiembre) [22].</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Trading &amp; Clearing</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Securities Services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Investment Management Solutions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Fund Services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27"/>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Trading &amp; Clearing</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Securities Services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Investment Management Solutions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Fund Services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La empresa no publica concentración de clientes; la base es amplia (más de 950 participantes solo en EEX) y los ingresos por geografía se asignan por el domicilio de facturación del cliente directo: zona euro 3.549 M EUR, resto de Europa 1.727 M, América 945 M y Asia-Pacífico 431 M en 2025, antes de eliminaciones; Alemania (1.315 M), Reino Unido (1.001 M) y EE. UU. (835 M) superan cada uno el 10 % [31]. Los contratos de custodia y de software son plurianuales y caros de cambiar. El poder de precios se ve en el margen: con costes que crecen un 3 % al año, el EBITDA sin tesorería creció un 14 % en 2025 y un 17 % en los nueve meses de 2026 [22, 31]. En software, los ingresos SaaS subieron un 30 % en 2025 (331 M) y el ARR de SimCorp llega a 727 M en el 3T26 (+13 % a tipo constante) [22, 31].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netos sin resultado de tesorería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4.779 M EUR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5.189 M EUR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9M26: 4.261 M (+12 %). Guía 2026 ≈ 5,7 mil M, con posibilidad de superarla ligeramente [15, 21].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EBITDA sin resultado de tesorería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2.346 M EUR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2.675 M EUR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9M26: 2.337 M (+17 %). Guía 2026 ≈ 3,1 mil M [15, 21].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Resultado de tesorería (intereses de saldos de clientes y comisiones de márgenes)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 M EUR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 M EUR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3T26: 218 M (+7 %), primera subida desde 2024; 9M26: 627 M (−2 %). Guía 2026 &gt; 0,8 mil M (antes &gt; 0,7) [15, 21]. Por segmentos en 2025: Securities Services 559 M, Trading &amp; Clearing 222 M, Fund Services 56 M.</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Saldos medios de caja de clientes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17.075 M EUR (3T25)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18.733 M EUR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resultado de tesorería junto con los tipos [22].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ARR de Software Solutions (SimCorp)</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 M EUR (2T26)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 M EUR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 interanual a tipo constante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Dentro de la guía del 13-18 % [22, 23].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Contratos de derivados de Eurex</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 M (3T25)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 M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 fija +39 % en contratos y +48 % en ingresos [22].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Activos en custodia de Securities Services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bill. EUR (3T25)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bill. EUR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 Services: 5,2 bill. (+24 %) [22].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BPA antes de PPA (cash EPS)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8,79 EUR (9M25)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10,01 EUR (9M26)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3T26: 3,28 EUR (+18 %) [21].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Infraestructura de mercados financieros: negociación y compensación de derivados y contado, post-contratación (custodia, liquidación y garantías), índices, datos y software para gestores. Para derivados, datos, índices y software el mercado es mundial; para la post-contratación, sobre todo europeo (Clearstream frente a Euroclear y los depositarios nacionales). No hay una estadística oficial del tamaño del mercado: usamos como medida los ingresos netos de los ocho grandes grupos occidentales (LSEG, ICE, Deutsche Börse, CME, Nasdaq, Euroclear, Euronext y SIX), sacados de sus propias cuentas de 2025. Es una estimación propia que no incluye bolsas asiáticas, Cboe, DTCC ni los proveedores de índices y software puros (MSCI, S&amp;P, BlackRock Aladdin, SS&amp;C).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41.400 M EUR de ingresos netos en 2025 entre los ocho grandes grupos (estimación propia: LSEG 10.298, ICE 8.452, Deutsche Börse 6.026, CME 5.549, Nasdaq 4.467, Euroclear ≈ 3.000, Euronext 1.819 y SIX 1.783 M EUR; divisas al cambio del BCE del 31-dic-2025) [31, 35, 36, 37, 38, 39, 40, 41, 44]. Deutsche Börse es la tercera, con ≈ 14,6 %.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de interés sobre los saldos de clientes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resultado de tesorería cayó un 20 % en 2025, hasta 837 M EUR, con el tipo de depósito del BCE del 3 % al 2 % [31, 43]. El BCE lo subió al 2,25 % en junio y al 2,5 % en septiembre de 2026; la tesorería del 3T26 creció un 7 % (218 M) y la guía de 2026 pasa a más de 800 M [21, 43].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Volatilidad y coberturas en tipos de interés y energía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3T26 los derivados de tipos ingresaron 181 M EUR (+48 %) con la subida de tipos y la tensión en Oriente Medio y Ormuz; en energía, EEX 155 M (+11 %) [21].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Paso de los derivados OTC a la compensación central en la UE (EMIR 3)</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Eurex subió su cuota en la compensación de swaps OTC en euros hasta ≈ 23 % y el nocional vivo llegó a 57,1 billones EUR en el 3T26 (+25 %) [22, 31].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Ahorro europeo hacia fondos y ETF</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Activos en custodia de Fund Services 5,2 billones EUR en el 3T26 (+24 %) y de Securities Services 17,7 billones (+8 %); ETF sobre índices DAX y STOXX 226.000 M (+33 %); Xetra tiene 2.671 ETF y negoció 26.000 M al mes en 2025 (+47 %) [22, 47].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Externalización de software y datos por los gestores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SaaS de SimCorp +30 % en 2025 (331 M EUR) y ARR de 727 M en el 3T26 (+13 %) [22, 31].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Presión regulatoria sobre los asesores de voto en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negocio ESG de ISS no crece (74 M en el 3T26, −0 %) y el EBITDA de Investment Management Solutions cayó un 24 % en el 3T26, con demandas de estados y un requerimiento de la SEC [21, 22].</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Pocos actores con productos de referencia propios: Eurex domina el Bund y los derivados de renta variable europea, ICE el Brent, el TTF y el Euribor, LCH la mayor parte de los swaps en euros. Los márgenes EBIT de 2025 lo confirman: CME 64,9 %, Euronext 50,8 %, ICE 49,6 % [35, 36, 38].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grandes bancos negocian tarifas y han promovido plataformas alternativas (Aquis, Cboe Europe); en contado europeo la negociación transparente continua pierde peso [31].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costes son sobre todo personal y tecnología (nube con Google, Microsoft y SAP); los costes ligados al volumen se trasladan al precio [31].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Licencias de cámara y de banco, capital regulatorio y la liquidez acumulada levantan barreras; la entrada llega por compras (ICE-MarketAxess en 2026) más que por nuevos mercados [31, 48].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contado compiten los mercados no transparentes y los internalizadores; en derivados compensados y custodia la sustitución es baja. La tokenización puede cambiar la post-contratación a largo plazo, y la empresa ya tiene su propia plataforma (D7) [31].</w:t>
            </w:r>
          </w:p>
        </w:tc>
      </w:tr>
    </w:tbl>
    <w:p>
      <w:pPr>
        <w:spacing w:after="160" w:before="0"/>
      </w:pPr>
    </w:p>
    <w:p>
      <w:pPr>
        <w:pStyle w:val="Heading2"/>
      </w:pPr>
      <w:r>
        <w:t xml:space="preserve">Ciclo</w:t>
      </w:r>
    </w:p>
    <w:p>
      <w:pPr>
        <w:spacing w:after="100"/>
      </w:pPr>
      <w:r>
        <w:t xml:space="preserve">Volúmenes altos y tipos al alza de nuevo: el BCE subió el tipo de depósito al 2,5 % en septiembre de 2026, la tesorería del 3T26 volvió a crecer (+7 %) y seis de los ocho negocios crecieron a doble dígito [21, 22, 43]. En 2022, con volatilidad y tipos al alza, los ingresos crecieron un 24 %, 14 puntos de ellos cíclicos [32]; en 2025, con tipos a la baja, la tesorería cayó un 20 % pero la parte sin tesorería creció un 9 % [31]. No hemos leído las cuentas de 2008-09 ni de 2020.</w:t>
      </w:r>
    </w:p>
    <w:p>
      <w:pPr>
        <w:pStyle w:val="Heading2"/>
      </w:pPr>
      <w:r>
        <w:t xml:space="preserve">Regulación</w:t>
      </w:r>
    </w:p>
    <w:p>
      <w:pPr>
        <w:spacing w:after="100"/>
      </w:pPr>
      <w:r>
        <w:t xml:space="preserve">Eurex Clearing y European Commodity Clearing son cámaras autorizadas por EMIR; Clearstream Banking S.A. y Clearstream Europe AG son bancos y depositarios centrales supervisados por la CSSF, el BCL, la BaFin y el Bundesbank, con exigencias de capital propias [31]. EMIR 3 obliga desde 2025 a mantener cuentas activas en cámaras de la UE, lo que favorece a Eurex frente a Londres [31]. El 4-dic-2025 la Comisión presentó el paquete de integración de mercados de la unión de ahorro e inversión, y en diciembre ESMA eligió a EuroCTP, participada por Deutsche Börse, como cinta consolidada de acciones y ETF [31]. La Comisión investiga desde noviembre de 2025 una posible coordinación con Nasdaq en derivados, con posible multa [31]; Allfunds sigue pendiente de las autorizaciones de competencia y regulatorias, con cierre previsto en el 1S27 [21].</w:t>
      </w:r>
    </w:p>
    <w:p>
      <w:pPr>
        <w:pStyle w:val="Heading2"/>
      </w:pPr>
      <w:r>
        <w:t xml:space="preserve">Tendencias y disrupción</w:t>
      </w:r>
    </w:p>
    <w:p>
      <w:pPr>
        <w:spacing w:after="100"/>
      </w:pPr>
      <w:r>
        <w:t xml:space="preserve">Tres tendencias favorecen a la empresa. El ahorro europeo va a fondos y ETF (custodia de fondos +24 % en el 3T26), la compensación de derivados en euros vuelve a la UE (cuota de Eurex en swaps en euros de ≈ 23 %) y los gestores externalizan software y datos [22, 31]. La tokenización avanza (plataforma D7, Crypto Finance, alianza con Kraken, proyectos Pontes y Appia del BCE para liquidar en dinero de banco central), y la empresa intenta liderarla en vez de sufrirla [31]. El sector se concentra: Deutsche Börse compra Allfunds (≈ 5.300 M EUR) e ICE compra MarketAxess (≈ 6.000 M USD, julio de 2026, unas 10,6 veces el EBITDA con sinergias) [31, 48]. En contra, el negocio de voto por delegación de ISS sufre en EE. UU. [21].</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Primer grupo europeo de derivados financieros (Eurex: 2.066 M de contratos en 2025) y uno de los dos grandes depositarios internacionales de Europa (Clearstream: 17,7 billones EUR en custodia más 5,2 billones de fondos en el 3T26, frente a más de 43 billones de Euroclear) [22, 41, 45]. En compensación de swaps OTC en euros tiene ≈ 23 % frente a LCH [31]. Xetra es la mayor bolsa de ETF de Europa y la plataforma de referencia para las acciones alemanas (1,7 billones EUR negociados en 2025), sin cuota publicada [31, 46, 47]. Tercer grupo de infraestructura occidental por ingresos (≈ 14,6 % de los ocho grandes, estimación propia).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London Stock Exchange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LSEG</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en compensación de swaps (LCH SwapClear), índices (FTSE Russell) y datos. 8.986 M GBP de ingresos sin recuperaciones y 2.127 M de beneficio operativo en 2025 (3.506 M ajustado, sin amortización de intangibles comprados) [37].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Intercontinental Exchange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ICE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8.452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directo en derivados europeos: ICE Futures Europe (Brent, Euribor, SONIA) e ICE Endex (gas TTF) frente a Eurex y EEX. 9.931 M USD de ingresos netos y 4.929 M de beneficio operativo en 2025; compra MarketAxess por ≈ 6.000 M USD [38, 48].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CME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CME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mundial en futuros (28,1 M de contratos diarios en 2025); compite por la liquidez en tipos y renta variable de los clientes europeos. 6.520,6 M USD de ingresos y 4.229,5 M de beneficio operativo [35].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Nasdaq</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NDAQ</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Bolsas nórdicas y bálticas (72,2 % de la negociación de sus acciones en 2025) y software para bancos; investigado con Deutsche Börse por la Comisión. 5.249 M USD de ingresos netos y 2.331 M de beneficio operativo [31, 39].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Euroclear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Bélgica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directo de Clearstream en custodia internacional: más de 43 billones EUR en custodia. Ingresos estimados (estimación propia: ≈ 1.900 M de negocio subyacente más ≈ 1.100 M de intereses); margen EBITDA del 58 %, sin beneficio operativo publicado [41].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Euronext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Francia/Países Bajos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en contado (64,2 % de la negociación de sus acciones en el 4T25), en post-contratación (Euronext Securities y Clearing) y en distribución de fondos; intentó comprar Allfunds en 2024. 1.818,8 M EUR de ingresos y 924,2 M de beneficio operativo [33, 36].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SIX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Bolsas suiza y española y Aquis (5,5 % de cuota), depositario SIX SIS. 1.660,9 M CHF de ingresos y 460 M de EBITDA; EBIT negativo (−303 M) por la pérdida de su participación en Worldline [40].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MSCI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Rival de ISS STOXX en índices y datos ESG; 3.134,5 M USD de ingresos y 1.713,6 M de beneficio operativo en 2025 [42].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6" name="Gráfico 6"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7" name="Gráfico 7"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liquidez en derivados de referencia (Bund, Euro Stoxx 50, €STR) se concentra en Eurex: 2.066 M de contratos en 2025, con los de tipos +8 %, y nocional OTC compensado de 57,1 billones EUR en el 3T26 (+25 %) [8, 19].</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Mover la custodia (17,7 billones EUR en Clearstream) o el software de gestión (SimCorp, contratos plurianuales; ARR de 727 M, +13 %) exige proyectos de años [8].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Licencias de cámara, de banco y de depositario central; marcas DAX y STOXX con 226.000 M EUR en ETF (+33 %) [3, 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que crecen ≈ 3 % al año frente a ingresos sin tesorería del +12 % en 9M26; más del 75 % de la tecnología ya en la nube [3, 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EBITDA del 58 % en 2025 (3.512 M sobre 6.026 M) y del 60 % en el 3T26 (978 M sobre 1.633 M); integración vertical de negociación, compensación y custodia [3, 7].</w:t>
            </w:r>
          </w:p>
        </w:tc>
      </w:tr>
    </w:tbl>
    <w:p>
      <w:pPr>
        <w:spacing w:after="160" w:before="0"/>
      </w:pPr>
    </w:p>
    <w:p>
      <w:pPr>
        <w:pStyle w:val="Heading2"/>
      </w:pPr>
      <w:r>
        <w:t xml:space="preserve">Amenazas</w:t>
      </w:r>
    </w:p>
    <w:p>
      <w:pPr>
        <w:spacing w:after="100"/>
      </w:pPr>
      <w:r>
        <w:t xml:space="preserve">Las más probables son tres. (1) La regulación: la investigación de la Comisión por la cooperación con Nasdaq puede acabar en multa y la revisión de Allfunds puede pedir concesiones [21, 31]. (2) La competencia en compensación de euros, donde LCH sigue teniendo la mayor parte del negocio, y en derivados, donde ICE lidera el Euribor y la energía (probabilidad media, efecto lento). (3) El voto por delegación de ISS en EE. UU., con demandas de estados y requerimiento de la SEC [21]. La tesorería depende del BCE: subió con las subidas de 2026, pero una vuelta a tipos bajos la reduciría como en 2025 (−20 %) [31]. La tokenización es una amenaza a largo plazo para la custodia, mitigada con D7 [31].</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6.026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r>
    </w:tbl>
    <w:p>
      <w:pPr>
        <w:spacing w:after="160" w:before="0"/>
      </w:pPr>
    </w:p>
    <w:p>
      <w:pPr>
        <w:spacing w:after="100"/>
      </w:pPr>
      <w:r>
        <w:t xml:space="preserve">Crecimiento anual compuesto 2016-2025: ingresos </w:t>
      </w:r>
      <w:r>
        <w:rPr>
          <w:b/>
          <w:bCs/>
        </w:rPr>
        <w:t xml:space="preserve">10,8 %</w:t>
      </w:r>
      <w:r>
        <w:t xml:space="preserve">, EBITDA </w:t>
      </w:r>
      <w:r>
        <w:rPr>
          <w:b/>
          <w:bCs/>
        </w:rPr>
        <w:t xml:space="preserve">12,2 %</w:t>
      </w:r>
      <w:r>
        <w:t xml:space="preserve">, BPA </w:t>
      </w:r>
      <w:r>
        <w:rPr>
          <w:b/>
          <w:bCs/>
        </w:rPr>
        <w:t xml:space="preserve">12,2 %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Los ingresos netos (ingresos menos costes ligados al volumen, con el resultado de tesorería) pasan de 2.389 M en 2016 a 6.026 M en 2025, un 10,8 % anual, y el EBITDA de 1.239 a 3.512 M [15, 19]. Buena parte es inorgánica (ISS en 2021, SimCorp en el 4T23) y otra es cíclica: el resultado de tesorería sobre los saldos de clientes subió de 143 M en 2021 a 1.050 M en 2024 con los tipos del BCE y bajó a 837 M en 2025 [15]. Sin tesorería, los ingresos crecen un 9 % en 2025 (5.189 M) y el EBITDA un 14 % (2.675 M), con margen del 52 % frente al 49 % [15]. El margen EBITDA total se mantiene en el 58 % desde 2022; la amortización sube del 5,5 % al 8,3 % de los ingresos por la de intangibles de las compras (136 M de PPA en los 9M26) y el gasto financiero se duplica en 2024 por los bonos de SimCorp [15, 22]. En los 9M26 los ingresos netos crecen un 10 % (12 % sin tesorería) y el EBITDA un 12 %; el LTM a septiembre es de 6.462 M de ingresos y 3.831 M de EBITDA [21]. Los años 2021 y 2023 no son comparables en balance por las compras. Las cifras anuales cuadran con los comunicados de resultados de cada ejercicio [1, 3, 8, 9].</w:t>
      </w:r>
    </w:p>
    <w:p>
      <w:pPr>
        <w:pStyle w:val="Heading2"/>
      </w:pPr>
      <w:r>
        <w:t xml:space="preserve">Ajustes y partidas no recurrentes</w:t>
      </w:r>
    </w:p>
    <w:p>
      <w:pPr>
        <w:spacing w:after="100"/>
      </w:pPr>
      <w:r>
        <w:t xml:space="preserve">Las cifras son las publicadas (NIIF-UE). La empresa guía y comenta sin el resultado de tesorería y da un «cash EPS» antes de la amortización de las asignaciones del precio de compra (10,01 EUR en los 9M26 frente a 9,46 EUR de BPA básico) [21]. Dentro del EBITDA van el resultado de inversiones financieras y el de participadas (19 M en el LTM). En el LTM hay 29 M no recurrentes dentro del EBITDA: 11 M de costes de la compra de Allfunds (7 M en el 2T26 y 4 M en el 3T26) y una pérdida de valoración de 18 M por la venta de una participación minoritaria en Investment Management Solutions en el 3T26 [21, 22, 23]; los costes de Allfunds seguirán hasta el cierre, en el 1S27. 2016 sale de la revisión de cinco años del informe de 2019 (sin desglose bajo el EBIT) y lleva costes de la fusión fallida con LSE; 2017-2019 son anteriores a la NIIF 16. El BPA es diluido salvo 2016 y el LTM, que son básicos (los trimestrales no publican el diluido); las acciones de 2016-2019 salen de beneficio entre BPA.</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Lo que dijo la dirección en las últimas presentaciones</w:t>
      </w:r>
    </w:p>
    <w:p>
      <w:pPr>
        <w:spacing w:after="100"/>
      </w:pPr>
      <w:r>
        <w:rPr>
          <w:b/>
        </w:rPr>
        <w:t xml:space="preserve">3T26 (20-21 de octubre).</w:t>
      </w:r>
      <w:r>
        <w:t xml:space="preserve"> Ingresos netos de 1.633 M (+13 %; +14 % sin tesorería, a 1.415 M), EBITDA de 978 M (+16 %) y BPA básico de 3,10 EUR (+20 %), por encima del consenso que recopila la propia empresa (1.598 M, 954 M y 3,05 EUR, 14 analistas) [21, 27]. La dirección dice que unas tres cuartas partes del crecimiento son estructurales y una cuarta parte cíclica (sobre todo septiembre). El resultado de tesorería sube por primera vez desde 2024 (218 M, +7 %) por las subidas de tipos del BCE y la Fed de septiembre y un 10 % más de saldos de clientes; Eurex brilla con renta fija +48 % y derivados financieros +30 % [21, 22]. Sube otra vez la guía de 2026: tesorería de más de 0,7 a más de 0,8 mil M, ingresos netos totales de más de 6,4 a más de 6,5 mil M y EBITDA de más de 3,8 a unos 3,9 mil M; la guía sin tesorería se mantiene (≈5,7 mil M, con posibilidad de superarla ligeramente, y ≈3,1 mil M) [21, 22]. El punto débil es Investment Management Solutions: EBITDA −24 % por una pérdida de 18 M en inversiones financieras y costes; Software Solutions +10 % y ARR de 727 M (+13 % a tipo constante), ESG plano [22]. </w:t>
      </w:r>
      <w:r>
        <w:rPr>
          <w:b/>
        </w:rPr>
        <w:t xml:space="preserve">Frente al 2T26 (23-jul)</w:t>
      </w:r>
      <w:r>
        <w:t xml:space="preserve">, el discurso pasa de «estabilización» de la tesorería a «inflexión confirmada» y de crecimiento del +9 % a +14 % sin tesorería; entonces la guía de tesorería subió de 0,6 a más de 0,7 mil M y ya se avisaba de costes de Allfunds (7 M) [23]. En el 1T26 la empresa ya había batido y confirmado la previsión [5], y el 2T26 también superó al consenso [2, 4]. La conferencia del 3T26 es hoy, 21-oct a las 14:00; las preguntas de los analistas no están transcritas a la fecha de corte. Los trimestres de 2024-2025 salen de restar los acumulados de cada estado trimestral a las cifras anuales [15, 24, 25, 26].</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12.218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16.661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19.442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22.208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9.662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21.808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10.771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21.817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6.586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11.312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86"/>
        <w:gridCol w:w="1472"/>
        <w:gridCol w:w="1338"/>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(2021: ISS (Institutional Shareholder Services), consolidada desde marzo de 2021 (1.843 M de compras netas de caja en el año): sube el fondo de comercio de 3.958 a 5.596 M.; 2023: SimCorp, consolidada desde el 4T23 (3.842 M de compras netas de caja): entra entera en el balance y solo un trimestre en la cuenta; el fondo de comercio pasa de 5.914 a 8.213 M.).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El balance publicado (297 mil M a dic-25; 409 mil M a sep-26) está inflado por las posiciones de la cámara de Eurex y los depósitos de clientes de Clearstream, que se compensan en el pasivo [10, 21]. El balance analítico de esta nota los quita: pasivo propio (bonos, arrendamientos, impuestos, provisiones y proveedores) de 9.988 M y activo de 21.817 M a dic-25 (pasivo propio más patrimonio), de los que 12.312 M son intangibles (8.137 M de fondo de comercio, sobre todo SimCorp e ISS) [15]. Unos 3.900 M del activo son fondos propios invertidos en el negocio bancario y de cámara (exceso de activos de clientes sobre pasivos con clientes), en buena parte capital regulatorio: no son caja libre. La deuda financiera (bonos) sube de 2.288 M en 2017 a 7.104 M en 2024 por ISS y SimCorp, y baja a 6.586 M en 2025; a sep-26 ronda 6.890 M tras emitir 650 M (1T), un híbrido de 600 M y el convertible, y amortizar 1.500 M [10, 14, 21]. Los pagarés de Clearstream (996 M a dic-25, 1.932 M a jun-26) financian el negocio bancario y quedan fuera de la deuda, como hace la empresa para el rating [10, 16]. La deuda neta para el rating es de 4.288 M y 1,22 veces el EBITDA (objetivo ≤ 2,25), y el FFO/deuda neta del 60 % (≥ 40 %) [16]. La compra de Allfunds, con ≈3,7 mil M en efectivo, la subirá en 2027.</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Acumulado 2017-2025: FCF </w:t>
      </w:r>
      <w:r>
        <w:rPr>
          <w:b/>
          <w:bCs/>
        </w:rPr>
        <w:t xml:space="preserve">12.978</w:t>
      </w:r>
      <w:r>
        <w:t xml:space="preserve">, conversión </w:t>
      </w:r>
      <w:r>
        <w:rPr>
          <w:b/>
          <w:bCs/>
        </w:rPr>
        <w:t xml:space="preserve">107 %</w:t>
      </w:r>
      <w:r>
        <w:t xml:space="preserve"> del beneficio neto; adquisiciones 7.371, dividendos 5.151, recompras 1.194.</w:t>
      </w:r>
    </w:p>
    <w:p>
      <w:pPr>
        <w:spacing w:after="100"/>
      </w:pPr>
      <w:r>
        <w:t xml:space="preserve">El flujo operativo es el publicado «sin posiciones de la cámara» (las variaciones de cobros y pagos de la CCP son de clientes y se compensan) [15, 17, 18, 19, 20]. Convierte bien: 2.672 M en 2025 frente a 1.995 M de beneficio, con 380 M de inversión en software e inmovilizado (6,3 % de los ingresos) y 90 M de arrendamientos [15]. Los años 2019 y 2021 salen bajos por el circulante (impuestos y cobros), no por el negocio. Desde 2025 los intereses de la deuda a largo (157 M) se clasifican en financiación; antes iban en explotación [15]. En el 1S26 el flujo operativo fue de 1.487 M (+15 %) y la inversión de 214 M; con eso el FCF de los doce meses a junio ronda los 2.200 M después de intereses y arrendamientos (estimación propia; el 3T26 no publica flujos) [14]. La empresa no separa mantenimiento y crecimiento: la mayor parte es software propio capitalizado, ligado a nuevos productos de Eurex, Clearstream y SimCorp. Los dividendos son los pagados a los accionistas; además se pagan dividendos a minoritarios (60 M en 2025). Las compras y ventas de inversiones financieras del negocio bancario no se cuentan como desinversiones.</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GmbH WPG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(informe de 4-mar-2026, sin salvedades) [10]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PwC audita el grupo desde el ejercicio 2021 [10]. Las cuentas son limpias pero tienen tres rasgos que distorsionan los indicadores automáticos. Primero, el balance publicado incluye cientos de miles de millones de posiciones de cámara y depósitos de clientes: aquí se usa un balance analítico sin ellos, y aun así Altman y Beneish están pensados para industriales y no se deben leer al pie de la letra. Segundo, el beneficio lleva la amortización de los intangibles de las compras (136 M en los 9M26, ≈180 M al año): el «cash EPS» de la empresa la suma de vuelta [21, 22]. Tercero, el resultado de inversiones financieras y de participadas va dentro del EBITDA y es volátil (+36 M en 2024, −7 M en los 9M26) [15, 21]. Se capitaliza software propio (325 M de pagos por intangibles en 2025) y los pagos en acciones suben con la cotización (22 M más en el 3T26) [15, 22]. No hay deterioros relevantes del fondo de comercio en 2021-2025. El tipo impositivo efectivo es estable, del 25-27 %.</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Resultado de tesorería cíclico dentro de los ingresos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Pasó de 143 M (2021) a 1.050 M (2024) y 837 M (2025); depende de tipos y saldos de clientes, no del negocio [15]. La empresa guía sin él.</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Inversiones financieras y participadas dentro del EBITDA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 M en IMS en el 3T26 por la venta de una participación minoritaria; ganancias en años anteriores [22].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la compra de Allfunds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 M en el 2T-3T26 dentro de los gastos operativos; seguirán hasta el cierre (1S27) [22, 23].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Litigio Peterson II (activos iraníes en Clearstream)</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Orden de entrega de ≈1.700 M USD de un cliente posible a corto plazo; la empresa no ve cambio material en su riesgo [21].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Investigaciones a ISS en EE. UU. (SEC, fiscales estatales)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SEC acudió al juez el 4-sep-26 para obtener datos de voto de clientes de ISS [21].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9.486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11.613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14.200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16.535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17.106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Fondo de comercio y compras</w:t>
      </w:r>
    </w:p>
    <w:p>
      <w:pPr>
        <w:spacing w:after="100"/>
      </w:pPr>
      <w:r>
        <w:t xml:space="preserve">Fondo de comercio: 8.137 M en 2025 (el 48 % del capital invertido medio); ha subido más de un 5 % en 5 de 8 años: comprador en serie. ROIC publicado 12,9 %; sin fondo de comercio, 24,9 %. En un comprador en serie el fondo de comercio es el precio de su crecimiento: juzga el publicado.</w:t>
      </w:r>
    </w:p>
    <w:p>
      <w:pPr>
        <w:spacing w:after="100"/>
      </w:pPr>
      <w:r>
        <w:rPr>
          <w:b/>
          <w:bCs/>
        </w:rPr>
        <w:t xml:space="preserve">ROIC incremental</w:t>
      </w:r>
      <w:r>
        <w:t xml:space="preserve"> (variación del NOPAT sobre variación del capital invertido en el periodo): 11,3 % · </w:t>
      </w:r>
      <w:r>
        <w:rPr>
          <w:b/>
          <w:bCs/>
        </w:rPr>
        <w:t xml:space="preserve">WACC</w:t>
      </w:r>
      <w:r>
        <w:t xml:space="preserve">: 7,7 %.</w:t>
      </w:r>
    </w:p>
    <w:p>
      <w:pPr>
        <w:spacing w:after="100"/>
      </w:pPr>
      <w:r>
        <w:t xml:space="preserve">El ROIC de 2025 es del 12,9 % frente a un WACC del 7,68 %: crea valor, aunque menos que antes de SimCorp, que añadió fondo de comercio (48 % del capital invertido); sin él, el ROIC es del 24,9 % [15]. El ROE es del 18,1 % y el ROIC incremental de los últimos años, del 11,3 %. El ROIC depende en parte de los tipos: la tesorería aportó 837 M de ingresos en 2025, el 14 % del total [31].</w:t>
      </w:r>
    </w:p>
    <w:p>
      <w:pPr>
        <w:pStyle w:val="Heading1"/>
      </w:pPr>
      <w:r>
        <w:t xml:space="preserve">11. Deuda y solvencia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sep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5.522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5.537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propia («other cash and bank balances») de 1.747 M a 30-jun-26 (1.782 M a dic-25), sin contar 63.764 M de saldos bancarios restringidos de clientes; líneas de crédito comprometidas de Deutsche Börse AG y Clearstream, programa de pagarés de 2.500 M de Deutsche Börse AG (sin usar a dic-25) y programa de deuda de 2.500 M sin usar [10, 14]. A 30-sep-26 la empresa solo publica un extracto del balance, sin la caja propia [21].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AA− (Deutsche Börse AG, confirmado en dic-2025) y A-1+ a corto; Clearstream Banking S.A.: AA estable (S&amp;P y Fitch) [10]. Moody's: sin nota pública localizada en las cuentas.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Pensiones casi nulas: 21 M de provisión neta a 30-jun-26 (109 M de prestaciones a empleados a dic-25, la mayoría a corto) [10, 14]. Los híbridos (600 M con amortización anticipada en jun-27, 500 M en jun-28 y 600 M nuevos de sep-26 con primera fecha en 2032) cuentan al 50 % como capital para S&amp;P [16, 21]. El convertible de 600 M (sep-26, cupón 0,5 %, reembolso al 107,85 % en 2031) tiene precio de conversión de 363,67 EUR: 1,65 M de acciones nuevas si convierte [28]. Litigio Peterson II: un tribunal de EE. UU. falló en mar-26 a favor de acreedores de Irán sobre unos 1.700 M USD del banco central iraní custodiados en una cuenta de cliente de Clearstream; puede dictarse ya la orden de entrega y Clearstream estudia recurrir [21]. ISS sigue investigada por la SEC y por fiscales de estados de EE. UU. [21]. Compromiso pendiente: la compra de Allfunds (≈5,3 mil M, ≈70 % en efectivo), con indemnizaciones si no se cierra [14, 21]. Los saldos de clientes y las posiciones de cámara (409 mil M de activo a sep-26) no son de la empresa y están fuera del balance analítico.</w:t>
      </w:r>
    </w:p>
    <w:p>
      <w:pPr>
        <w:pStyle w:val="Heading1"/>
      </w:pPr>
      <w:r>
        <w:t xml:space="preserve">12. Asignación de capital</w:t>
      </w:r>
    </w:p>
    <w:p>
      <w:pPr>
        <w:pStyle w:val="Confianza"/>
        <w:spacing w:after="100"/>
      </w:pPr>
      <w:r>
        <w:t xml:space="preserve">Confianza: Alta</w:t>
      </w:r>
    </w:p>
    <w:p>
      <w:pPr>
        <w:spacing w:after="100"/>
      </w:pPr>
      <w:r>
        <w:t xml:space="preserve">Dividendo del 30-40 % del beneficio atribuido (4,20 EUR por 2025, el 38 %, 760 M pagados en mayo de 2026) [14, 16]. Desde dic-2025 las recompras son anuales y su importe depende del exceso de liquidez: 500 M en 2025 y otros 500 M en 2026, terminados el 26-jun-26; 2,1 M de acciones amortizadas el 15-sep-26 [21, 29]. Prioridad declarada: crecimiento orgánico y compras selectivas, manteniendo el AA− (deuda neta/EBITDA ≤ 2,25, FFO/deuda neta ≥ 40 %, cobertura de intereses ≥ 14) [16].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
        <w:gridCol w:w="2141"/>
        <w:gridCol w:w="95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ISS (Institutional Shareholder Services), 80 %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1.843</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pagarés y bonos (1.000 M emitidos en 2021)</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 ISS STOXX; el negocio de ESG está plano o a la baja en 2026 [22]. Cifra: compras netas de caja de 2021 [18].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SimCorp (software de gestión de inversiones, Dinamarca)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3.842</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Bonos (3.000 M emitidos en 2023)</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Software Solutions crece +9 % en los 9M26 y el ARR llega a 727 M (+13 % a tipo constante); sin deterioros a 2025 [10, 22]. Cifra: compras netas de caja de 2023 [17].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ISS STOXX: 19,69 % de General Atlantic</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a finales de marzo de 2026 a 20 veces el EBITDA ajustado; resta 1.150 M al patrimonio [10, 21].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Allfunds (plataforma de distribución de fondos)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5.300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6,00 EUR en efectivo y 0,0122 acciones por acción (≈70 % caja, ≈30 % autocartera)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Pendiente: aprobada por los accionistas de Allfunds el 12-mar-26; cierre previsto en el 1S27 tras autorizaciones [6, 7, 14, 21].</w:t>
            </w:r>
          </w:p>
        </w:tc>
      </w:tr>
    </w:tbl>
    <w:p>
      <w:pPr>
        <w:spacing w:after="160" w:before="0"/>
      </w:pPr>
    </w:p>
    <w:p>
      <w:pPr>
        <w:spacing w:after="100"/>
      </w:pPr>
      <w:r>
        <w:t xml:space="preserve">En 2017-2025 el grupo generó unos 15.900 M de flujo operativo; destinó unos 7.400 M a compras (ISS, SimCorp y otras), 5.150 M a dividendos y 1.190 M a recompras [15, 17, 18, 19, 20]. Las compras han cambiado el perfil hacia ingresos recurrentes, pero a precios altos: el fondo de comercio pasa de 2.771 M a 8.137 M y el ROIC baja por ello. En 2026 la caja va a recomprar a General Atlantic su 19,69 % de ISS STOXX (1.150 M a 20 veces el EBITDA) y a preparar Allfunds, financiada con bonos nuevos (650 M, híbrido de 600 M y convertible de 600 M) [14, 21, 28]. La dilución es mínima: las acciones diluidas bajan de 186,8 M en 2017 a 183,5 M en 2025 y la circulación ronda 180 M en sep-26 [15, 21]. El convertible da hasta 1,65 M de acciones y Allfunds pedirá ≈30 % de su precio en acciones.</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Stephan Leithner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ejecutivo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consejo de dirección desde julio de 2018 (Pre- &amp; Post-Trading y después Investment Management Solutions); primer ejecutivo único desde el 1-ene-2025, sucedió a Theodor Weimer (relevo anunciado el 8-mar-2024 y tres meses de co-CEO) [68], y mandato hasta el 30-sep-2029. En su primer año cumplió la guía de 2025 (ingresos netos sin tesorería de 5.189 M frente a ≈5,2 mil M y EBITDA sin tesorería de 2.675 M frente a ≈2,7 mil M) [52, 55]. Tenía acciones por 4,9 M EUR a valor de la regla de tenencia (299 % del sueldo fijo, frente al 200 % exigido) [54].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Jens Schulte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consejo de dirección desde el 1-jun-2025 y director financiero desde el 22-sep-2025 (mandato hasta mayo de 2028); sustituyó, como estaba previsto, a Gregor Pottmeyer, director financiero desde 2009. Aún está en la fase de cuatro años para acumular acciones (0 % del sueldo fijo a cierre de 2025) [52, 54]. Lleva poco más de un año: su historial con la guía empieza en 2026.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Clara-Christina Streit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del consejo de supervisión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 supervisión desde 2019 e independiente; nombrada sucesora de Martin Jetter en diciembre de 2024 y elegida presidenta el 14-may-2025 [52, 69]. Preside también el consejo de supervisión de Vonovia y la comisión del Código alemán de gobierno corporativo [69]. Bajo su presidencia se cambiaron el sistema de remuneración (2025) y la estructura de comisiones (2026).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Christoph Böhm</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 dirección, tecnología y operaciones (CIO/COO)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consejo de dirección desde noviembre de 2018; el consejo de supervisión le renovó anticipadamente el mandato hasta octubre de 2029 [52]. Acciones por 4,3 M EUR (599 % del sueldo fijo) [54].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Thomas Book</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 dirección, Trading &amp; Clearing</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consejo de dirección desde julio de 2018 y responsable de Eurex, Xetra, EEX y 360T, el segmento que más ha crecido en 2025-2026 (ingresos netos sin tesorería de los nueve primeros meses de 2026: 1.995 M, +13 %) [60]. Mandato renovado anticipadamente hasta junio de 2029; acciones por 4,2 M EUR (648 % del fijo) [52, 54].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Christian Kromann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 dirección, Investment Management Solutions (SimCorp, ISS STOXX)</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consejo de dirección desde el 1-ene-2025, con mandato hasta diciembre de 2027; heredó de Leithner la división de software, datos ESG e índices [52, 54]. Lleva el único segmento cuyo beneficio cae en 2026: EBITDA sin tesorería de Investment Management Solutions de los nueve meses de 308 a 276 M (−10 %) con ingresos netos +5 % [60].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Stephanie Eckermann y Heike Eckert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Consejeras de dirección: Post-Trading (Clearstream) y Personas, Riesgos y Cumplimiento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Eckermann, en el consejo desde junio de 2024 (mandato hasta mayo de 2027); Eckert, desde julio de 2020, añadió en 2025 la dirección de riesgos [52].</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Inicial (mar-26): ingresos netos sin tesorería ≈5,7 mil M, tesorería ≈0,7 mil M (total ≈6,4 mil M), EBITDA sin tesorería ≈3,1 mil M. 3T26 (20-oct): confirma 5,7 con posibilidad de superarlos ligeramente, sube la tesorería a más de 0,8 mil M (en julio ya a más de 0,7), total a más de 6,5 mil M y EBITDA total a ≈3,9 mil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Nueve meses: ingresos netos sin tesorería 4.261 M (+12 %), tesorería 627 M, EBITDA 2.964 M (+12 %); en curso, va por encima del ritmo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netos sin tesorería ≈5,2 mil M, tesorería más de 0,8 mil M y EBITDA sin tesorería ≈2,7 mil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5.189 M, 837 M y 2.675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netos más de 5,6 mil M y EBITDA más de 3,2 mil M (subida en el año a ≈5,8 y 3,3-3,4 mil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5.828 M y 3.396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netos 4,5-4,7 mil M y EBITDA 2,6-2,8 mil M (subida en el año a ≈5,0 y ≈2,9 mil M con SimCorp)</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5.077 M y 2.944 M (con 198 M de ingresos de SimCorp, no previstos)</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netos ≈3,8 mil M y EBITDA ≈2,2 mil M (subida en el año a más de 4,1 y más de 2,3 mil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4.338 M y 2.526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netos ≈3,5 mil M y EBITDA ≈2,0 mil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3.510 M y 2.043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2022 (plan Compass 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Objetivos de crecimiento del plan a medio plazo Compass 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Alcanzados en 2022, un año antes de lo previsto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rPr>
          <w:b/>
        </w:rPr>
        <w:t xml:space="preserve">Credibilidad alta</w:t>
      </w:r>
      <w:r>
        <w:t xml:space="preserve">: seis guías anuales seguidas cumplidas o superadas (2021-2025, y 2026 en camino), aunque con un matiz: en 2022-2024 el exceso vino sobre todo de los tipos de interés (ingresos de tesorería) y de la volatilidad, no del negocio estructural, que creció en torno al 5-7 % anual previsto [55, 56, 57, 58, 59]. Desde 2025 la empresa guía por separado la parte sin tesorería, lo que hace la guía más exigente y más útil; en 2025 se cumplió casi al milímetro. El equipo es estable: Böhm y Book, en el consejo desde 2018, tienen el mandato renovado hasta 2029 y Leithner hasta septiembre de 2029. </w:t>
      </w:r>
      <w:r>
        <w:rPr>
          <w:b/>
        </w:rPr>
        <w:t xml:space="preserve">Los dos relevos de la cúpula</w:t>
      </w:r>
      <w:r>
        <w:t xml:space="preserve"> (primer ejecutivo en enero de 2025 y director financiero en septiembre de 2025) fueron sucesiones internas o planificadas y anunciadas con antelación, no salidas forzadas [52, 54]. El riesgo nuevo es de ejecución: la compra de Allfunds y el objetivo de 2028 (6,5 mil M sin tesorería) los firma un director financiero con un año en la casa.</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Clara-Christina Streit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del consejo de supervisión (desde mayo de 2025); preside Vonovia y la comisión del Código alemán de gobierno corporativo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 Nombramientos y Gobierno, Estrategia y Sostenibilidad, Presidencia y Mediación; 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Markus Beck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representante de los trabajadores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 Nombramientos y Gobierno; Presidencia; Mediación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Barbara Lambert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experta en auditoría (Merck KGaA, Implenia, UBS Suiza)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 Auditoría y Riesgos; Nombramientos y Gobierno; Mediación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Andreas Gottschling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Riesgos; Tecnología (presidía la de Riesgos hasta su fusión con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Sigrid Kozmiensky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experta en información financiera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Charles Stonehill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(Green &amp; Blue Advisors)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Nombramientos y Gobierno; Estrategia y Sostenibilidad; Presidencia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Chong Lee Tan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(CEO de 65 Equity Partners, Temasek)</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Jean-Pierre Mustier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(expresidente ejecutivo de UniCredit; preside Aareal Bank)</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 y Sostenibilidad; Tecnología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Claudia Nemat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(exmiembro del consejo de dirección de Deutsche Telekom); sustituye a Shannon Johnston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 Tecnología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Nadine Brandl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Representante de los trabajadores (ver.di)</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Nombramientos y Gobierno; Presidencia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Anja Greenwood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Representante de los trabajadores (European Commodity Clearing)</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Riesgos;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Oliver Greie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Representante de los trabajadores (ver.di)</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Riesgos; Mediación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Achim Karle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Representante de los trabajadores (Eurex)</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Riesgos; Estrategia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Rainer Müller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Representante de los trabajadores (Eurex Clearing)</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 y Sostenibilidad; Tecnología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Carsten Schäfer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Representante de los trabajadores (Deutsche Börse)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 y Sostenibilidad; Tecnología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Maria-Regina Wohak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Representante de los trabajadores (Deutsche Börse, índices)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 y Sostenibilidad; Tecnología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8,7 %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(informe de 4-mar-2026, sin salvedades) [10]</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6,47 / ventas 1,04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 (7,74 % en acciones y 0,25 % en instrumentos)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el 7 % y el 8 % todo 2026; última notificación, umbral cruzado el 8-oct-2026 (antes 8,02 %) [65]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Children's Investment Fund (TCI, Christopher Hohn)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cobertura; 1,43 % en acciones y 5,00 % en permutas liquidables en efectivo (sin voto)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 del 0,87 % a más del 5 % en mayo de 2026 y al 6,43 % el 17-jun-2026 [65]. Según la prensa, inversión a largo plazo y no campaña activista [70]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Massachusetts Financial Services (MFS)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Subió del 4,87 % al 5,08 % el 21-nov-2025; sin notificación posterior [65]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FIL Limited (Fidelity International)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3,18 % el 25-sep-2025; sin notificación posterior [65]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Amundi S.A.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Oscila en torno al 3 % (varias notificaciones de agosto a octubre de 2026; 3,02 % en la última) [65]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 propias (3.915.303)</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3,05 % al 2,13 % tras amortizar 2,1 M de acciones el 15-sep-2026, al terminar la recompra de 500 M [60, 65]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Inversores institucionales / minoristas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 disperso: 90 % institucional y 10 % minorista a cierre de 2025 (35 % Norteamérica, 24 % Reino Unido, 20 % Alemania)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Estable en 2016-2025 [71]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Stephan Leithner (primer ejecutivo)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Christoph Böhm (consejo de dirección)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Thomas Book (consejo de dirección)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Heike Eckert (consejo de dirección)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Stephanie Eckermann (consejo de dirección)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Christian Kromann (consejo de dirección)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Jens Schulte (director financiero)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21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Christian Kromann (consejo de dirección)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3.990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primer ejecutivo devengó 7,0 M EUR en 2025 (5,4 M en 2024 como co-CEO): 2,3 M de fijo (con 0,5 M en lugar de pensión), 2,0 M de bonus en efectivo y 2,8 M diferidos (otros 2,0 M de bonus que se invierten obligatoriamente en acciones y 0,8 M del plan de acciones 2021-2025) [54]. Es 58 veces la remuneración media de la plantilla de Fráncfort (121.000 EUR; estimación propia). </w:t>
      </w:r>
      <w:r>
        <w:rPr>
          <w:b/>
        </w:rPr>
        <w:t xml:space="preserve">El bonus anual</w:t>
      </w:r>
      <w:r>
        <w:t xml:space="preserve"> pondera por tercios ingresos netos y EBITDA, ambos </w:t>
      </w:r>
      <w:r>
        <w:rPr>
          <w:b/>
        </w:rPr>
        <w:t xml:space="preserve">sin tesorería</w:t>
      </w:r>
      <w:r>
        <w:t xml:space="preserve"> (se excluye el efecto de los tipos), y objetivos individuales; en 2025 los financieros se cumplieron al 164,85 %. </w:t>
      </w:r>
      <w:r>
        <w:rPr>
          <w:b/>
        </w:rPr>
        <w:t xml:space="preserve">El variable a largo plazo</w:t>
      </w:r>
      <w:r>
        <w:t xml:space="preserve"> (cinco años) mide TSR relativo (40 %), BPA en caja sin tesorería (35 %, objetivo +7,5 % anual) y ESG (25 %); el tramo 2021 pagó el 86,81 % con un TSR en el percentil 24 [54]. Tope de 12 M para el primer ejecutivo, malus y clawback (no aplicados en 2025), indemnización máxima de dos años y tenencia obligatoria de acciones del 200 % del fijo. El informe se aprobó con el 92,79 % en 2026, el 93,43 % en 2025 y el 91,82 % en 2024, y el sistema nuevo con el 91,33 % en 2025 [51, 61, 62]. Las compras de acciones de todo el consejo de dirección del 1-jun-2026 (6,5 M EUR) son la inversión obligatoria del bonus, no compras discrecionales; la única venta de los 12 meses, de Kromann, sirvió para pagar impuestos de acciones recibidas de SimCorp por su antiguo cargo de primer ejecutivo allí [64].</w:t>
      </w:r>
    </w:p>
    <w:p>
      <w:pPr>
        <w:pStyle w:val="Heading2"/>
      </w:pPr>
      <w:r>
        <w:t xml:space="preserve">Operaciones vinculadas, estructura de control y defensas</w:t>
      </w:r>
    </w:p>
    <w:p>
      <w:pPr>
        <w:spacing w:after="100"/>
      </w:pPr>
      <w:r>
        <w:t xml:space="preserve">Sociedad anónima alemana con </w:t>
      </w:r>
      <w:r>
        <w:rPr>
          <w:b/>
        </w:rPr>
        <w:t xml:space="preserve">sistema dual</w:t>
      </w:r>
      <w:r>
        <w:t xml:space="preserve">: el consejo de dirección (siete miembros, todos ejecutivos) gestiona y el de supervisión (16 miembros por la ley de cogestión: ocho de los accionistas y ocho de los trabajadores) controla y nombra. Los ocho de los accionistas son independientes según el Código alemán, también la presidenta; la figura del consejero coordinador no existe en este sistema; Claudia Nemat, que entró en mayo de 2026, también es independiente [53, 63, 66]. La comisión de Auditoría y Riesgos la preside una independiente experta (Lambert), pero solo cuatro de sus ocho miembros son independientes y cuatro son de los trabajadores, por eso no se marca la mayoría independiente [66]. Capital disperso, sin accionista de control ni pactos; una acción, un voto, sin límites estatutarios de voto ni acciones con derechos especiales [67]. Defensas: cláusulas de cambio de control (más del 50 %) en bonos y en la línea de crédito, y capital autorizado renovado en 2026 con el 95,76 % [51, 67]. La compra de Allfunds se paga en parte con acciones nuevas mediante un esquema británico que no vota la junta de Deutsche Börse [72].</w:t>
      </w:r>
    </w:p>
    <w:p>
      <w:pPr>
        <w:pStyle w:val="Heading2"/>
      </w:pPr>
      <w:r>
        <w:t xml:space="preserve">Señales de alerta</w:t>
      </w:r>
    </w:p>
    <w:p>
      <w:pPr>
        <w:pStyle w:val="ListParagraph"/>
        <w:numPr>
          <w:ilvl w:val="0"/>
          <w:numId w:val="2"/>
        </w:numPr>
        <w:spacing w:after="60"/>
      </w:pPr>
      <w:r>
        <w:rPr>
          <w:b/>
        </w:rPr>
        <w:t xml:space="preserve">Investigación de competencia de la Comisión Europea</w:t>
      </w:r>
      <w:r>
        <w:t xml:space="preserve"> (abierta el 6-nov-2025, tras una inspección en septiembre de 2024) por presunta coordinación con Nasdaq en derivados, ligada a la antigua cooperación Eurex-HEX; la empresa dice que no puede descartar una multa ni estimarla. Un consejero de supervisión se abstiene en este asunto por conflicto de interés [16, 52].</w:t>
      </w:r>
    </w:p>
    <w:p>
      <w:pPr>
        <w:pStyle w:val="ListParagraph"/>
        <w:numPr>
          <w:ilvl w:val="0"/>
          <w:numId w:val="2"/>
        </w:numPr>
        <w:spacing w:after="60"/>
      </w:pPr>
      <w:r>
        <w:rPr>
          <w:b/>
        </w:rPr>
        <w:t xml:space="preserve">Clearstream y los activos iraníes (Peterson II)</w:t>
      </w:r>
      <w:r>
        <w:t xml:space="preserve">: un tribunal de EE. UU. falló el 31-mar-2026 a favor de los acreedores de Irán sobre unos 1.700 M USD del banco central iraní custodiados en Clearstream Banking S.A.; puede llegar pronto una orden de entrega y Clearstream estudia recurrir, con el choque con las sanciones de la UE de fondo [60].</w:t>
      </w:r>
    </w:p>
    <w:p>
      <w:pPr>
        <w:pStyle w:val="ListParagraph"/>
        <w:numPr>
          <w:ilvl w:val="0"/>
          <w:numId w:val="2"/>
        </w:numPr>
        <w:spacing w:after="60"/>
      </w:pPr>
      <w:r>
        <w:rPr>
          <w:b/>
        </w:rPr>
        <w:t xml:space="preserve">Cum-ex</w:t>
      </w:r>
      <w:r>
        <w:t xml:space="preserve">: la Fiscalía de Colonia investiga desde 2017 a Clearstream como posible partícipe y ha ampliado los sospechosos a empleados y miembros, actuales y antiguos, de consejos de dirección del grupo; sin provisión, porque la empresa no espera responsabilidad [16].</w:t>
      </w:r>
    </w:p>
    <w:p>
      <w:pPr>
        <w:pStyle w:val="ListParagraph"/>
        <w:numPr>
          <w:ilvl w:val="0"/>
          <w:numId w:val="2"/>
        </w:numPr>
        <w:spacing w:after="60"/>
      </w:pPr>
      <w:r>
        <w:rPr>
          <w:b/>
        </w:rPr>
        <w:t xml:space="preserve">ISS (asesor de voto)</w:t>
      </w:r>
      <w:r>
        <w:t xml:space="preserve">: investigaciones de fiscales estatales de EE. UU., demandas de varios estados por protección al consumidor y, desde el 4-sep-2026, un procedimiento de la SEC para obligar a ISS a entregar datos de los votos de sus clientes [60].</w:t>
      </w:r>
    </w:p>
    <w:p>
      <w:pPr>
        <w:pStyle w:val="ListParagraph"/>
        <w:numPr>
          <w:ilvl w:val="0"/>
          <w:numId w:val="2"/>
        </w:numPr>
        <w:spacing w:after="60"/>
      </w:pPr>
      <w:r>
        <w:rPr>
          <w:b/>
        </w:rPr>
        <w:t xml:space="preserve">TCI vuelve con el 6,43 %</w:t>
      </w:r>
      <w:r>
        <w:t xml:space="preserve"> (5 puntos en permutas): fue el fondo que en 2005 forzó la salida del primer ejecutivo; por ahora, según la prensa, sin intención activista [65, 70].</w:t>
      </w:r>
    </w:p>
    <w:p>
      <w:pPr>
        <w:pStyle w:val="ListParagraph"/>
        <w:numPr>
          <w:ilvl w:val="0"/>
          <w:numId w:val="2"/>
        </w:numPr>
        <w:spacing w:after="60"/>
      </w:pPr>
      <w:r>
        <w:t xml:space="preserve">Remuneración: el voto en contra del informe ronda el 7-9 % en cada junta (el más alto, 8,67 %, contra el sistema de 2025); no llega al umbral del 20 % [51, 61, 62].</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Alta</w:t>
      </w:r>
    </w:p>
    <w:p>
      <w:pPr>
        <w:spacing w:after="100"/>
      </w:pPr>
      <w:r>
        <w:t xml:space="preserve">El 20-oct-2026, con el 3T26, Deutsche Börse subió por segunda vez la guía de 2026: ingresos netos totales de más de 6.500 M EUR (antes, más de 6.400) y EBITDA total de unos 3.900 M EUR (antes, más de 3.800), por un resultado de tesorería que ahora espera de más de 800 M EUR (antes, más de 700) tras las subidas de tipos del BCE y la Fed de septiembre y saldos de clientes más altos. Sin tesorería mantiene unos 5.700 M EUR de ingresos netos, con «potencial para superarlos ligeramente», y unos 3.100 M EUR de EBITDA; los costes operativos, sin los gastos de la compra de Allfunds, crecerían en torno a un 3 % [21]. El plan a medio plazo del Capital Markets Day de diciembre de 2025 sigue vigente (la guía remite a las páginas 73-75 del informe anual 2025) [21]. Próximos resultados: 10-feb-2027, hacia las 19:00 [22].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Consenso que recopila la empresa: 14 analistas, estimaciones del 25-sep al 12-oct-2026, antes del 3T26 [27]; MarketScreener a 21-oct: 6.579 / 3.944 / BPA 12,62 [74]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Consenso de la empresa, 14 analistas, 12-oct-2026 [27]; MarketScreener: 6.881 / 4.189 / BPA 13,61 [74]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7.402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4.598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4.046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Consenso de la empresa, 14 analistas, 12-oct-2026 [27]; MarketScreener: 7.356 / 4.575 / BPA 15,20 [74]</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7.359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7.402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4.526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4.598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 3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304,64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252,00 – 345,00</w:t>
            </w:r>
          </w:p>
        </w:tc>
      </w:tr>
    </w:tbl>
    <w:p>
      <w:pPr>
        <w:spacing w:after="160" w:before="0"/>
      </w:pPr>
    </w:p>
    <w:p>
      <w:pPr>
        <w:pStyle w:val="Heading2"/>
      </w:pPr>
      <w:r>
        <w:t xml:space="preserve">Revisiones de estimaciones</w:t>
      </w:r>
    </w:p>
    <w:p>
      <w:pPr>
        <w:spacing w:after="100"/>
      </w:pPr>
      <w:r>
        <w:t xml:space="preserve">Fuentes: el consenso que recopila la propia empresa (14 analistas, 25-sep a 12-oct, ingresos netos y EBITDA NIIF publicados, BPA básico publicado) [27] y MarketScreener (21-oct) [74], que coinciden a menos de un 1 %. Ninguno recoge aún del todo el 3T26: el trimestre batió al consenso de la empresa en ingresos netos (1.633 frente a 1.598 M EUR, +2,2 %), EBITDA (978 frente a 954, +2,5 %) y BPA (3,10 frente a 3,05 EUR, +1,6 %) [27][21]. En tres meses (MarketScreener, jul → oct) el BPA 2026e pasó de 12,19 a 12,62 EUR (+3,5 %), el 2027e de 13,11 a 13,61 (+3,8 %) y el 2028e de 14,51 a 15,20 (+4,8 %); el EBITDA, un 1,7-2,7 % [74]. La causa: tipos más altos (tesorería) y la actividad en derivados de tipos y repos. Revisión a 12 meses: sin serie gratuita. Objetivos: el medio de la empresa es 318 EUR (12-oct; 10 comprar, 3 neutral, 1 restringido) [27]; el de MarketScreener, 304,64 EUR [83], y el de finanzen.net, 303,56 [82]. Tendencia de los objetivos en 3 meses: subidas (Deutsche Bank 305 → 313, Warburg → 322, Jefferies 280 → 330) [75][80][82].</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w:t>
            </w:r>
          </w:p>
        </w:tc>
      </w:tr>
    </w:tbl>
    <w:p>
      <w:pPr>
        <w:spacing w:after="160" w:before="0"/>
      </w:pPr>
    </w:p>
    <w:p>
      <w:pPr>
        <w:spacing w:after="100"/>
      </w:pPr>
      <w:r>
        <w:t xml:space="preserve">Precio del informe: cierre de Xetra del 20-oct-2026, 308,90 EUR [73]. Rentabilidad total hasta el cierre del 19-oct (Yahoo aún no tenía el del 20-oct), con el ETF del DAX (EXS1) como índice y el de servicios financieros europeos (EXH2) como sector [77]. La acción gana un 39,9 % en el año frente al 2,8 % del DAX: en 2026 ha sido refugio en una bolsa alemana plana, porque la crisis de Oriente Medio y el estrecho de Ormuz, con subidas de tipos del BCE y la Fed en septiembre, le dan volumen en derivados de tipos, repos y compensación, y más resultado de tesorería [21]. 2025 fue lo contrario: +2,0 % frente al +22,6 % del DAX, con la tesorería a la baja por los recortes de tipos y la caída del 29,6 % desde el máximo de mayo de 2025 hasta febrero de 2026, que tocó fondo tras anunciar la compra de Allfunds [77][7]. Beta mensual de 5 años, 0,38 (semanal de 2 años, 0,41; ajustada, 0,58): muy defensiva frente al DAX [77]. Posiciones cortas publicadas (las de 0,5 % o más): una sola, de D.E. Shaw, del 1,00 % del capital (6-oct) [89].</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+8,7 % / +20,1 % / +14,1 % / +35,3 %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-1,7 % / +49,6 %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2027-02-10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jul-oct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hechos. (1) El 2T26 batió las previsiones el 22-jul y la acción cerró julio en 262,3 EUR (+9,8 % en el mes) [75]. (2) En septiembre el BCE y la Fed subieron tipos por la escalada en Oriente Medio y Ormuz. Eso dispara la actividad en derivados de tipos, repos y compensación OTC y el resultado de tesorería, y la empresa subió la guía de tesorería en el semestre y otra vez con el 3T26 [21][14]. (3) Mejoras de analistas: Warburg sube el objetivo a 322 EUR (8-sep), JPMorgan retoma la cobertura con «Overweight» (30-sep) y Deutsche Bank sube a 313 EUR (9-oct) [75]. El 19-oct marcó un máximo histórico de 312,20 EUR [77].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feb-mar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Rebote desde el mínimo de 52 semanas (200,10 EUR el 4-feb; 203,3 al cierre del 11-feb) hasta 251,1 EUR el 31-mar. Antes había caído tras anunciar la compra de Allfunds (21-ene) [7][77]. Lo empujaron los resultados récord de 2025 del 12-feb (+4,6 % el 13-feb) y la volatilidad de la crisis del primer trimestre, que llevó a máximos el volumen de derivados [14][77].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3T26 publicado tras el cierre (hacia las 19:00): ingresos netos +13 % (1.633 M EUR), EBITDA +16 % (978 M), BPA 3,10 EUR, todo por encima del consenso de la empresa (1.598 / 954 / 3,05). Segunda subida de la guía de 2026 (EBITDA total ≈ 3.900 M EUR) [21][27]. Reacción el 21-oct: abre en 298-299 EUR, mínimo de 295,60 (−4,3 %) y a las 10:00 cotiza a 305,5 (−1,1 %), con el DAX plano [88]. Lectura: el consenso ya estaba en 3.955 M EUR de EBITDA 2026, por encima de la nueva guía, así que la subida estaba descontada tras un +20 % en tres meses.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los resultados, Jefferies mantiene «Buy» con objetivo de 330 EUR, JPMorgan «Overweight» y RBC «Sector Perform» [75][82]. Antes: JPMorgan retoma la cobertura con «Overweight» (30-sep) y Deutsche Bank sube el objetivo a 313 EUR (9-oct) [75]. Objetivo medio de 304,64 EUR (MarketScreener, 14 analistas), por debajo del precio [83].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2026-09-09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o convertible</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Convertible sénior de 600 M EUR a 2031, cupón del 0,5 %, prima de conversión del 30-35 % sobre el precio medio del 9-sep (≈ 274 EUR): conversión hacia 355-370 EUR, ≈ 1,6-1,7 M de acciones (≈ 0,9 %), hoy fuera de dinero [81][21]. El 2-sep emitió además un híbrido de 600 M EUR al 4,2 % y el 28-sep devolvió un bono de 1.000 M EUR [21].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2026-01-21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Allfunds a 8,80 EUR por acción (6,00 en efectivo y 0,0122 acciones de Deutsche Börse; ≈ 5.300 M EUR). La aprobaron los accionistas de Allfunds el 12-mar. Falta la autorización de competencia y de los reguladores, y el cierre se espera en el 1S27 [21][7]. Al cerrar saldrán ≈ 3.600 M EUR de caja y entrarán ≈ 7,3 M de acciones nuevas o de autocartera (estimación con ≈ 600 M de acciones de Allfunds). El precio está fijado, así que el cierre no debería mover la acción más de un 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2026-03-31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del 19,69 % de ISS STOXX que tenía General Atlantic por 1.150 M EUR, cerrada a finales de marzo: el patrimonio baja en 1.150 M EUR y los minoritarios pasan de 517 a 402 M EUR [21].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2026-09-04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ISS (proxy advisor): la SEC pide a un tribunal que la obligue a entregar datos de votos de clientes, y varios estados de EE. UU. la han demandado. Caso Peterson II: puede dictarse en breve la orden de entregar ≈ 1.700 M USD atribuidos al Banco Central de Irán y custodiados en Clearstream. Son activos de un cliente, no de Deutsche Börse, pero choca con las sanciones de la UE y Clearstream estudia recurrir. La empresa dice que no cambia su perfil de riesgo [21].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subida del 20 % en tres meses tiene causa de negocio documentada: tipos al alza que suben la tesorería, volumen en derivados de tipos y repos con la crisis de Oriente Medio, dos subidas de la guía y mejoras de analistas [21][75]. No es un rumor ni una operación. El 3T26 batió al consenso, pero el consenso de EBITDA de 2026 ya estaba por encima de la nueva guía. Por eso la acción cayó hasta un 4,3 % al abrir el 21-oct y luego recuperó casi todo [88]. No hay colocaciones ni ventas de accionistas de referencia anunciadas: el capital es todo flotante. La convertible diluye menos del 1 % y está fuera de dinero, y Allfunds tiene el precio fijado. Ningún hecho pendiente debería mover el precio más de un 5 %. Veredicto: no cambia. Buscado en el estado del 3T26, dpa-AFX (boerse-online), finanzen.net y MarketScreener.</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Cierres de Xetra del último día hábil de cada ejercicio (Yahoo, históricos diarios) [77]. Coinciden con los publicados por la empresa para 2021-2023 [76]. Ningún proveedor gratuito da el PER ni el EV/EBITDA adelantados de cada año, así que el motor los calcula con los BPA reales. Ningún año se excluye: Deutsche Börse no tuvo pérdidas ni un BPA hundido en 2016-2025. 2020 y 2022 fueron años buenos (volatilidad), no atípicos. Cambio estructural: desde 2023 un tercio del beneficio depende de los tipos (tesorería) y la compra de SimCorp (2023) suma software con ingresos recurrentes.</w:t>
      </w:r>
    </w:p>
    <w:p>
      <w:pPr>
        <w:pStyle w:val="Heading1"/>
      </w:pPr>
      <w:r>
        <w:t xml:space="preserve">18. Comparables cotizados</w:t>
      </w:r>
    </w:p>
    <w:p>
      <w:pPr>
        <w:pStyle w:val="Confianza"/>
        <w:spacing w:after="100"/>
      </w:pPr>
      <w:r>
        <w:t xml:space="preserve">Confianza: Media</w:t>
      </w:r>
    </w:p>
    <w:p>
      <w:pPr>
        <w:spacing w:after="100"/>
      </w:pPr>
      <w:r>
        <w:t xml:space="preserve">Ocho infraestructuras de mercado: bolsas con cámara (CME, ICE, Nasdaq, LSEG, Euronext), una plataforma de renta fija (Tradeweb) y dos de índices y datos (MSCI y S&amp;P Global), por ISS STOXX y SimCorp. Siete salen de la ficha sectorial del repo (MarketScreener y Stock Analysis, cierres del 13/14-oct) [85], llevadas al cierre del 20-oct con la variación del precio en Yahoo, con la deuda neta constante [87]. Euronext se calcula aparte con MarketScreener (últimos 12 meses ≈ media de 2025 y 2026e; próximos 12 ≈ 20 % 2026e y 80 % 2027e) [84]. Capitalización en M EUR (BCE del 20-oct: 1,1215 USD y 0,84028 GBP) [87]. Fuera: Cboe (MarketScreener no dio la tabla), HKEX (caja de clientes mezclada en su deuda neta), SIX y Euroclear (no cotizan). BPA: el publicado de MarketScreener, como el de Deutsche Börse. Ojo: el de LSEG lleva la amortización de Refinitiv (con el ajustado, ≈ 16x).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Deutsche Börse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55.756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CME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94.683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Intercontinental Exchange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79.376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Nasdaq</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London Stock Exchange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50.034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Euronext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17.171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Tradeweb Markets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38.355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S&amp;P Global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115.204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 / 17,3x / 18,8x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288,77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366,80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402,38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 / 19,4x / 22,0x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299,05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383,64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438,43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23,3x / 24,8x / 25,8x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313,59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334,49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347,98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6.462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10,2x / 10,7x / 13,1x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333,75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352,63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440,16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2" name="Gráfico 22"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rPr>
        <w:t xml:space="preserve">Regresión EV/EBITDA NTM sobre crecimiento</w:t>
      </w:r>
      <w:r>
        <w:t xml:space="preserve"> (8 comparables): múltiplo = 14,6 + 0,20 × crecimiento; R² = 0,02. El crecimiento explica poco los múltiplos de estos comparables (R² &lt; 0,3): la regresión no se usa en la valoración.</w:t>
      </w:r>
    </w:p>
    <w:p>
      <w:pPr>
        <w:spacing w:after="100"/>
      </w:pPr>
      <w:r>
        <w:t xml:space="preserve">Medianas de los ocho: PER de los próximos 12 meses ≈ 24,8x y EV/EBITDA ≈ 17,3x. Deutsche Börse, a 308,90 EUR, cotiza a ≈ 22,9x su BPA de los próximos 12 meses (consenso: 20 % de 12,69 y 80 % de 13,68 EUR) [27], algo por debajo de la mediana, con un margen EBITDA (58 %) en la media y más crecimiento esperado (≈ 7 %) que CME o LSEG. El descuento frente a CME, MSCI o Tradeweb se explica porque ≈ 13 % de sus ingresos netos de 2026 viene de la tesorería sobre saldos de clientes [21], que vale menos múltiplo por ser cíclica y ligada a los tipos. Las bolsas de EE. UU. y los proveedores de índices llevan la prima del mercado americano. Euronext, la más parecida en Europa, cotiza a 20,9x. Múltiplo de referencia: PER de 22-25x; el EV/EBITDA es menos fiable porque el EBITDA de Deutsche Börse lleva la tesorería.</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MarketAxess Holdings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Intercontinental Exchange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Pendiente de cierre (1S27). Valor empresa de 5.580 M USD pasado a euros a 1,175 [79].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Adenza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Nasdaq</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10.500 M USD; múltiplos sobre las previsiones de 2023 publicadas por Nasdaq (estimación del informe de ICE) [79].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IHS Markit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S&amp;P Global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en acciones; 44.000 M USD de valor empresa publicado [79].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Allfunds Group</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Deutsche Börse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8,80 EUR por acción (6,00 en efectivo y 0,0122 acciones de Deutsche Börse), unos 5.300 M EUR de capital; pendiente de autorizaciones, cierre previsto en el 1S27 [7][21]. Sin múltiplo oficial en las fuentes leídas.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ISS STOXX (19,69 % minoritario)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Deutsche Börse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1.150 M EUR por el 19,69 % de General Atlantic [21]: valor implícito del 100 % del capital ≈ 5.840 M EUR (cálculo propio). Es una compra de minoritarios entre accionistas, no una toma de control; sin múltiplo oficial.</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2023-04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SimCorp</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Cerrada en octubre de 2023; sin múltiplo oficial en las fuentes leídas.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24,0x (18,5x – 27,4x)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480,46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363,42 – 551,75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Tres operaciones con múltiplo publicado: de 13x EBITDA (MarketAxess, plataforma de renta fija con crecimiento lento) a 24-31x (IHS Markit y Adenza, datos y software) [79]. Todas llevan prima de control y sinergias. Deutsche Börse no es objetivo probable: capitaliza ≈ 55.700 M EUR, todo su capital es flotante y una compra extranjera de la bolsa alemana tendría oposición política y de los supervisores (BaFin, Land de Hesse). Es compradora: Allfunds está pendiente y en marzo compró los minoritarios de ISS STOXX a un valor implícito de ≈ 5.840 M EUR por el 100 % [21]. Las transacciones solo dan un techo de referencia.</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(+8,7 %, ≈ 6.550 M) es fijo: 4.888 M en nueve meses y una guía subida por segunda vez a más de 6.500 M (ingresos sin tesorería de ≈ 5.700 M «con posibilidad de superarlos ligeramente» y tesorería de más de 800 M) [21, 22]. 2027e (+5,0 %) y 2028e (+7,0 %) suponen que la parte sin tesorería crece un 7 % al año, por debajo del +12 % de 2026 (tres cuartas partes estructural, según la empresa), y que la tesorería se queda en ≈ 800 M con el depósito del BCE al 2,5 % [21, 43]: quedan en línea con el consenso (6.895 M y 7.402 M) [27]. Después baja del 6 % al 4 %. No incluye Allfunds.</w:t>
      </w:r>
    </w:p>
    <w:p>
      <w:pPr>
        <w:keepNext/>
        <w:spacing w:after="100"/>
      </w:pPr>
      <w:r>
        <w:rPr>
          <w:b/>
          <w:bCs/>
        </w:rPr>
        <w:t xml:space="preserve">Márgenes.</w:t>
      </w:r>
    </w:p>
    <w:p>
      <w:pPr>
        <w:spacing w:after="100"/>
      </w:pPr>
      <w:r>
        <w:t xml:space="preserve">Margen EBITDA del 59,6 % en 2026e (guía de ≈ 3.900 M) y del 61,5 % en 2028e, por el apalancamiento operativo de la parte sin tesorería: su EBITDA crece un 19 % en el 3T26 con ingresos +14 % [21]. El consenso está en el 60,7 % y el 62,1 % en 2027e y 2028e [27]. El segmento de software e índices (IMS) es el lastre: su EBITDA cae un 24 % en el 3T26 [21].</w:t>
      </w:r>
    </w:p>
    <w:p>
      <w:pPr>
        <w:keepNext/>
        <w:spacing w:after="100"/>
      </w:pPr>
      <w:r>
        <w:rPr>
          <w:b/>
          <w:bCs/>
        </w:rPr>
        <w:t xml:space="preserve">Inversión y circulante.</w:t>
      </w:r>
    </w:p>
    <w:p>
      <w:pPr>
        <w:spacing w:after="100"/>
      </w:pPr>
      <w:r>
        <w:t xml:space="preserve">Capex del 6 % de los ingresos (5,9 % en 2025), hasta el 6,5 % al final, igual a la amortización, que baja del 8 % al 6,5 % al terminarse la de los intangibles de SimCorp [15]. Circulante en el 6,9 % de las ventas, el de 2025, sin contar los saldos de clientes.</w:t>
      </w:r>
    </w:p>
    <w:p>
      <w:pPr>
        <w:keepNext/>
        <w:spacing w:after="100"/>
      </w:pPr>
      <w:r>
        <w:rPr>
          <w:b/>
          <w:bCs/>
        </w:rPr>
        <w:t xml:space="preserve">Coste del capital.</w:t>
      </w:r>
    </w:p>
    <w:p>
      <w:pPr>
        <w:spacing w:after="100"/>
      </w:pPr>
      <w:r>
        <w:t xml:space="preserve">Tasa libre del 3,48 %, el Bund a 10 años del 20-oct-2026 (Bundesbank) [78]. Beta de 0,85: las medidas son muy bajas (0,38 mensual a cinco años, 0,41 semanal a dos, 0,58 ajustada) porque la acción sube cuando el mercado cae (volatilidad, tipos), y no las tomamos como riesgo real del negocio; 0,85 es la de una bolsa con ingresos recurrentes y ciclo de tipos [77]. Prima de mercado del 5,5 %; coste de la deuda del 3,9 % y un 9 % de deuda [D]. WACC del 7,68 %; con la prima implícita del mercado (4,2 %), del 6,68 %.</w:t>
      </w:r>
    </w:p>
    <w:p>
      <w:pPr>
        <w:keepNext/>
        <w:spacing w:after="100"/>
      </w:pPr>
      <w:r>
        <w:rPr>
          <w:b/>
          <w:bCs/>
        </w:rPr>
        <w:t xml:space="preserve">Valor terminal.</w:t>
      </w:r>
    </w:p>
    <w:p>
      <w:pPr>
        <w:spacing w:after="100"/>
      </w:pPr>
      <w:r>
        <w:t xml:space="preserve">Gordon con un 2,3 % (inflación del euro del 2 % y algo de crecimiento real; por debajo de la tasa libre menos medio punto). El valor terminal es el 73 % del valor y equivale a 12,5 veces el EBITDA, por debajo de los 14,8 de hoy.</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6,68 %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2.384</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69.087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93.959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15.841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43.679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59.521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54.060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299,50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1,3 %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1,8 %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2,3 %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2,8 %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3,3 %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417,27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472,10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366,18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407,48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325,59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357,64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292,58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318,05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265,20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285,84</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303,32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319,77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309,60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326,38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315,88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332,98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322,16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339,59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328,44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346,19</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 M (-2 %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 (reinvierte el 16 %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40,3 % (histórico: 11,3 %)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 frente al 5,9 %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-333 M, con un capex bruto medio del 6,2 % de las ventas). En un negocio de activos ligeros, el crecimiento medio del 5,9 %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derivados de tipos (+48 % en el 3T26), custodia de fondos (+24 %) y negociación [21]; precio: tarifas, índices y SaaS; otros: la tesorería baja poco (más de 800 M frente a 837 M de 2025, porque los saldos de clientes compensan en parte los tipos) [21].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y SaaS de SimCorp; la tesorería se estabiliza en ≈ 800 M y resta medio punto frente a 2026.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estructural sin efecto de tesorería.</w:t>
            </w:r>
          </w:p>
        </w:tc>
      </w:tr>
    </w:tbl>
    <w:p>
      <w:pPr>
        <w:spacing w:after="160" w:before="0"/>
      </w:pPr>
    </w:p>
    <w:p>
      <w:pPr>
        <w:spacing w:after="100"/>
      </w:pPr>
      <w:r>
        <w:t xml:space="preserve">Prueba a mano: la reinversión neta es casi nula (amortización de intangibles comprados por encima del capex), así que el motor no puede medir el crecimiento financiable. El 5,4 % medio proyectado está por debajo del crecimiento sin tesorería de los últimos años (+9 % en 2025 y +12 % en nueve meses de 2026, tres cuartas partes estructural según la empresa) [1, 21] y se apoya en volumen (efectos de red de Eurex y Clearstream) y en precios (índices y software con costes de cambio altos). El ROIC del 12,9 % (24,9 % sin fondo de comercio) frente al 7,68 % de WACC da margen. El riesgo está en la tesorería y en IMS, no en la capacidad del negocio.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(2027e-2032e)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 (base: 5,4 %)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63,1 % (base: 61,5 %)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 (WACC: 7,7 %)</w:t>
            </w:r>
          </w:p>
        </w:tc>
      </w:tr>
    </w:tbl>
    <w:p>
      <w:pPr>
        <w:spacing w:after="160" w:before="0"/>
      </w:pPr>
    </w:p>
    <w:p>
      <w:pPr>
        <w:spacing w:after="100"/>
      </w:pPr>
      <w:r>
        <w:t xml:space="preserve">El DCF da 299,50 EUR por acción, un 3,0 % por debajo del precio, con un rango de 253,61-366,18 EUR al mover WACC y crecimiento terminal medio punto, y el 73 % del valor en el terminal. El DCF inverso dice que el precio descuenta un crecimiento del 6,0 % anual en 2027e-2032e, frente al 5,4 % de nuestro caso base, o un margen del 63,1 % frente al 61,5 %: lo que esperamos, un poco más. La rentabilidad implícita es del 7,5 %, casi igual al WACC. Con la prima implícita del mercado (4,2 %) el DCF sube a 375,48 EUR: la conclusión depende de la tasa. Frente al 14-oct, el DCF baja de 334,87 a 299,50 EUR pese a la tesorería mayor porque el Bund ha subido del 2,95 % (dato de junio) al 3,48 %.</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237,24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BCE vuelve a bajar el depósito hacia el 1,5 % y la tesorería cae a la mitad; la volatilidad se normaliza y Eurex negocia menos (como en 2017-2019); IMS sigue perdiendo margen. Crecimiento 2,5 puntos menor y margen 2,5 puntos menor.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299,50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2026 cumplida; la parte sin tesorería crece un 7 % y la tesorería se queda en ≈ 800 M.</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330,78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estables, volatilidad alta y SimCorp acelera en la nube: crecimiento 1,5 puntos mayor y margen 1 punto mayor.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EUR) · precio actual 308,9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291,76 EUR (-5,5 %).</w:t>
      </w:r>
    </w:p>
    <w:p>
      <w:pPr>
        <w:spacing w:after="100"/>
      </w:pPr>
      <w:r>
        <w:t xml:space="preserve">Asimetría pobre: el alcista vale 330,78 EUR (+7,1 %) y el bajista 237,24 EUR (−23,2 %), 0,31 veces. El bajista es verosímil (tipos más bajos y menos volatilidad ya ocurrieron en 2015-2019) aunque no rompe la tesis: el negocio sigue creciendo. Tras subir un 20 % en tres meses, el precio ya recoge el caso base.</w:t>
      </w:r>
    </w:p>
    <w:p>
      <w:pPr>
        <w:pStyle w:val="Heading1"/>
      </w:pPr>
      <w:r>
        <w:t xml:space="preserve">22. Suma de partes</w:t>
      </w:r>
    </w:p>
    <w:p>
      <w:pPr>
        <w:pStyle w:val="Confianza"/>
        <w:spacing w:after="100"/>
      </w:pPr>
      <w:r>
        <w:t xml:space="preserve">Confianza: Media</w:t>
      </w:r>
    </w:p>
    <w:p>
      <w:pPr>
        <w:spacing w:after="100"/>
      </w:pPr>
      <w:r>
        <w:t xml:space="preserve">No aplica: los cuatro segmentos comparten clientes, tecnología y balance, y solo hay ingresos y EBITDA por segmento de 2024-2025 con el perímetro actual [31].</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EUR) · precio actual 308,9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308,90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312,20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304,64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366,80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402,38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334,49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347,98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480,46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551,75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366,18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291,76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330,78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375,48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308,90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310,44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spacing w:after="100"/>
      </w:pPr>
      <w:r>
        <w:rPr>
          <w:b/>
          <w:bCs/>
        </w:rPr>
        <w:t xml:space="preserve">Valor intrínseco ponderado (largo plazo):</w:t>
      </w:r>
      <w:r>
        <w:t xml:space="preserve"> 313,30 EUR (+1,4 % sobre 308,90).</w:t>
      </w:r>
    </w:p>
    <w:p>
      <w:pPr>
        <w:spacing w:after="100"/>
      </w:pPr>
      <w:r>
        <w:t xml:space="preserve">Pesamos el DCF (50 %), los comparables (30 %) y los escenarios (20 %). Los comparables son fiables para la parte de bolsa y datos; el DCF recoge mejor el riesgo de la tesorería. No usamos transacciones (prima de control) ni suma de partes. El DCF da 299,50 EUR, los comparables 350,65 (mediana de 17,3 veces el EBITDA y 24,8 veces el beneficio de los próximos 12 meses) y los escenarios 291,76: valor objetivo de 313,30 EUR (+1,4 %); con la prima del mercado, 365,92 EUR. Puente a 30-sep estimado: deuda de 8.819 M (bonos y pagarés), caja libre de 3.820 M, arrendamientos de 523 M, minoritarios de 402 M y 478 M de asociadas y participaciones [D].</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223,88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(22.3x) ÷ 1.1 (tope: la mediana de 5 años, 17.6x,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310,59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los comparables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398,78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+30,5 %</w:t>
            </w:r>
          </w:p>
        </w:tc>
      </w:tr>
    </w:tbl>
    <w:p>
      <w:pPr>
        <w:spacing w:after="160" w:before="0"/>
      </w:pPr>
    </w:p>
    <w:p>
      <w:pPr>
        <w:spacing w:after="100"/>
      </w:pPr>
      <w:r>
        <w:rPr>
          <w:b/>
          <w:bCs/>
        </w:rPr>
        <w:t xml:space="preserve">Objetivo a 12 meses (ponderado):</w:t>
      </w:r>
      <w:r>
        <w:t xml:space="preserve"> 310,96 EUR · rentabilidad +2,0 % (base +1,9 %) · señal Mantener.</w:t>
      </w:r>
    </w:p>
    <w:p>
      <w:pPr>
        <w:spacing w:after="100"/>
      </w:pPr>
      <w:r>
        <w:t xml:space="preserve">Para comparar, con la regla v2 (historia al cierre, mismo precio): 19,9x / 20,6x / 24,8x, 6,9 % Mantener; con el tope anterior del base (×1,3, 14-oct mediodía): 0,3 %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2028e (15,30 EUR) coincide con el consenso (15,35) con ventas algo menores (7.359 M frente a 7.402 M). El objetivo medio de los analistas (304,64 EUR) ya está por debajo del precio.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Oct-nov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Revisiones del consenso tras 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Suben la tesorería de 2026; el objetivo medio (304,64 EUR) ya está por debajo del precio [D].</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tesorería de 2027 dirá si los 800 M se mantienen con el BCE al 2,5 % [D].</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compra de Allfunds (≈ 5.300 M)</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3.600 M de caja y ≈ 7,3 M de acciones nuevas; revisión de competencia [A6, D].</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Investigación de la Comisión Europea sobre la antigua cooperación Eurex-Nasdaq</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Posible multa no estimada por la empresa [C].</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Caso Peterson II: posible orden de entrega de ≈ 1.700 M USD iraníes custodiados en Clearstream</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legal y de reputación; sin provisión [A21, B].</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Octubre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Paso a la liquidación T+1 en Europa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Menos saldos y menos tesorería en Clearstream; más negocio de gestión de colaterales.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BCE vuelve a bajar tipos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Escenario bajista: 237,24 EUR (−21 % sobre el valor base)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parte sin tesorería crece un 12 % y es el 87 % de los ingresos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Depósito del BCE por debajo del 2 % o guía de tesorería de 2027 por debajo de 700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Allfunds: sobreprecio o bloqueo de competencia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a −5 % si destruye valor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Pagos en acciones y en caja repartidos; sinergias de custodia de fondos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Fase II de la Comisión Europea o deterioros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Debilidad de IMS (SimCorp, ISS STOXX)</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por cada punto de margen EBITDA del grupo (≈ 290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ARR de SimCorp creciendo al 13 % [21]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trimestre con el EBITDA de IMS a la baja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Litigios y sanciones (Peterson II, Comisión Europea, cum-ex, SEC contra ISS)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cuantificable; sin provisiones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Balance AA− (S&amp;P) [10]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Orden de entrega en Peterson II o pliego de cargos de Bruselas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el precio está en máximos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 la mediana de su PER adelantado (17,6x) valdría ≈ 244 EUR (13,87 × 17,6)</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sin tesorería de dos dígitos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de los próximos 12 meses por encima de 25 veces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Tipos largos más altos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 punto más de WACC baja el DCF a 271,44 EUR (−9 %)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tipos también suben la tesorería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Bund a 10 años por encima del 3,75 %</w:t>
            </w:r>
          </w:p>
        </w:tc>
      </w:tr>
    </w:tbl>
    <w:p>
      <w:pPr>
        <w:spacing w:after="160" w:before="0"/>
      </w:pPr>
    </w:p>
    <w:p>
      <w:pPr>
        <w:pStyle w:val="Heading2"/>
      </w:pPr>
      <w:r>
        <w:t xml:space="preserve">Pre-mortem</w:t>
      </w:r>
    </w:p>
    <w:p>
      <w:pPr>
        <w:spacing w:after="100"/>
      </w:pPr>
      <w:r>
        <w:t xml:space="preserve">Octubre de 2029: la acción ha perdido un 35 %. El BCE bajó el depósito al 1,5 % en 2027 y el resultado de tesorería cayó a la mitad; la volatilidad se normalizó y Eurex negoció menos. Allfunds se cerró con concesiones y sus márgenes siguieron bajando con la presión de las gestoras; IMS no recuperó el margen. El mercado dejó de pagar 22 veces por un BPA que crecía a un dígito bajo y el PER volvió a 17 veces, su mediana. Las señales eran visibles: el EBITDA de IMS cayendo en 2026, la guía de tesorería de 2027 y la subida del 20 % en tres meses antes de los resultados.</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AAA (percentil 95)</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2026-03</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 CSA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73 puntos (percentil 99)</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2026-03</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Sustainalytics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80 según la tabla de la empresa (percentil 92; 83 y percentil 96 en 2024)</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2026-03</w:t>
            </w:r>
          </w:p>
        </w:tc>
      </w:tr>
    </w:tbl>
    <w:p>
      <w:pPr>
        <w:spacing w:after="160" w:before="0"/>
      </w:pPr>
    </w:p>
    <w:p>
      <w:pPr>
        <w:pStyle w:val="Heading2"/>
      </w:pPr>
      <w:r>
        <w:t xml:space="preserve">Asuntos materiales</w:t>
      </w:r>
    </w:p>
    <w:p>
      <w:pPr>
        <w:spacing w:after="100"/>
      </w:pPr>
      <w:r>
        <w:t xml:space="preserve">Lo que más pesa en las cifras es la </w:t>
      </w:r>
      <w:r>
        <w:rPr>
          <w:b/>
        </w:rPr>
        <w:t xml:space="preserve">integridad y la continuidad de los mercados</w:t>
      </w:r>
      <w:r>
        <w:t xml:space="preserve">: Clearstream y Eurex Clearing son infraestructuras críticas reguladas (EMIR, DORA), y un fallo o una sanción afectaría a ingresos y capital [31]. Después, el </w:t>
      </w:r>
      <w:r>
        <w:rPr>
          <w:b/>
        </w:rPr>
        <w:t xml:space="preserve">cumplimiento de sanciones</w:t>
      </w:r>
      <w:r>
        <w:t xml:space="preserve"> en la custodia: Clearstream tiene activos congelados de clientes rusos y activos atribuidos al banco central de Irán en litigio [21, 31]. El clima pesa poco: 118.517 t CO₂e en 2025 (base de mercado), el 95 % de alcance 3; el objetivo es −42 % en alcances 1 y 2 y parte del 3 a 2030 y −90 % a 2045 frente a 2022, y en 2025 compró certificados por 45.369 t [31]. La gobernanza de ISS (voto por delegación) es un riesgo de reputación y regulatorio en EE. UU. [21].</w:t>
      </w:r>
    </w:p>
    <w:p>
      <w:pPr>
        <w:pStyle w:val="Heading2"/>
      </w:pPr>
      <w:r>
        <w:t xml:space="preserve">Controversias</w:t>
      </w:r>
    </w:p>
    <w:p>
      <w:pPr>
        <w:spacing w:after="100"/>
      </w:pPr>
      <w:r>
        <w:t xml:space="preserve">Clearstream Banking S.A. afronta en EE. UU. y Luxemburgo demandas por activos atribuidos al banco central de Irán: el 31-mar-2026 un tribunal de EE. UU. dio la razón a los demandantes del caso Peterson II y podría ordenar pronto la entrega de ≈ 1.700 M USD (más intereses) que custodia para un cliente; Clearstream valora recurrir y no tiene provisión [21, 31]. La demanda Fairfield (13,5 M USD) quedó archivada en firme el 5-oct-2026 [21]. Sigue la investigación de la fiscalía de Colonia por operaciones cum-ex, con empleados y antiguos directivos entre los sospechosos [31]. La Comisión Europea abrió en noviembre de 2025 una investigación de competencia con Nasdaq en derivados [31]. ISS recibió en julio de 2026 un requerimiento de la SEC, recurrido ante los tribunales en septiembre, y demandas de varios estados [21]. En Rusia, las demandas por activos congelados suman ≈ 15 M EUR [31]. No hemos encontrado multas firmes en los últimos tres años con fuente primaria.</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Tesorería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resultado de tesorería esperan en 2027 con el depósito al 2,5 % y con qué saldos medios?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13 % de los ingresos y el mayor riesgo del caso base.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cae el EBITDA de IMS (−24 % en el 3T26) si el ARR de SimCorp crece un 13 %?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negocio que justificó la compra de SimCorp.</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Allfunds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ROIC esperan de Allfunds en el tercer año y qué concesiones aceptarían ante Bruselas?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mayor compra de su historia.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¿Cuánta caja propia libre tiene el grupo fuera de los requisitos regulatorios de Clearstream y Eurex Clearing?</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 el puente: el estado trimestral no la publica.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¿Seguirá la recompra anual (500 M en 2026) tras Allfunds?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parte de la rentabilidad para el accionista.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Accionistas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busca TCI con su 6,43 % (5 % en permutas)?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Fue el fondo que forzó la salida del consejero delegado en 2005 [C].</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Positivo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Foro de ariva.de (hilo «Deutsche Börse»)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Mensajes de febrero a octubre; predomina comprar en las caídas y tener paciencia, con la volatilidad (guerra con Irán, gas, volumen en Eurex y EEX) como cobertura y SimCorp y Allfunds como giro hacia ingresos recurrentes. Una minoría avisa de que la acción ya no está barata; en octubre se habla de romper los 300 EUR [96].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Foro de wallstreet-online («Diskussion zur Deutschen Börse AG»)</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marzo-mayo, debate entre posiciones cortas y largas y dudas por la caída tras el 1T; en junio, compras de directivos. De julio a septiembre el hilo está casi parado; el único mensaje de octubre celebra la subida desde el 2T [97].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 económica alemana sobre el 3T26 (dpa-AFX y Dow Jones en finanzen.net)</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Cifras algo mejores de lo esperado y guía de tesorería subida por los tipos, pero la acción cede: la guía sin tesorería no cambia, los costes suben más de lo previsto (remuneración en acciones y gastos de Allfunds) y algunos analistas esperaban más del negocio operativo [98, 99, 100].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Notas de analistas tras el 3T26 (resúmenes en finanzen.net)</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Jefferies mantiene «Buy» (EBITDA algo por encima de lo esperado, la acción como «refugio seguro») y JP Morgan «Overweight» por un arranque fuerte del 4T en contado y derivados; RBC sigue en «Sector Perform» [101, 102].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Previas de investing.com (16 y 20-oct)</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acción cotiza ya por encima del objetivo medio de los analistas y en sobrecompra técnica; tras batir en el 2T bajó, y el listón del 3T es subir la guía anual. Ningún comentario de lectores [103, 104].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Börsen-Zeitung y stock3 sobre el 2T26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Tono moderadamente positivo por la guía de tesorería, con la preocupación de la redacción por ISS (asesoría de voto en EE. UU. bajo presión anti-ESG) y la duda sobre su posible deterioro de valor [105, 106].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en máximos de 25 años: precio por encima del objetivo medio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 repiten las previas y el patrón de «vender la noticia» (cae tras batir en el 2T y en el 3T) [98, 103, 104]. Es el punto que el informe debe resolver con su DCF y el objetivo a 12 meses, no con el consenso.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y resultado de tesorería: la subida de guía viene de los tipos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total y de tesorería sube, pero la de ingresos y EBITDA sin tesorería no [98, 99]. El mercado descuenta la parte cíclica; el informe debe tratar la tesorería como cíclica y no capitalizar el alza.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y crecimiento del negocio sin tesorería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por encima de lo previsto por la remuneración en acciones (ligada a la cotización) y los gastos de Allfunds [98]; parte es no recurrente, pero conviene comprobarlo en el estado del 3T26.</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 de Allfunds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mayor compra de su historia, con cierre esperado en 2027 si Bruselas la aprueba, y se financia en parte con un híbrido y un convertible [99]. Riesgo de ejecución y de dilución que los foros apenas discuten.</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Volatilidad como cobertura («refugio seguro»)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Foros y Jefferies lo destacan [96, 101]; es cierto en volúmenes de Eurex y EEX, pero también significa que parte del crecimiento de 2026 es cíclico y puede revertir.</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ISS STOXX y la presión anti-ESG en EE. UU.</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 señala la prensa especializada, no los particulares [105]. Riesgo de deterioro del fondo de comercio que el informe debe mirar en las notas.</w:t>
            </w:r>
          </w:p>
        </w:tc>
      </w:tr>
    </w:tbl>
    <w:p>
      <w:pPr>
        <w:spacing w:after="160" w:before="0"/>
      </w:pPr>
    </w:p>
    <w:p>
      <w:pPr>
        <w:spacing w:after="100"/>
      </w:pPr>
      <w:r>
        <w:t xml:space="preserve">El sentimiento es positivo y ha mejorado mucho desde la primavera (de debate entre cortos y largos con la acción en torno a 240-250 EUR a una euforia moderada en máximos), pero la reacción al 3T26 muestra cansancio: buenas cifras y guía subida, y aun así la acción cede. El mercado ya descuenta el crecimiento y no premia una subida de guía que viene de los tipos y no del negocio. No hay capitulación ni euforia de particulares: el seguimiento en foros es escaso. Para la decisión: el riesgo es de valoración y de calidad del crecimiento (tesorería cíclica, costes, Allfunds), no de negocio. El sentimiento no contradice al consenso de analistas, mayoritariamente comprador, pero la acción ya está por encima de su objetivo medio.</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19 controles correctos y 1 explicados. Fuentes: 106 (62 primarias); citas distintas en el texto: 94.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6,9 % frente a 6,9 % real: genera una variación de circulante de 34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73 %.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0,02: el crecimiento no explica los múltiplos de estos comparables; no uses el valor de la regresión. Explicación: Con siete comparables de modelos distintos (bolsas, datos puros, plataformas) el crecimiento no explica el múltiplo: no se usa la regresión, solo las medianas.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106 fuentes (62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11, 12, 13, 34, 49, 50, 90, 91, 92, 93, 94, 95.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y caja propia a 30-sep-26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estado del 3T26 (solo extracto de balance, sin desglose de deuda ni caja) ; 2) presentación del 3T26 (sin diapositiva de deuda); 3) semestral a 30-jun-26 más los hechos del 3T26 (híbrido, convertible, amortización de 1.000 M)</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vencimiento del bono de 650 M del 1T26 y vida media de la deuda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semestral 2026 (solo dice «nuevo bono»); 2) presentaciones del 1T y 2T26; 3) importe por diferencia del flujo de financiación (646 M)</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financiero, impuestos y minoritarios de 2016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revisión de cinco años del informe de 2019 (sin esas líneas); 2) página del informe anual 2017 (sin tablas descargables); 3) informe de 2018 (solo 2017-2018)</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flujos de 9M26 (FCF del LTM a septiembre)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estado del 3T26 (no trae flujos); 2) presentación del 3T26; 3) LTM a junio con el semestral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preguntas de los analistas en la conferencia del 3T26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de la empresa (la conferencia es el 21-oct a las 14:00); 2) presentación; 3) prensa del 20-21-oct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tamaño del mercado con serie, crecimiento compuesto y CR5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de la empresa (no da tamaño de mercado); 2) búsqueda de estudios sectoriales (Oliver Wyman, McKinsey, Coalition, Burton-Taylor) sin cifra abierta; 3) suma propia de los ingresos 2025 de los ocho grandes grupos con sus cuentas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 (solo 2025; sin serie, crecimiento ni CR5)</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Xetra en acciones alemanas y de Eurex en derivados europeos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estadísticas anuales de contado y de Eurex de la empresa (solo volúmenes); 2) Rosenblatt y FESE (sin cifra por plataforma abierta); 3) Cboe y prensa (sin dato fechado)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participacion_pct de los consejeros de dirección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remuneración 2025 (solo da el valor de las acciones a efectos de la regla de tenencia, no el número); 2) declaración de gobierno corporativo 2025 (sin tabla de tenencias individuales); 3) notificaciones art. 19 MAR (dan compras, no saldos)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bruta, papel comercial y caja libre a 30-sep-2026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estado del 3T26 (solo balance resumido); 2) presentación del 3T26 (sin deuda neta); 3) informe semestral y deuda neta de rating del informe anual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 (deuda neta financiera ≈ 5.000 M EUR, caja por diferencia)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conversión de la convertible 2031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ad hoc de lanzamiento (solo prima del 30-35 %); 2) lista de ad hoc de la web de inversores (sin la de fijación de precio); 3) búsqueda web</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 (≈ 355-370 EUR con el cierre del 9-sep)</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revisión del BPA a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(sin tabla de revisiones en texto); 2) consenso de la empresa (solo el vigente); 3) nota del 14-oct (consenso de julio)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Solo se da la revisión a 3 meses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Seeking Alpha (DBOEY/DBOEF), Stocktwits y Reddit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apertura directa de seekingalpha.com/symbol/DBOEY (403) y stocktwits.com/symbol/DBOEY y DBOEF (404); 2) Reddit r/Finanzen (bloqueado para la herramienta) y búsqueda web de hilos (sin resultados); 3) búsqueda de artículos de Seeking Alpha de 2026 (solo la página de estimaciones)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Comentarios de lectores en prensa y foros de finanzen.net/onvista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foro de finanzen.net y comunidad de onvista (404); 2) comentarios de investing.com (0 en las dos previas del 3T); 3) stock3 (sin comentarios visibles, análisis tras muro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Deutsche Börse Group Achieves Record Results in Financial Year 2025 (company release Q4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Deutsche Börse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https://deutsche-boerse.com/resource/blob/4887536/a68752b1b7c85f9cf530531c0c221dc4/data/company-release-q4-2025-en.pdf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Q2/2026: Broad-Based Secular Growth and Operating Leverage in the Second Quarter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Deutsche Börse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https://deutsche-boerse.com/dbg-en/media/news-stories/press-releases/Q2-2026-Broad-Based-Secular-Growth-and-Operating-Leverage-in-the-Second-Quarter-5397468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 ends financial year 2024 with strong organic growth and announces new share buyback program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https://www.deutsche-boerse.com/dbg-en/media/news-stories/press-releases/Deutsche-B-rse-ends-financial-year-2024-with-strong-organic-growth-and-announces-new-share-buyback-program-4288154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 (DB1) Q2 2026 earnings 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https://quartr.com/events/deutsche-b-rse-ag-db1-q2-2026_3eF3tOEL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ROUNDUP: Deutsche Börse steigert Ergebnis zu Jahresbeginn – Prognose bestätigt (dpa-AFX)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extraETF / dpa-AFX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https://extraetf.com/de/news/dpa-afx/roundup-deutsche-borse-steigert-ergebnis-zu-jahresbeginn-prognose-bestatigt--1777364457-03662-1777364455678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 Group and Allfunds Group Sign Agreement on Recommended Acquisition of Allfunds Group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https://www.eurexchange.com/dbcm-en/newsroom/press-releases/Deutsche-B-rse-Group-and-Allfunds-Group-Sign-Agreement-on-Recommended-Acquisition-of-Allfunds-Group-4914918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 To Buy Allfunds In €5.3 Billion Deal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Pulse 2.0</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https://pulse2.com/deutsche-borse-to-buy-allfunds-in-e5-3-billion-deal/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 completes 2023 with strong results and remains on growth path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https://deutsche-boerse.com/dbg-en/media/press-releases/Deutsche-B-rse-completes-2023-with-strong-results-and-remains-on-growth-path-3848778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Company release Q4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https://www.eurexchange.com/resource/blob/3389178/51fb42b7cc9d518821a52e28786aecff/data/company-release-q4-2022_en.pdf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statements and notes, Annual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https://www.deutsche-boerse.com/resource/blob/4728238/9dc14bbacfaf2b3ed2f8bd74d38c9128/data/DBG-Consolidated-financial-statements-and-notes-AR-2025.pdf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 AG – Balance Sheet (annual)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Fintel (Capital IQ)</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https://fintel.io/bs/de/db1?t=annual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 Balance Sheet Health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https://simplywall.st/stocks/de/diversified-financials/etr-db1/deutsche-borse-shares/health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 AG: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https://uk.marketscreener.com/quote/stock/DEUTSCHE-BORSE-AG-449617/finances/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Half-yearly financial report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https://www.deutsche-boerse.com/resource/blob/5302530/683d446f9d49b88f194990b24a79aee8/data/gdb-quarterly-statement-q2-2026_en.pdf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2025: Excel files, all tables and figures (cuenta, balance, flujos, segmentos, cinco años)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https://www.deutsche-boerse.com/resource/blob/4728234/00e2535d9b7df79a83f41a6229698c47/data/DBG-excel-files-all-tables-and-figures-AR-2025.xlsx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2025 (informe completo, con el informe de gestión)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https://www.deutsche-boerse.com/resource/blob/4911290/d6d302b8d549de98f963142a9e3987d1/data/DBG-annual-report-2025.pdf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2023: consolidated financial statements and notes, y Excel de tablas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https://www.deutsche-boerse.com/resource/blob/3811946/a5cbbac02dfb321a69e8434ce454921f/data/DBG-Consolidated-financial-statements-and-notes-AR-2023.pdf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2021: consolidated financial statements and notes, y Excel de tablas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https://www.deutsche-boerse.com/resource/blob/2725886/18fe8ad3076b5b8db6b6e2bc3b542aba/data/DBG-Consolidated-financial-statements-and-notes-AR-2021.pdf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2019: consolidated financial statements y five-year review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https://www.deutsche-boerse.com/resource/blob/1749800/0cb67f6f141b60249b5cc29723d90f73/data/DBG-consolidated-financial-statements-AR-2019.pdf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2018: consolidated financial statements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https://www.deutsche-boerse.com/resource/blob/1441024/8fee7139620ce7e8754117369d75d4ac/data/DBG-consolidated-financial-statements-AR-2018.pdf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Quarterly Statement Q3/2026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https://www.deutsche-boerse.com/resource/blob/5441088/cbc8b58f6fc5d5fbed53b0b66dd83d6c/data/gdb-quarterly-statement-q3-2026_en.pdf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Q3/2026 Financial Results – Analyst and Investor Conference Call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https://www.deutsche-boerse.com/resource/blob/5441576/1ff6e292035feed3ad3c73835b2d597d/data/2026-10-21-q3-2026-aic-presentation_en.pdf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Q2/2026 Financial Results – Analyst and Investor Conference Call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https://www.deutsche-boerse.com/resource/blob/5302466/b19bcfeef6ffd3635982fcf0fb277efd/data/2026-07-23-q2-2026-aic-presentation_en.pdf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Quarterly Statement Q3/2025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https://www.deutsche-boerse.com/resource/blob/4619738/1afe5d0784cd8ae011db3db7ae0acc96/data/gdb-quarterly-statement-q3-2025_en.pdf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Half-yearly financial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https://www.deutsche-boerse.com/resource/blob/4500802/618b5afd2cc52e650ca5bfbe0cbc92f6/data/gdb-quartalsbericht-q2-2025_en.pdf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Quarterly Statement Q3/2024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https://www.deutsche-boerse.com/resource/blob/4119168/19aa7a58d29a53ac7e744495d4a6f2b5/data/gdb-quarterly-statement-q3-2024_en.pdf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Consensus report – Deutsche Börse Group (estimaciones del 25-sep al 12-oct-2026, 14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 (recopilación de 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https://www.deutsche-boerse.com/resource/blob/1745362/4dbdb643d5fe08c9e1e9428ae28a3a44/data/consensus_en.pdf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 AG Announces Successful Placement of EUR 600 Million Convertible Bonds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https://www.deutsche-boerse.com/dbg-en/media/news-stories/press-releases/Deutsche-B-rse-AG-Announces-Successful-Placement-of-EUR-600-Million-Convertible-Bonds-5383586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 hoc: share buybacks a regular annual component of capital allocation; 2026 share buybacks of €500 million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https://www.deutsche-boerse.com/dbg-en/investor-relations/announcements-and-services/ad-hoc-announcements/Deutsche-B-rse-AG-Share-buybacks-a-regular-annual-component-of-its-refined-capital-allocation-principles-and-in-2026-share-buybacks-of-500-million-4872736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 Group Achieves Record Results in Financial Year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https://www.deutsche-boerse.com/dbg-en/media/news-stories/press-releases/Deutsche-B-rse-Group-Achieves-Record-Results-in-Financial-Year-2025-4948690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2025 (informe de gestión, información no financiera y cuentas consolidadas; págs. 24-34, 65-71, 98-119, 229-242)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https://www.deutsche-boerse.com/resource/blob/4911292/1024ecf4436e79a050a3e38d5eb13ea9/data/DBG-annual-report-2025-a4.pdf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 registers 24% Y/Y increase in revenues in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FX News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https://fxnewsgroup.com/forex-news/exchanges/deutsche-borse-registers-24-y-y-increase-in-revenues-in-2022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ROUNDUP: Deutsche Börse bietet Milliarden für Fondsplattform Allfunds (dpa-AFX)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extraETF / dpa-AFX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https://extraetf.com/de/news/dpa-afx/roundup-deutsche-borse-bietet-milliarden-fur-fondsplattform-allfunds--1764267044-05708-1764267041850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 informe del 8-oct-2026 (cuentas 2025 y comparables)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propio (repo)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informes/ice-2026-10-08/datos-v2.json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Inc. Reports Fourth Consecutive Year of Record Annual Revenue (Form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https://www.sec.gov/Archives/edgar/data/1156375/000115637526000006/exhibit991123125.htm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Euronext publishes Q4 and full year 2025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Euronext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https://www.euronext.com/en/investor-relations/financial-information/news/euronext-publishes-q4-and-full-year-2025-results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LSEG – Preliminary results for the year ended 31 December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London Stock Exchange Group / FCA NSM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https://data.fca.org.uk/artefacts/NSM/DirectUpload/NI-000139719/NI-000139719.pdf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Reports Strong Full Year 2025 Results (Form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https://www.sec.gov/Archives/edgar/data/1571949/000110465926010646/tm264989d1_ex99-1.htm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Reports Fourth Quarter and Full Year 2025 Results (nota de prensa reproducida)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 Mondo Visione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https://mondovisione.com/media-and-resources/news/nasdaq-reports-fourth-quarter-and-full-year-2025-results-annual-results-exceed-2026129/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SIX Key Figures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SIX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https://www.six-group.com/dam/download/company/report/annual/2025/six-key-figures-2025.pdf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Euroclear delivers strong 2025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Euroclear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https://cf.euroclear.com/newsandinsights/en/press/2026/mr-06-euroclear-delivers-strong-2025-results.html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 informe del 14-oct-2026 (cuentas 2025 del Form 10-K)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propio (repo)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informes/msci-2026-10-14/datos.json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Deposit facility rate (serie FM.D.U2.EUR.4F.KR.DFR.LEV)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 ECB Data Portal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https://data-api.ecb.europa.eu/service/data/FM/D.U2.EUR.4F.KR.DFR.LEV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(31-dic-2025: 1,175 USD, 0,8726 GBP, 0,9314 CHF)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Full-year and December 2025 figures at Eurex (nota de prensa reproducida)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Eurex / Mondo Visione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https://mondovisione.com/news/full-year-and-december-2025-figures-at-eurex-202619/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 Cash Market Annual Statistics 2025 and Turnover Figures December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https://www.deutsche-boerse.com/dbg-en/media/news-stories/press-releases/Deutsche-B-rse-Cash-Market-Annual-Statistics-2025-and-Turnover-Figures-December-4881848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Facts &amp; Figures 2025 (ETF-Handel auf Xetra)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 Cash Market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https://www.cashmarket.deutsche-boerse.com/resource/blob/4932290/de7c857ae8d675de3f39436af59f134b/data/Facts&amp;Figures_2025_de.pdf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to Acquire MarketAxess (Form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https://www.sec.gov/Archives/edgar/data/0001571949/000119312526324909/d116245dex991.htm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Stephan Leithner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https://en.wikipedia.org/wiki/Stephan_Leithner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 Q2 Earnings Call Highlights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 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https://www.nasdaq.com/articles/deutsche-borse-q2-earnings-call-highlights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General Meeting 2026: voting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https://www.deutsche-boerse.com/resource/blob/4722970/5263ab5e2adf83add4e0cee15e3ef77c/data/agm-2026-results-en.pdf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2025: Executive and Supervisory Board (incl. Report of the Supervisory Board)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https://www.deutsche-boerse.com/resource/blob/4728240/7a49400245cfc44ef0eb1e106b6a0508/data/DBG-Executive-and-supervisory-boards-AR-2025.pdf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2025: Corporate governance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https://www.deutsche-boerse.com/resource/blob/4728248/65be0c35e3eb07e97ba79f54c4be912a/data/DBG-Corporate-governance-statement-AR-2025.pdf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2025: Remuneration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https://www.deutsche-boerse.com/resource/blob/4728246/615aec18e21b9e8ab2909fc961b7cf7a/data/DBG-Remuneration-report-AR-2025.pdf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2025: Combined management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https://www.deutsche-boerse.com/resource/blob/4728236/2514e591a3350bd429b2176f4c3fcf1d/data/DBG-Combined-management-report-AR-2025.pdf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2024: Combined management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https://www.deutsche-boerse.com/resource/blob/4170982/5c10bbf7e8fa6c1fa0148bde22624a54/data/DBG-Combined-management-report-AR-2024.pdf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2023: Combined management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https://www.deutsche-boerse.com/resource/blob/3811944/322887be15d92465661a0416cb2bf16b/data/DBG-Combined-management-report-AR-2023.pdf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2022: Combined management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https://www.deutsche-boerse.com/resource/blob/3373886/4f81ce68b319100305315c3262a38d2d/data/DBG-Combined-management-report-AR-2022.pdf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2021: Combined management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https://www.deutsche-boerse.com/resource/blob/2725884/2418ab9dfcfa9d2db923b3d4fd77d185/data/DBG-Combined-management-report-AR-2021.pdf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Quarterly Statement Q3/2026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https://www.deutsche-boerse.com/dbg-en/investor-relations/financial-reports/interim-reports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General Meeting 2025: voting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https://www.deutsche-boerse.com/resource/blob/4232330/1ed2553654ccb18c16e16baa58d0466d/data/agm-2025-results-en.pdf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General Meeting 2024: voting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https://www.deutsche-boerse.com/resource/blob/3780948/a64760bda27c049268b4da50cedd90fe/data/agm2024-results_en.pdf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General Meeting 2026: notice of meeting (agenda)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https://www.deutsche-boerse.com/resource/blob/4722926/3306c4e8565dfc2a0cfcfa300fb0e83d/data/agm2026-agenda_en.pdf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Notifications about Managers' Transactions in accordance with Article 19 MAR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https://www.deutsche-boerse.com/dbg-en/investor-relations/announcements-and-services/managers-transactions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Notifications of Major Holdings (WpHG §§ 33 ss.; BlackRock 15-oct-2026, Amundi 13-oct-2026, TCI/Hohn 24-jun-2026, MFS 28-nov-2025, FIL 1-oct-2025, FMR 15-ene-2026, Flossbach von Storch 16-abr-2026, autocartera 15-sep-2026)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https://www.deutsche-boerse.com/dbg-en/investor-relations/announcements-and-services/notifications-of-major-holdings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Supervisory Board: members and committees (as at May 13,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https://www.deutsche-boerse.com/dbg-en/investor-relations/corporate-governance/supervisory-board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2025: Takeover-related disclosures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https://www.deutsche-boerse.com/resource/blob/4722932/feb1f25112e0d0e5f8f7219241c2c547/data/Lagebericht-uebernahmerelevante-angaben_EN_2025.pdf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Stephan Leithner to become new Chief Executive Officer of Deutsche Börse AG (ad hoc)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https://www.deutsche-boerse.com/dbg-en/media/news-stories/press-releases/Stephan-Leithner-to-become-new-Chief-Executive-Officer-of-Deutsche-B-rse-AG-3879802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Supervisory Board of Deutsche Börse AG nominates Clara-Christina Streit as new Chairwoman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https://www.deutsche-boerse.com/dbg-en/media/news-stories/press-releases/Supervisory-Board-of-Deutsche-B-rse-AG-nominates-Clara-Christina-Streit-as-new-Chairwoman-4214078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TCI returns as major Deutsche Börse shareholder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Hedgeweek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https://www.hedgeweek.com/tci-returns-as-major-deutsche-borse-shareholder/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Shareholder structure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https://www.deutsche-boerse.com/dbg-en/investor-relations/share-and-bonds/shareholder-structure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Allfunds offer: microsite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https://www.deutsche-boerse.com/dbg-en/investor-relations/announcements-and-services/allfunds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 AG (DE0005810055): cotizaciones por mercado; cierre de Xetra del 20-oct-2026 a 308,90 EUR (17:35)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onvista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https://api.onvista.de/api/v1/stocks/ISIN:DE0005810055/snapshot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 AG: finanzas, estimaciones 2026-2028 y deuda neta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https://www.marketscreener.com/quote/stock/DEUTSCHE-BORSE-AG-449617/finances/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 noticias dpa-AFX y ANALYSE-FLASH (jul-oct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boerse-online.de / dpa-AFX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https://www.boerse-online.de/aktie/deutscheboerse-de0005810055/dpa-afx/1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 figures &amp; dividend (cierres de 2021-2023)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https://deutsche-boerse.com/dbg-en/investor-relations/share-and-bonds/key-figures-and-dividend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DB1.DE, EXS1.DE y EXH2.DE (herramientas/bolsa.mjs y movimiento.mjs), hasta el 19/21-oct-2026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https://finance.yahoo.com/quote/DB1.DE/history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 la deuda federal a 10 años (Svensson), diario: 3,48 % el 20-oct-2026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https://api.statistiken.bundesbank.de/rest/data/BBSIS/D.I.ZST.ZI.EUR.S1311.B.A604.R10XX.R.A.A._Z._Z.A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 informe del 8-oct-2026, notas de comparables y transacciones (MarketScreener, Stock Analysis, EDGAR)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propio (repo)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informes/ice-2026-10-08/notas/D.json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 Kursziele der Analysten (Deutsche Bank 313 EUR, Goldman Sachs 295 EUR, Jefferies 330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finanzen.net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https://www.finanzen.net/analyse/deutsche_börse_buy-deutsche_bank_ag_1093946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 hoc: Deutsche Börse AG launches an offering of convertible bonds of EUR 600 million due 2031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https://www.deutsche-boerse.com/dbg-en/investor-relations/announcements-and-services/ad-hoc-announcements/Deutsche-B-rse-AG-Deutsche-B-rse-AG-launches-an-offering-of-convertible-bonds-in-an-aggregate-amount-of-EUR-600-million-due-2031-5552672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 Analysen (lista de recomendaciones y objetivo medio)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finanzen.net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https://www.finanzen.net/analysen/deutsche_boerse-analysen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 AG: consenso de analistas (objetivo medio, máximo y mínimo; cambios recientes)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https://www.marketscreener.com/quote/stock/DEUTSCHE-BORSE-AG-449617/consensus/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Euronext N.V.: finanzas y estimaciones 2024-2028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https://www.marketscreener.com/quote/stock/EURONEXT-N-V-16725768/finances/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sectorial: bolsas y datos financieros, comparables (cierres del 13/14-oct-2026)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propio (repo)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sectores/bolsas-datos-financieros-2026-10-14-comparables.json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Cierres del 13/14 y 20-oct-2026 de CME, ICE, NDAQ, TW, MSCI, SPGI, LSEG.L, ENX.PA (Yahoo) y tipos de referencia del BCE del 20-oct-2026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 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DB1.DE: cotización intradía del 21-oct-2026 (apertura, mínimo 295,60 EUR, 305,5 EUR a las 10:00)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https://finance.yahoo.com/quote/DB1.DE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Registro de posiciones cortas netas (Netto-Leerverkaufspositionen), descarga CSV del 21-oct-2026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Bundesanzeiger / BaFin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https://www.bundesanzeiger.de/pub/de/nlp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Deutsche-Börse-Aktie liegt 0,78 Prozent unter Jahreshoch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ad-hoc-news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https://www.ad-hoc-news.de/boerse/news/corporate-news/deutsche-boerse-aktie-liegt-0-78-prozent-unter-jahreshoch/70263794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Börse-Aktie in der Chartanalyse: neues 52-Wochen Hoch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finanzen.net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https://www.finanzen.net/nachricht/aktien/deutsche_boerse-aktie-chartanalyse-13-10-2026-8023350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 nach guten Zahlen schwach: Tradingchance mit (Turbo)-Calls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stock3</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https://stock3.com/news/deutsche-boerse-nach-guten-zahlen-schwach-tradingchance-mit-turbo-calls-17201255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 markets innovation and critical integration propel future growth potential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(comunidad)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https://simplywall.st/narratives/capital-markets-innovation-and-critical-integration-propel-future-growth-potential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Boerse AG (OTCMKTS:DBOEY) short interest up in July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https://www.marketbeat.com/instant-alerts/deutsche-boerse-ag-otcmktsdboey-short-interest-up-78519-in-july-2026-07-24/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 (DE:DB1)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https://www.tipranks.com/stocks/de:db1/forecast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«Deutsche Börse» (mensajes de febrero a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ariva.de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https://www.ariva.de/forum/deutsche-boerse-241301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Diskussion zur Deutschen Börse AG (hilo de foro)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wallstreet-online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https://www.wallstreet-online.de/diskussion/1264827-1/diskussion-deutschen-boerse-ag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Auf Wachstumskurs: Deutsche Börse-Aktie gibt trotzdem nach – Treasury-Ziel für 2026 erhöht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Dow Jones / finanzen.net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https://www.finanzen.net/nachricht/aktien/auf-wachstumskurs-deutsche-boerse-aktie-gibt-trotzdem-nach-treasury-ziel-fuer-2026-erhoeht-15996230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ROUNDUP: Deutsche Börse hebt dank höherer Zinsen Ziele an – Geschäfte laufen gut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dpa-AFX / finanzen.net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https://www.finanzen.net/nachricht/aktien/roundup-deutsche-boerse-hebt-dank-hoeherer-zinsen-ziele-an-geschaefte-laufen-gut-15997852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WDH: Deutsche Börse hebt dank höherer Zinsen Ziele an – Geschäfte laufen rund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dpa-AFX / finanzen.net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https://www.finanzen.net/nachricht/aktien/wdh-deutsche-boerse-hebt-dank-hoeherer-zinsen-ziele-an-geschaefte-laufen-rund-15996296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ANALYSE-FLASH: Jefferies belässt Deutsche Börse auf 'Buy' – Ziel 330 Euro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dpa-AFX / finanzen.net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https://www.finanzen.net/nachricht/aktien/analyse-flash-jefferies-belaesst-deutsche-boerse-auf-buy-ziel-330-euro-15996423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JP Morgan Chase &amp; Co. gibt Deutsche Börse-Aktie Overweight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finanzen.net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https://www.finanzen.net/nachricht/aktien/jp-morgan-chase-co-gibt-deutsche-boerse-aktie-overweight-15995029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Deutsche-Börse-Aktie vor den Q3-Zahlen: Kurs liegt über dem Analystenziel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https://de.investing.com/news/stock-market-news/deutscheborseaktie-vor-den-q3zahlen-kurs-liegt-uber-dem-analystenziel-3711612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Deutsche-Börse-Aktie: 54 % über dem Tief – jetzt müssen die Zahlen liefern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https://de.investing.com/news/stock-market-news/deutscheborseaktie-54--uber-dem-tief--jetzt-mussen-die-zahlen-liefern-3707768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Bessere Zinsaussichten: Deutsche Börse hebt Prognose an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Börsen-Zeitung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https://www.boersen-zeitung.de/banken-finanzen/deutsche-boerse-hebt-prognose-an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 profitiert von höheren Zinsaussichten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stock3</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https://stock3.com/news/deutsche-boerse-profitiert-von-hoeheren-zinsaussichten-17199954</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90,2 %</w:t>
      </w:r>
      <w:r>
        <w:t xml:space="preserve"> · Secciones con menos del 60 % de campos cubiertos: </w:t>
      </w:r>
      <w:r>
        <w:rPr>
          <w:b/>
          <w:bCs/>
        </w:rPr>
        <w:t xml:space="preserve">riesgos</w:t>
      </w:r>
      <w:r>
        <w:t xml:space="preserve"> · Generado el 21 oct 2026.</w:t>
      </w:r>
    </w:p>
    <w:p>
      <w:pPr>
        <w:pStyle w:val="Nota"/>
        <w:spacing w:after="100"/>
      </w:pPr>
      <w:r>
        <w:t xml:space="preserve">Se valora la acción de Xetra (DB1) en euros con el cierre del 20-oct-2026 (308,90 EUR), anterior a los resultados del 3T26, publicados ese día tras el cierre; el 21-oct abrió con caídas de hasta el 4,3 % y a las 10:00 cotizaba a 305,5 EUR [73, 75]. Las cuentas de 2017-2025 salen de los informes anuales (no hay XBRL en el repositorio ESEF); 2016 solo hasta el EBIT [15, 16, 17, 18, 19, 20]. Ingresos = ingresos netos del grupo </w:t>
      </w:r>
      <w:r>
        <w:rPr>
          <w:b/>
        </w:rPr>
        <w:t xml:space="preserve">con</w:t>
      </w:r>
      <w:r>
        <w:t xml:space="preserve"> resultado de tesorería, como los publica la empresa. El balance publicado (≈ 409.000 M) incluye la cámara y los saldos de clientes: el análisis usa un balance analítico sin ellos y no trata como caja libre los ≈ 3.900 M de fondos propios ligados al negocio bancario [A]. El estado del 3T26 solo da un balance resumido: la deuda (8.819 M con 1.932 M de pagarés de Clearstream) y la caja libre (3.820 M) del puente a 30-sep son estimaciones [D]. Acciones: 180,5 M (en circulación tras la recompra más planes; el convertible está fuera de dinero). No incluye Allfunds (≈ 5.300 M, cierre previsto en el 1S27). Bund a 10 años del Bundesbank (20-oct) [78].</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21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Deutsche Börse AG (DB1)</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308,90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(200,10 – 312,20)</c:v>
                </c:pt>
                <c:pt idx="1">
                  <c:v>Precio objetivo de los analistas (252,00 – 345,00)</c:v>
                </c:pt>
                <c:pt idx="2">
                  <c:v>Comparables: EV/EBITDA NTM (288,77 – 402,38)</c:v>
                </c:pt>
                <c:pt idx="3">
                  <c:v>Comparables: PER NTM (313,59 – 347,98)</c:v>
                </c:pt>
                <c:pt idx="4">
                  <c:v>Transacciones precedentes (EV/EBITDA) (363,42 – 551,75)</c:v>
                </c:pt>
                <c:pt idx="5">
                  <c:v>DCF (WACC y g ± 0,5) (253,61 – 366,18)</c:v>
                </c:pt>
                <c:pt idx="6">
                  <c:v>Escenarios (bajista – alcista) (237,24 – 330,78)</c:v>
                </c:pt>
                <c:pt idx="7">
                  <c:v>DCF con la prima implícita del mercado (4,2 %)</c:v>
                </c:pt>
                <c:pt idx="8">
                  <c:v>Precio actual (308,90)</c:v>
                </c:pt>
              </c:strCache>
            </c:strRef>
          </c:cat>
          <c:val>
            <c:numRef>
              <c:f>Hoja1!$B$2:$B$10</c:f>
              <c:numCache>
                <c:formatCode>#,##0</c:formatCode>
                <c:ptCount val="9"/>
                <c:pt idx="0">
                  <c:v>200.1</c:v>
                </c:pt>
                <c:pt idx="1">
                  <c:v>252</c:v>
                </c:pt>
                <c:pt idx="2">
                  <c:v>288.77</c:v>
                </c:pt>
                <c:pt idx="3">
                  <c:v>313.59</c:v>
                </c:pt>
                <c:pt idx="4">
                  <c:v>363.42</c:v>
                </c:pt>
                <c:pt idx="5">
                  <c:v>253.61</c:v>
                </c:pt>
                <c:pt idx="6">
                  <c:v>237.24</c:v>
                </c:pt>
                <c:pt idx="7">
                  <c:v>333.76</c:v>
                </c:pt>
                <c:pt idx="8">
                  <c:v>307.36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(200,10 – 312,20)</c:v>
                </c:pt>
                <c:pt idx="1">
                  <c:v>Precio objetivo de los analistas (252,00 – 345,00)</c:v>
                </c:pt>
                <c:pt idx="2">
                  <c:v>Comparables: EV/EBITDA NTM (288,77 – 402,38)</c:v>
                </c:pt>
                <c:pt idx="3">
                  <c:v>Comparables: PER NTM (313,59 – 347,98)</c:v>
                </c:pt>
                <c:pt idx="4">
                  <c:v>Transacciones precedentes (EV/EBITDA) (363,42 – 551,75)</c:v>
                </c:pt>
                <c:pt idx="5">
                  <c:v>DCF (WACC y g ± 0,5) (253,61 – 366,18)</c:v>
                </c:pt>
                <c:pt idx="6">
                  <c:v>Escenarios (bajista – alcista) (237,24 – 330,78)</c:v>
                </c:pt>
                <c:pt idx="7">
                  <c:v>DCF con la prima implícita del mercado (4,2 %)</c:v>
                </c:pt>
                <c:pt idx="8">
                  <c:v>Precio actual (308,90)</c:v>
                </c:pt>
              </c:strCache>
            </c:strRef>
          </c:cat>
          <c:val>
            <c:numRef>
              <c:f>Hoja1!$C$2:$C$10</c:f>
              <c:numCache>
                <c:formatCode>#,##0</c:formatCode>
                <c:ptCount val="9"/>
                <c:pt idx="0">
                  <c:v>112.1</c:v>
                </c:pt>
                <c:pt idx="1">
                  <c:v>93</c:v>
                </c:pt>
                <c:pt idx="2">
                  <c:v>113.61000000000001</c:v>
                </c:pt>
                <c:pt idx="3">
                  <c:v>34.39000000000004</c:v>
                </c:pt>
                <c:pt idx="4">
                  <c:v>188.32999999999998</c:v>
                </c:pt>
                <c:pt idx="5">
                  <c:v>112.57</c:v>
                </c:pt>
                <c:pt idx="6">
                  <c:v>93.53999999999996</c:v>
                </c:pt>
                <c:pt idx="7">
                  <c:v>94.24000000000001</c:v>
                </c:pt>
                <c:pt idx="8">
                  <c:v>3.079999999999984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Trading &amp; Clearing</c:v>
                </c:pt>
              </c:strCache>
            </c:strRef>
          </c:tx>
          <c:spPr>
            <a:solidFill>
              <a:srgbClr val="2A78D6"/>
            </a:solidFill>
            <a:ln w="12700">
              <a:solidFill>
                <a:srgbClr val="FFFFFF"/>
              </a:solidFill>
            </a:ln>
          </c:spPr>
          <c:invertIfNegative val="0"/>
          <c:cat>
            <c:strRef>
              <c:f>Hoja1!$A$2:$A$5</c:f>
              <c:strCache>
                <c:ptCount val="4"/>
                <c:pt idx="0">
                  <c:v>2022</c:v>
                </c:pt>
                <c:pt idx="1">
                  <c:v>2023</c:v>
                </c:pt>
                <c:pt idx="2">
                  <c:v>2024</c:v>
                </c:pt>
                <c:pt idx="3">
                  <c:v>2025</c:v>
                </c:pt>
              </c:strCache>
            </c:strRef>
          </c:cat>
          <c:val>
            <c:numRef>
              <c:f>Hoja1!$B$2:$B$5</c:f>
              <c:numCache>
                <c:formatCode>#,##0</c:formatCode>
                <c:ptCount val="4"/>
                <c:pt idx="0">
                  <c:v>2187.1</c:v>
                </c:pt>
                <c:pt idx="1">
                  <c:v>2262.8</c:v>
                </c:pt>
                <c:pt idx="2">
                  <c:v>2407</c:v>
                </c:pt>
                <c:pt idx="3">
                  <c:v>2553</c:v>
                </c:pt>
              </c:numCache>
            </c:numRef>
          </c:val>
        </c:ser>
        <c:ser>
          <c:idx val="1"/>
          <c:order val="1"/>
          <c:tx>
            <c:strRef>
              <c:f>Hoja1!$C$1</c:f>
              <c:strCache>
                <c:ptCount val="1"/>
                <c:pt idx="0">
                  <c:v>Securities Services</c:v>
                </c:pt>
              </c:strCache>
            </c:strRef>
          </c:tx>
          <c:spPr>
            <a:solidFill>
              <a:srgbClr val="EB6834"/>
            </a:solidFill>
            <a:ln w="12700">
              <a:solidFill>
                <a:srgbClr val="FFFFFF"/>
              </a:solidFill>
            </a:ln>
          </c:spPr>
          <c:invertIfNegative val="0"/>
          <c:cat>
            <c:strRef>
              <c:f>Hoja1!$A$2:$A$5</c:f>
              <c:strCache>
                <c:ptCount val="4"/>
                <c:pt idx="0">
                  <c:v>2022</c:v>
                </c:pt>
                <c:pt idx="1">
                  <c:v>2023</c:v>
                </c:pt>
                <c:pt idx="2">
                  <c:v>2024</c:v>
                </c:pt>
                <c:pt idx="3">
                  <c:v>2025</c:v>
                </c:pt>
              </c:strCache>
            </c:strRef>
          </c:cat>
          <c:val>
            <c:numRef>
              <c:f>Hoja1!$C$2:$C$5</c:f>
              <c:numCache>
                <c:formatCode>#,##0</c:formatCode>
                <c:ptCount val="4"/>
                <c:pt idx="0">
                  <c:v>1122.9</c:v>
                </c:pt>
                <c:pt idx="1">
                  <c:v>1510.7</c:v>
                </c:pt>
                <c:pt idx="2">
                  <c:v>1643</c:v>
                </c:pt>
                <c:pt idx="3">
                  <c:v>1605</c:v>
                </c:pt>
              </c:numCache>
            </c:numRef>
          </c:val>
        </c:ser>
        <c:ser>
          <c:idx val="2"/>
          <c:order val="2"/>
          <c:tx>
            <c:strRef>
              <c:f>Hoja1!$D$1</c:f>
              <c:strCache>
                <c:ptCount val="1"/>
                <c:pt idx="0">
                  <c:v>Investment Management Solutions</c:v>
                </c:pt>
              </c:strCache>
            </c:strRef>
          </c:tx>
          <c:spPr>
            <a:solidFill>
              <a:srgbClr val="1BAF7A"/>
            </a:solidFill>
            <a:ln w="12700">
              <a:solidFill>
                <a:srgbClr val="FFFFFF"/>
              </a:solidFill>
            </a:ln>
          </c:spPr>
          <c:invertIfNegative val="0"/>
          <c:cat>
            <c:strRef>
              <c:f>Hoja1!$A$2:$A$5</c:f>
              <c:strCache>
                <c:ptCount val="4"/>
                <c:pt idx="0">
                  <c:v>2022</c:v>
                </c:pt>
                <c:pt idx="1">
                  <c:v>2023</c:v>
                </c:pt>
                <c:pt idx="2">
                  <c:v>2024</c:v>
                </c:pt>
                <c:pt idx="3">
                  <c:v>2025</c:v>
                </c:pt>
              </c:strCache>
            </c:strRef>
          </c:cat>
          <c:val>
            <c:numRef>
              <c:f>Hoja1!$D$2:$D$5</c:f>
              <c:numCache>
                <c:formatCode>#,##0</c:formatCode>
                <c:ptCount val="4"/>
                <c:pt idx="0">
                  <c:v>651.7</c:v>
                </c:pt>
                <c:pt idx="1">
                  <c:v>863.2</c:v>
                </c:pt>
                <c:pt idx="2">
                  <c:v>1285</c:v>
                </c:pt>
                <c:pt idx="3">
                  <c:v>1331</c:v>
                </c:pt>
              </c:numCache>
            </c:numRef>
          </c:val>
        </c:ser>
        <c:ser>
          <c:idx val="3"/>
          <c:order val="3"/>
          <c:tx>
            <c:strRef>
              <c:f>Hoja1!$E$1</c:f>
              <c:strCache>
                <c:ptCount val="1"/>
                <c:pt idx="0">
                  <c:v>Fund Services</c:v>
                </c:pt>
              </c:strCache>
            </c:strRef>
          </c:tx>
          <c:spPr>
            <a:solidFill>
              <a:srgbClr val="EDA100"/>
            </a:solidFill>
            <a:ln w="12700">
              <a:solidFill>
                <a:srgbClr val="FFFFFF"/>
              </a:solidFill>
            </a:ln>
          </c:spPr>
          <c:invertIfNegative val="0"/>
          <c:cat>
            <c:strRef>
              <c:f>Hoja1!$A$2:$A$5</c:f>
              <c:strCache>
                <c:ptCount val="4"/>
                <c:pt idx="0">
                  <c:v>2022</c:v>
                </c:pt>
                <c:pt idx="1">
                  <c:v>2023</c:v>
                </c:pt>
                <c:pt idx="2">
                  <c:v>2024</c:v>
                </c:pt>
                <c:pt idx="3">
                  <c:v>2025</c:v>
                </c:pt>
              </c:strCache>
            </c:strRef>
          </c:cat>
          <c:val>
            <c:numRef>
              <c:f>Hoja1!$E$2:$E$5</c:f>
              <c:numCache>
                <c:formatCode>#,##0</c:formatCode>
                <c:ptCount val="4"/>
                <c:pt idx="0">
                  <c:v>375.9</c:v>
                </c:pt>
                <c:pt idx="1">
                  <c:v>439.9</c:v>
                </c:pt>
                <c:pt idx="2">
                  <c:v>494</c:v>
                </c:pt>
                <c:pt idx="3">
                  <c:v>537</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Trading &amp; Clearing</c:v>
                </c:pt>
                <c:pt idx="1">
                  <c:v>Securities Services</c:v>
                </c:pt>
                <c:pt idx="2">
                  <c:v>Investment Management Solutions</c:v>
                </c:pt>
                <c:pt idx="3">
                  <c:v>Fund Services</c:v>
                </c:pt>
              </c:strCache>
            </c:strRef>
          </c:cat>
          <c:val>
            <c:numRef>
              <c:f>Hoja1!$B$2:$B$5</c:f>
              <c:numCache>
                <c:formatCode>General</c:formatCode>
                <c:ptCount val="4"/>
                <c:pt idx="0">
                  <c:v>42.4</c:v>
                </c:pt>
                <c:pt idx="1">
                  <c:v>26.6</c:v>
                </c:pt>
                <c:pt idx="2">
                  <c:v>22.1</c:v>
                </c:pt>
                <c:pt idx="3">
                  <c:v>8.9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Zona euro</c:v>
                </c:pt>
                <c:pt idx="1">
                  <c:v>Resto de Europa</c:v>
                </c:pt>
                <c:pt idx="2">
                  <c:v>América</c:v>
                </c:pt>
                <c:pt idx="3">
                  <c:v>Asia-Pacífico</c:v>
                </c:pt>
              </c:strCache>
            </c:strRef>
          </c:cat>
          <c:val>
            <c:numRef>
              <c:f>Hoja1!$B$2:$B$5</c:f>
              <c:numCache>
                <c:formatCode>0"%"</c:formatCode>
                <c:ptCount val="4"/>
                <c:pt idx="0">
                  <c:v>53.4</c:v>
                </c:pt>
                <c:pt idx="1">
                  <c:v>26</c:v>
                </c:pt>
                <c:pt idx="2">
                  <c:v>14.2</c:v>
                </c:pt>
                <c:pt idx="3">
                  <c:v>6.4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3</c:v>
                </c:pt>
                <c:pt idx="2">
                  <c:v>1</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Deutsche Börse</c:v>
                </c:pt>
                <c:pt idx="1">
                  <c:v>London Stock Exchange Group</c:v>
                </c:pt>
                <c:pt idx="2">
                  <c:v>Intercontinental Exchange</c:v>
                </c:pt>
                <c:pt idx="3">
                  <c:v>CME Group</c:v>
                </c:pt>
                <c:pt idx="4">
                  <c:v>Nasdaq</c:v>
                </c:pt>
                <c:pt idx="5">
                  <c:v>Euroclear</c:v>
                </c:pt>
                <c:pt idx="6">
                  <c:v>Euronext</c:v>
                </c:pt>
                <c:pt idx="7">
                  <c:v>SIX Group</c:v>
                </c:pt>
                <c:pt idx="8">
                  <c:v>MSCI</c:v>
                </c:pt>
              </c:strCache>
            </c:strRef>
          </c:cat>
          <c:val>
            <c:numRef>
              <c:f>Hoja1!$B$2:$B$10</c:f>
              <c:numCache>
                <c:formatCode>0.0"%"</c:formatCode>
                <c:ptCount val="9"/>
                <c:pt idx="0">
                  <c:v>49.8</c:v>
                </c:pt>
                <c:pt idx="1">
                  <c:v>23.7</c:v>
                </c:pt>
                <c:pt idx="2">
                  <c:v>49.6</c:v>
                </c:pt>
                <c:pt idx="3">
                  <c:v>64.9</c:v>
                </c:pt>
                <c:pt idx="4">
                  <c:v>44.4</c:v>
                </c:pt>
                <c:pt idx="6">
                  <c:v>50.8</c:v>
                </c:pt>
                <c:pt idx="8">
                  <c:v>54.7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5</c:v>
                </c:pt>
                <c:pt idx="1">
                  <c:v>4</c:v>
                </c:pt>
                <c:pt idx="2">
                  <c:v>4</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Hoja1!$A$2:$A$18</c:f>
              <c:strCache>
                <c:ptCount val="17"/>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strCache>
            </c:strRef>
          </c:cat>
          <c:val>
            <c:numRef>
              <c:f>Hoja1!$B$2:$B$18</c:f>
              <c:numCache>
                <c:formatCode>#,##0</c:formatCode>
                <c:ptCount val="17"/>
                <c:pt idx="0">
                  <c:v>2388.7</c:v>
                </c:pt>
                <c:pt idx="1">
                  <c:v>2462.3</c:v>
                </c:pt>
                <c:pt idx="2">
                  <c:v>2779.7</c:v>
                </c:pt>
                <c:pt idx="3">
                  <c:v>2936</c:v>
                </c:pt>
                <c:pt idx="4">
                  <c:v>3213.8</c:v>
                </c:pt>
                <c:pt idx="5">
                  <c:v>3509.5</c:v>
                </c:pt>
                <c:pt idx="6">
                  <c:v>4337.6</c:v>
                </c:pt>
                <c:pt idx="7">
                  <c:v>5076.6</c:v>
                </c:pt>
                <c:pt idx="8">
                  <c:v>5828.5</c:v>
                </c:pt>
                <c:pt idx="9">
                  <c:v>6026</c:v>
                </c:pt>
                <c:pt idx="10">
                  <c:v>6550</c:v>
                </c:pt>
                <c:pt idx="11">
                  <c:v>6878</c:v>
                </c:pt>
                <c:pt idx="12">
                  <c:v>7359</c:v>
                </c:pt>
                <c:pt idx="13">
                  <c:v>7801</c:v>
                </c:pt>
                <c:pt idx="14">
                  <c:v>8230</c:v>
                </c:pt>
                <c:pt idx="15">
                  <c:v>8641</c:v>
                </c:pt>
                <c:pt idx="16">
                  <c:v>8987</c:v>
                </c:pt>
              </c:numCache>
            </c:numRef>
          </c:val>
        </c:ser>
        <c:ser>
          <c:idx val="1"/>
          <c:order val="1"/>
          <c:tx>
            <c:strRef>
              <c:f>Hoja1!$C$1</c:f>
              <c:strCache>
                <c:ptCount val="1"/>
                <c:pt idx="0">
                  <c:v>EBITDA</c:v>
                </c:pt>
              </c:strCache>
            </c:strRef>
          </c:tx>
          <c:spPr>
            <a:solidFill>
              <a:srgbClr val="EB6834"/>
            </a:solidFill>
            <a:ln w="9525">
              <a:noFill/>
            </a:ln>
          </c:spPr>
          <c:invertIfNegative val="0"/>
          <c:cat>
            <c:strRef>
              <c:f>Hoja1!$A$2:$A$18</c:f>
              <c:strCache>
                <c:ptCount val="17"/>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strCache>
            </c:strRef>
          </c:cat>
          <c:val>
            <c:numRef>
              <c:f>Hoja1!$C$2:$C$18</c:f>
              <c:numCache>
                <c:formatCode>#,##0</c:formatCode>
                <c:ptCount val="17"/>
                <c:pt idx="0">
                  <c:v>1239.2</c:v>
                </c:pt>
                <c:pt idx="1">
                  <c:v>1528.5</c:v>
                </c:pt>
                <c:pt idx="2">
                  <c:v>1443.7</c:v>
                </c:pt>
                <c:pt idx="3">
                  <c:v>1678.3</c:v>
                </c:pt>
                <c:pt idx="4">
                  <c:v>1847.9</c:v>
                </c:pt>
                <c:pt idx="5">
                  <c:v>2004.5</c:v>
                </c:pt>
                <c:pt idx="6">
                  <c:v>2518.7999999999997</c:v>
                </c:pt>
                <c:pt idx="7">
                  <c:v>2942.5</c:v>
                </c:pt>
                <c:pt idx="8">
                  <c:v>3388.4</c:v>
                </c:pt>
                <c:pt idx="9">
                  <c:v>3503</c:v>
                </c:pt>
                <c:pt idx="10">
                  <c:v>3904</c:v>
                </c:pt>
                <c:pt idx="11">
                  <c:v>4161</c:v>
                </c:pt>
                <c:pt idx="12">
                  <c:v>4526</c:v>
                </c:pt>
                <c:pt idx="13">
                  <c:v>4821</c:v>
                </c:pt>
                <c:pt idx="14">
                  <c:v>5086</c:v>
                </c:pt>
                <c:pt idx="15">
                  <c:v>5314</c:v>
                </c:pt>
                <c:pt idx="16">
                  <c:v>5527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51.9</c:v>
                </c:pt>
                <c:pt idx="1">
                  <c:v>62.1</c:v>
                </c:pt>
                <c:pt idx="2">
                  <c:v>51.9</c:v>
                </c:pt>
                <c:pt idx="3">
                  <c:v>57.2</c:v>
                </c:pt>
                <c:pt idx="4">
                  <c:v>57.5</c:v>
                </c:pt>
                <c:pt idx="5">
                  <c:v>57.1</c:v>
                </c:pt>
                <c:pt idx="6">
                  <c:v>58.1</c:v>
                </c:pt>
                <c:pt idx="7">
                  <c:v>58</c:v>
                </c:pt>
                <c:pt idx="8">
                  <c:v>58.1</c:v>
                </c:pt>
                <c:pt idx="9">
                  <c:v>58.1</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46.4</c:v>
                </c:pt>
                <c:pt idx="1">
                  <c:v>55.6</c:v>
                </c:pt>
                <c:pt idx="2">
                  <c:v>44.4</c:v>
                </c:pt>
                <c:pt idx="3">
                  <c:v>49.5</c:v>
                </c:pt>
                <c:pt idx="4">
                  <c:v>49.3</c:v>
                </c:pt>
                <c:pt idx="5">
                  <c:v>48.7</c:v>
                </c:pt>
                <c:pt idx="6">
                  <c:v>49.9</c:v>
                </c:pt>
                <c:pt idx="7">
                  <c:v>49.7</c:v>
                </c:pt>
                <c:pt idx="8">
                  <c:v>49.6</c:v>
                </c:pt>
                <c:pt idx="9">
                  <c:v>49.8</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30.2</c:v>
                </c:pt>
                <c:pt idx="1">
                  <c:v>35.5</c:v>
                </c:pt>
                <c:pt idx="2">
                  <c:v>29.7</c:v>
                </c:pt>
                <c:pt idx="3">
                  <c:v>34.2</c:v>
                </c:pt>
                <c:pt idx="4">
                  <c:v>33.6</c:v>
                </c:pt>
                <c:pt idx="5">
                  <c:v>34.5</c:v>
                </c:pt>
                <c:pt idx="6">
                  <c:v>34.5</c:v>
                </c:pt>
                <c:pt idx="7">
                  <c:v>34</c:v>
                </c:pt>
                <c:pt idx="8">
                  <c:v>33.4</c:v>
                </c:pt>
                <c:pt idx="9">
                  <c:v>33.1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4T24</c:v>
                </c:pt>
                <c:pt idx="1">
                  <c:v>1T25</c:v>
                </c:pt>
                <c:pt idx="2">
                  <c:v>2T25</c:v>
                </c:pt>
                <c:pt idx="3">
                  <c:v>3T25</c:v>
                </c:pt>
                <c:pt idx="4">
                  <c:v>4T25</c:v>
                </c:pt>
                <c:pt idx="5">
                  <c:v>1T26</c:v>
                </c:pt>
                <c:pt idx="6">
                  <c:v>2T26</c:v>
                </c:pt>
                <c:pt idx="7">
                  <c:v>3T26</c:v>
                </c:pt>
              </c:strCache>
            </c:strRef>
          </c:cat>
          <c:val>
            <c:numRef>
              <c:f>Hoja1!$B$2:$B$9</c:f>
              <c:numCache>
                <c:formatCode>0.0"%"</c:formatCode>
                <c:ptCount val="8"/>
                <c:pt idx="0">
                  <c:v>7.7</c:v>
                </c:pt>
                <c:pt idx="1">
                  <c:v>5.6</c:v>
                </c:pt>
                <c:pt idx="2">
                  <c:v>3.8</c:v>
                </c:pt>
                <c:pt idx="3">
                  <c:v>2.6</c:v>
                </c:pt>
                <c:pt idx="4">
                  <c:v>1.7</c:v>
                </c:pt>
                <c:pt idx="5">
                  <c:v>8.7</c:v>
                </c:pt>
                <c:pt idx="6">
                  <c:v>7.4</c:v>
                </c:pt>
                <c:pt idx="7">
                  <c:v>13.4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Hoja1!$B$2:$B$10</c:f>
              <c:numCache>
                <c:formatCode>0</c:formatCode>
                <c:ptCount val="9"/>
                <c:pt idx="0">
                  <c:v>49</c:v>
                </c:pt>
                <c:pt idx="1">
                  <c:v>52</c:v>
                </c:pt>
                <c:pt idx="2">
                  <c:v>56</c:v>
                </c:pt>
                <c:pt idx="3">
                  <c:v>70</c:v>
                </c:pt>
                <c:pt idx="4">
                  <c:v>101</c:v>
                </c:pt>
                <c:pt idx="5">
                  <c:v>193</c:v>
                </c:pt>
                <c:pt idx="6">
                  <c:v>132</c:v>
                </c:pt>
                <c:pt idx="7">
                  <c:v>56</c:v>
                </c:pt>
                <c:pt idx="8">
                  <c:v>63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Hoja1!$B$2:$B$10</c:f>
              <c:numCache>
                <c:formatCode>#,##0</c:formatCode>
                <c:ptCount val="9"/>
                <c:pt idx="0">
                  <c:v>958</c:v>
                </c:pt>
                <c:pt idx="1">
                  <c:v>1016.5</c:v>
                </c:pt>
                <c:pt idx="2">
                  <c:v>803.0999999999999</c:v>
                </c:pt>
                <c:pt idx="3">
                  <c:v>1280.1</c:v>
                </c:pt>
                <c:pt idx="4">
                  <c:v>912.4000000000001</c:v>
                </c:pt>
                <c:pt idx="5">
                  <c:v>1740.4999999999998</c:v>
                </c:pt>
                <c:pt idx="6">
                  <c:v>2130.9</c:v>
                </c:pt>
                <c:pt idx="7">
                  <c:v>2091.6</c:v>
                </c:pt>
                <c:pt idx="8">
                  <c:v>2045</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Hoja1!$C$2:$C$10</c:f>
              <c:numCache>
                <c:formatCode>#,##0</c:formatCode>
                <c:ptCount val="9"/>
                <c:pt idx="0">
                  <c:v>874.3</c:v>
                </c:pt>
                <c:pt idx="1">
                  <c:v>824.3</c:v>
                </c:pt>
                <c:pt idx="2">
                  <c:v>1003.9</c:v>
                </c:pt>
                <c:pt idx="3">
                  <c:v>1079.9</c:v>
                </c:pt>
                <c:pt idx="4">
                  <c:v>1209.7</c:v>
                </c:pt>
                <c:pt idx="5">
                  <c:v>1494.4</c:v>
                </c:pt>
                <c:pt idx="6">
                  <c:v>1724</c:v>
                </c:pt>
                <c:pt idx="7">
                  <c:v>1948</c:v>
                </c:pt>
                <c:pt idx="8">
                  <c:v>1995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1">
                  <c:v>16</c:v>
                </c:pt>
                <c:pt idx="2">
                  <c:v>15.3</c:v>
                </c:pt>
                <c:pt idx="3">
                  <c:v>16</c:v>
                </c:pt>
                <c:pt idx="4">
                  <c:v>14.9</c:v>
                </c:pt>
                <c:pt idx="5">
                  <c:v>13.3</c:v>
                </c:pt>
                <c:pt idx="6">
                  <c:v>13.8</c:v>
                </c:pt>
                <c:pt idx="7">
                  <c:v>13</c:v>
                </c:pt>
                <c:pt idx="8">
                  <c:v>13</c:v>
                </c:pt>
                <c:pt idx="9">
                  <c:v>12.9</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7.7</c:v>
                </c:pt>
                <c:pt idx="1">
                  <c:v>7.7</c:v>
                </c:pt>
                <c:pt idx="2">
                  <c:v>7.7</c:v>
                </c:pt>
                <c:pt idx="3">
                  <c:v>7.7</c:v>
                </c:pt>
                <c:pt idx="4">
                  <c:v>7.7</c:v>
                </c:pt>
                <c:pt idx="5">
                  <c:v>7.7</c:v>
                </c:pt>
                <c:pt idx="6">
                  <c:v>7.7</c:v>
                </c:pt>
                <c:pt idx="7">
                  <c:v>7.7</c:v>
                </c:pt>
                <c:pt idx="8">
                  <c:v>7.7</c:v>
                </c:pt>
                <c:pt idx="9">
                  <c:v>7.7</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1">
                  <c:v>18.1</c:v>
                </c:pt>
                <c:pt idx="2">
                  <c:v>17</c:v>
                </c:pt>
                <c:pt idx="3">
                  <c:v>19</c:v>
                </c:pt>
                <c:pt idx="4">
                  <c:v>18.1</c:v>
                </c:pt>
                <c:pt idx="5">
                  <c:v>18.1</c:v>
                </c:pt>
                <c:pt idx="6">
                  <c:v>19.1</c:v>
                </c:pt>
                <c:pt idx="7">
                  <c:v>19</c:v>
                </c:pt>
                <c:pt idx="8">
                  <c:v>19.1</c:v>
                </c:pt>
                <c:pt idx="9">
                  <c:v>18.1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Hoja1!$B$2:$B$10</c:f>
              <c:numCache>
                <c:formatCode>0.0"x"</c:formatCode>
                <c:ptCount val="9"/>
                <c:pt idx="0">
                  <c:v>0.65</c:v>
                </c:pt>
                <c:pt idx="1">
                  <c:v>0.67</c:v>
                </c:pt>
                <c:pt idx="2">
                  <c:v>0.83</c:v>
                </c:pt>
                <c:pt idx="3">
                  <c:v>0.85</c:v>
                </c:pt>
                <c:pt idx="4">
                  <c:v>1.54</c:v>
                </c:pt>
                <c:pt idx="5">
                  <c:v>1.32</c:v>
                </c:pt>
                <c:pt idx="6">
                  <c:v>2.01</c:v>
                </c:pt>
                <c:pt idx="7">
                  <c:v>1.71</c:v>
                </c:pt>
                <c:pt idx="8">
                  <c:v>1.52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2027</c:v>
                </c:pt>
                <c:pt idx="1">
                  <c:v>2028</c:v>
                </c:pt>
                <c:pt idx="2">
                  <c:v>2029</c:v>
                </c:pt>
                <c:pt idx="3">
                  <c:v>2031</c:v>
                </c:pt>
                <c:pt idx="4">
                  <c:v>2032</c:v>
                </c:pt>
                <c:pt idx="5">
                  <c:v>2033</c:v>
                </c:pt>
                <c:pt idx="6">
                  <c:v>Sin dato</c:v>
                </c:pt>
              </c:strCache>
            </c:strRef>
          </c:cat>
          <c:val>
            <c:numRef>
              <c:f>Hoja1!$B$2:$B$8</c:f>
              <c:numCache>
                <c:formatCode>#,##0</c:formatCode>
                <c:ptCount val="7"/>
                <c:pt idx="0">
                  <c:v>925</c:v>
                </c:pt>
                <c:pt idx="1">
                  <c:v>1100</c:v>
                </c:pt>
                <c:pt idx="2">
                  <c:v>750</c:v>
                </c:pt>
                <c:pt idx="3">
                  <c:v>1100</c:v>
                </c:pt>
                <c:pt idx="4">
                  <c:v>1200</c:v>
                </c:pt>
                <c:pt idx="5">
                  <c:v>1250</c:v>
                </c:pt>
                <c:pt idx="6">
                  <c:v>650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Hoja1!$B$2:$B$10</c:f>
              <c:numCache>
                <c:formatCode>#,##0</c:formatCode>
                <c:ptCount val="9"/>
                <c:pt idx="0">
                  <c:v>157.5</c:v>
                </c:pt>
                <c:pt idx="1">
                  <c:v>169.2</c:v>
                </c:pt>
                <c:pt idx="2">
                  <c:v>666.4</c:v>
                </c:pt>
                <c:pt idx="3">
                  <c:v>448.5</c:v>
                </c:pt>
                <c:pt idx="4">
                  <c:v>1843</c:v>
                </c:pt>
                <c:pt idx="5">
                  <c:v>185.5</c:v>
                </c:pt>
                <c:pt idx="6">
                  <c:v>3842.2</c:v>
                </c:pt>
                <c:pt idx="7">
                  <c:v>14.3</c:v>
                </c:pt>
                <c:pt idx="8">
                  <c:v>44</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Hoja1!$C$2:$C$10</c:f>
              <c:numCache>
                <c:formatCode>#,##0</c:formatCode>
                <c:ptCount val="9"/>
                <c:pt idx="0">
                  <c:v>439</c:v>
                </c:pt>
                <c:pt idx="1">
                  <c:v>453.3</c:v>
                </c:pt>
                <c:pt idx="2">
                  <c:v>495</c:v>
                </c:pt>
                <c:pt idx="3">
                  <c:v>531.9</c:v>
                </c:pt>
                <c:pt idx="4">
                  <c:v>550.6</c:v>
                </c:pt>
                <c:pt idx="5">
                  <c:v>587.6</c:v>
                </c:pt>
                <c:pt idx="6">
                  <c:v>661.5</c:v>
                </c:pt>
                <c:pt idx="7">
                  <c:v>697.8</c:v>
                </c:pt>
                <c:pt idx="8">
                  <c:v>734</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Hoja1!$D$2:$D$10</c:f>
              <c:numCache>
                <c:formatCode>#,##0</c:formatCode>
                <c:ptCount val="9"/>
                <c:pt idx="0">
                  <c:v>28.2</c:v>
                </c:pt>
                <c:pt idx="1">
                  <c:v>364.2</c:v>
                </c:pt>
                <c:pt idx="2">
                  <c:v>0</c:v>
                </c:pt>
                <c:pt idx="3">
                  <c:v>0</c:v>
                </c:pt>
                <c:pt idx="4">
                  <c:v>0</c:v>
                </c:pt>
                <c:pt idx="5">
                  <c:v>0</c:v>
                </c:pt>
                <c:pt idx="6">
                  <c:v>0</c:v>
                </c:pt>
                <c:pt idx="7">
                  <c:v>297.8</c:v>
                </c:pt>
                <c:pt idx="8">
                  <c:v>504</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Otro externo</c:v>
                </c:pt>
              </c:strCache>
            </c:strRef>
          </c:cat>
          <c:val>
            <c:numRef>
              <c:f>Hoja1!$B$2:$B$3</c:f>
              <c:numCache>
                <c:formatCode>0</c:formatCode>
                <c:ptCount val="2"/>
                <c:pt idx="0">
                  <c:v>8</c:v>
                </c:pt>
                <c:pt idx="1">
                  <c:v>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BlackRock, Inc.</c:v>
                </c:pt>
                <c:pt idx="1">
                  <c:v>The Children's Investment Fund (TCI, Christopher Hohn)</c:v>
                </c:pt>
                <c:pt idx="2">
                  <c:v>Massachusetts Financial Services (MFS)</c:v>
                </c:pt>
                <c:pt idx="3">
                  <c:v>FIL Limited (Fidelity International)</c:v>
                </c:pt>
                <c:pt idx="4">
                  <c:v>Amundi S.A.</c:v>
                </c:pt>
                <c:pt idx="5">
                  <c:v>Autocartera</c:v>
                </c:pt>
                <c:pt idx="6">
                  <c:v>Inversores institucionales / minoristas</c:v>
                </c:pt>
              </c:strCache>
            </c:strRef>
          </c:cat>
          <c:val>
            <c:numRef>
              <c:f>Hoja1!$B$2:$B$8</c:f>
              <c:numCache>
                <c:formatCode>0.0"%"</c:formatCode>
                <c:ptCount val="7"/>
                <c:pt idx="0">
                  <c:v>7.99</c:v>
                </c:pt>
                <c:pt idx="1">
                  <c:v>6.43</c:v>
                </c:pt>
                <c:pt idx="2">
                  <c:v>5.08</c:v>
                </c:pt>
                <c:pt idx="3">
                  <c:v>3.18</c:v>
                </c:pt>
                <c:pt idx="4">
                  <c:v>3.02</c:v>
                </c:pt>
                <c:pt idx="5">
                  <c:v>2.13</c:v>
                </c:pt>
                <c:pt idx="6">
                  <c:v>90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-3.3</c:v>
                </c:pt>
                <c:pt idx="1">
                  <c:v>30</c:v>
                </c:pt>
                <c:pt idx="2">
                  <c:v>10.8</c:v>
                </c:pt>
                <c:pt idx="3">
                  <c:v>36.6</c:v>
                </c:pt>
                <c:pt idx="4">
                  <c:v>1.3</c:v>
                </c:pt>
                <c:pt idx="5">
                  <c:v>8</c:v>
                </c:pt>
                <c:pt idx="6">
                  <c:v>11.9</c:v>
                </c:pt>
                <c:pt idx="7">
                  <c:v>18</c:v>
                </c:pt>
                <c:pt idx="8">
                  <c:v>21.8</c:v>
                </c:pt>
                <c:pt idx="9">
                  <c:v>2</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5.7</c:v>
                </c:pt>
                <c:pt idx="1">
                  <c:v>11.7</c:v>
                </c:pt>
                <c:pt idx="2">
                  <c:v>-18.8</c:v>
                </c:pt>
                <c:pt idx="3">
                  <c:v>24.7</c:v>
                </c:pt>
                <c:pt idx="4">
                  <c:v>3</c:v>
                </c:pt>
                <c:pt idx="5">
                  <c:v>15.2</c:v>
                </c:pt>
                <c:pt idx="6">
                  <c:v>-12.8</c:v>
                </c:pt>
                <c:pt idx="7">
                  <c:v>19.5</c:v>
                </c:pt>
                <c:pt idx="8">
                  <c:v>18.1</c:v>
                </c:pt>
                <c:pt idx="9">
                  <c:v>22.6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1">
                  <c:v>12.6</c:v>
                </c:pt>
                <c:pt idx="2">
                  <c:v>14.2</c:v>
                </c:pt>
                <c:pt idx="3">
                  <c:v>16.4</c:v>
                </c:pt>
                <c:pt idx="4">
                  <c:v>14.9</c:v>
                </c:pt>
                <c:pt idx="5">
                  <c:v>15.3</c:v>
                </c:pt>
                <c:pt idx="6">
                  <c:v>13.3</c:v>
                </c:pt>
                <c:pt idx="7">
                  <c:v>13.9</c:v>
                </c:pt>
                <c:pt idx="8">
                  <c:v>13.9</c:v>
                </c:pt>
                <c:pt idx="9">
                  <c:v>13.4</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13.9</c:v>
                </c:pt>
                <c:pt idx="1">
                  <c:v>13.9</c:v>
                </c:pt>
                <c:pt idx="2">
                  <c:v>13.9</c:v>
                </c:pt>
                <c:pt idx="3">
                  <c:v>13.9</c:v>
                </c:pt>
                <c:pt idx="4">
                  <c:v>13.9</c:v>
                </c:pt>
                <c:pt idx="5">
                  <c:v>13.9</c:v>
                </c:pt>
                <c:pt idx="6">
                  <c:v>13.9</c:v>
                </c:pt>
                <c:pt idx="7">
                  <c:v>13.9</c:v>
                </c:pt>
                <c:pt idx="8">
                  <c:v>13.9</c:v>
                </c:pt>
                <c:pt idx="9">
                  <c:v>13.9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Deutsche Börse</c:v>
                </c:pt>
                <c:pt idx="1">
                  <c:v>CME Group</c:v>
                </c:pt>
                <c:pt idx="2">
                  <c:v>Intercontinental Exchange</c:v>
                </c:pt>
                <c:pt idx="3">
                  <c:v>Nasdaq</c:v>
                </c:pt>
                <c:pt idx="4">
                  <c:v>London Stock Exchange Group</c:v>
                </c:pt>
                <c:pt idx="5">
                  <c:v>Euronext</c:v>
                </c:pt>
                <c:pt idx="6">
                  <c:v>Tradeweb Markets</c:v>
                </c:pt>
                <c:pt idx="7">
                  <c:v>MSCI</c:v>
                </c:pt>
                <c:pt idx="8">
                  <c:v>S&amp;P Global</c:v>
                </c:pt>
              </c:strCache>
            </c:strRef>
          </c:cat>
          <c:val>
            <c:numRef>
              <c:f>Hoja1!$B$2:$B$10</c:f>
              <c:numCache>
                <c:formatCode>0.0"x"</c:formatCode>
                <c:ptCount val="9"/>
                <c:pt idx="0">
                  <c:v>14.8</c:v>
                </c:pt>
                <c:pt idx="1">
                  <c:v>20.2</c:v>
                </c:pt>
                <c:pt idx="2">
                  <c:v>14</c:v>
                </c:pt>
                <c:pt idx="3">
                  <c:v>16.3</c:v>
                </c:pt>
                <c:pt idx="4">
                  <c:v>9.7</c:v>
                </c:pt>
                <c:pt idx="5">
                  <c:v>13.6</c:v>
                </c:pt>
                <c:pt idx="6">
                  <c:v>18.4</c:v>
                </c:pt>
                <c:pt idx="7">
                  <c:v>21.2</c:v>
                </c:pt>
                <c:pt idx="8">
                  <c:v>18.3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Deutsche Börse</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5.5</c:v>
                </c:pt>
              </c:numCache>
            </c:numRef>
          </c:xVal>
          <c:yVal>
            <c:numRef>
              <c:f>Hoja1!$C$2</c:f>
              <c:numCache>
                <c:formatCode>0.0"x"</c:formatCode>
                <c:ptCount val="1"/>
                <c:pt idx="0">
                  <c:v>14.8</c:v>
                </c:pt>
              </c:numCache>
            </c:numRef>
          </c:yVal>
          <c:smooth val="0"/>
        </c:ser>
        <c:ser>
          <c:idx val="1"/>
          <c:order val="1"/>
          <c:tx>
            <c:strRef>
              <c:f>Hoja1!$A$3</c:f>
              <c:strCache>
                <c:ptCount val="1"/>
                <c:pt idx="0">
                  <c:v>CME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5.9</c:v>
                </c:pt>
              </c:numCache>
            </c:numRef>
          </c:xVal>
          <c:yVal>
            <c:numRef>
              <c:f>Hoja1!$C$3</c:f>
              <c:numCache>
                <c:formatCode>0.0"x"</c:formatCode>
                <c:ptCount val="1"/>
                <c:pt idx="0">
                  <c:v>20.2</c:v>
                </c:pt>
              </c:numCache>
            </c:numRef>
          </c:yVal>
          <c:smooth val="0"/>
        </c:ser>
        <c:ser>
          <c:idx val="2"/>
          <c:order val="2"/>
          <c:tx>
            <c:strRef>
              <c:f>Hoja1!$A$4</c:f>
              <c:strCache>
                <c:ptCount val="1"/>
                <c:pt idx="0">
                  <c:v>Intercontinental Exchange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8.1</c:v>
                </c:pt>
              </c:numCache>
            </c:numRef>
          </c:xVal>
          <c:yVal>
            <c:numRef>
              <c:f>Hoja1!$C$4</c:f>
              <c:numCache>
                <c:formatCode>0.0"x"</c:formatCode>
                <c:ptCount val="1"/>
                <c:pt idx="0">
                  <c:v>14</c:v>
                </c:pt>
              </c:numCache>
            </c:numRef>
          </c:yVal>
          <c:smooth val="0"/>
        </c:ser>
        <c:ser>
          <c:idx val="3"/>
          <c:order val="3"/>
          <c:tx>
            <c:strRef>
              <c:f>Hoja1!$A$5</c:f>
              <c:strCache>
                <c:ptCount val="1"/>
                <c:pt idx="0">
                  <c:v>Nasdaq</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10.1</c:v>
                </c:pt>
              </c:numCache>
            </c:numRef>
          </c:xVal>
          <c:yVal>
            <c:numRef>
              <c:f>Hoja1!$C$5</c:f>
              <c:numCache>
                <c:formatCode>0.0"x"</c:formatCode>
                <c:ptCount val="1"/>
                <c:pt idx="0">
                  <c:v>16.3</c:v>
                </c:pt>
              </c:numCache>
            </c:numRef>
          </c:yVal>
          <c:smooth val="0"/>
        </c:ser>
        <c:ser>
          <c:idx val="4"/>
          <c:order val="4"/>
          <c:tx>
            <c:strRef>
              <c:f>Hoja1!$A$6</c:f>
              <c:strCache>
                <c:ptCount val="1"/>
                <c:pt idx="0">
                  <c:v>London Stock Exchange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6.5</c:v>
                </c:pt>
              </c:numCache>
            </c:numRef>
          </c:xVal>
          <c:yVal>
            <c:numRef>
              <c:f>Hoja1!$C$6</c:f>
              <c:numCache>
                <c:formatCode>0.0"x"</c:formatCode>
                <c:ptCount val="1"/>
                <c:pt idx="0">
                  <c:v>9.7</c:v>
                </c:pt>
              </c:numCache>
            </c:numRef>
          </c:yVal>
          <c:smooth val="0"/>
        </c:ser>
        <c:ser>
          <c:idx val="5"/>
          <c:order val="5"/>
          <c:tx>
            <c:strRef>
              <c:f>Hoja1!$A$7</c:f>
              <c:strCache>
                <c:ptCount val="1"/>
                <c:pt idx="0">
                  <c:v>Euronext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12.1</c:v>
                </c:pt>
              </c:numCache>
            </c:numRef>
          </c:xVal>
          <c:yVal>
            <c:numRef>
              <c:f>Hoja1!$C$7</c:f>
              <c:numCache>
                <c:formatCode>0.0"x"</c:formatCode>
                <c:ptCount val="1"/>
                <c:pt idx="0">
                  <c:v>13.6</c:v>
                </c:pt>
              </c:numCache>
            </c:numRef>
          </c:yVal>
          <c:smooth val="0"/>
        </c:ser>
        <c:ser>
          <c:idx val="6"/>
          <c:order val="6"/>
          <c:tx>
            <c:strRef>
              <c:f>Hoja1!$A$8</c:f>
              <c:strCache>
                <c:ptCount val="1"/>
                <c:pt idx="0">
                  <c:v>Tradeweb Markets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13.3</c:v>
                </c:pt>
              </c:numCache>
            </c:numRef>
          </c:xVal>
          <c:yVal>
            <c:numRef>
              <c:f>Hoja1!$C$8</c:f>
              <c:numCache>
                <c:formatCode>0.0"x"</c:formatCode>
                <c:ptCount val="1"/>
                <c:pt idx="0">
                  <c:v>18.4</c:v>
                </c:pt>
              </c:numCache>
            </c:numRef>
          </c:yVal>
          <c:smooth val="0"/>
        </c:ser>
        <c:ser>
          <c:idx val="7"/>
          <c:order val="7"/>
          <c:tx>
            <c:strRef>
              <c:f>Hoja1!$A$9</c:f>
              <c:strCache>
                <c:ptCount val="1"/>
                <c:pt idx="0">
                  <c:v>MSCI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10.2</c:v>
                </c:pt>
              </c:numCache>
            </c:numRef>
          </c:xVal>
          <c:yVal>
            <c:numRef>
              <c:f>Hoja1!$C$9</c:f>
              <c:numCache>
                <c:formatCode>0.0"x"</c:formatCode>
                <c:ptCount val="1"/>
                <c:pt idx="0">
                  <c:v>21.2</c:v>
                </c:pt>
              </c:numCache>
            </c:numRef>
          </c:yVal>
          <c:smooth val="0"/>
        </c:ser>
        <c:ser>
          <c:idx val="8"/>
          <c:order val="8"/>
          <c:tx>
            <c:strRef>
              <c:f>Hoja1!$A$10</c:f>
              <c:strCache>
                <c:ptCount val="1"/>
                <c:pt idx="0">
                  <c:v>S&amp;P Global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7.6</c:v>
                </c:pt>
              </c:numCache>
            </c:numRef>
          </c:xVal>
          <c:yVal>
            <c:numRef>
              <c:f>Hoja1!$C$10</c:f>
              <c:numCache>
                <c:formatCode>0.0"x"</c:formatCode>
                <c:ptCount val="1"/>
                <c:pt idx="0">
                  <c:v>18.3</c:v>
                </c:pt>
              </c:numCache>
            </c:numRef>
          </c:yVal>
          <c:smooth val="0"/>
        </c:ser>
        <c:axId val="10"/>
        <c:axId val="20"/>
      </c:scatterChart>
      <c:valAx>
        <c:axId val="10"/>
        <c:scaling>
          <c:orientation val="minMax"/>
          <c:max val="16"/>
          <c:min val="3"/>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7"/>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MarketAxess Holdings</c:v>
                </c:pt>
                <c:pt idx="1">
                  <c:v>Adenza</c:v>
                </c:pt>
                <c:pt idx="2">
                  <c:v>IHS Markit</c:v>
                </c:pt>
                <c:pt idx="3">
                  <c:v>Allfunds Group</c:v>
                </c:pt>
                <c:pt idx="4">
                  <c:v>ISS STOXX (19,69 % minoritario)</c:v>
                </c:pt>
                <c:pt idx="5">
                  <c:v>SimCorp</c:v>
                </c:pt>
              </c:strCache>
            </c:strRef>
          </c:cat>
          <c:val>
            <c:numRef>
              <c:f>Hoja1!$B$2:$B$7</c:f>
              <c:numCache>
                <c:formatCode>0.0"x"</c:formatCode>
                <c:ptCount val="6"/>
                <c:pt idx="0">
                  <c:v>13</c:v>
                </c:pt>
                <c:pt idx="1">
                  <c:v>30.7</c:v>
                </c:pt>
                <c:pt idx="2">
                  <c:v>24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2026e</c:v>
                </c:pt>
                <c:pt idx="1">
                  <c:v>2027e</c:v>
                </c:pt>
                <c:pt idx="2">
                  <c:v>2028e</c:v>
                </c:pt>
                <c:pt idx="3">
                  <c:v>2029e</c:v>
                </c:pt>
                <c:pt idx="4">
                  <c:v>2030e</c:v>
                </c:pt>
                <c:pt idx="5">
                  <c:v>2031e</c:v>
                </c:pt>
                <c:pt idx="6">
                  <c:v>2032e</c:v>
                </c:pt>
              </c:strCache>
            </c:strRef>
          </c:cat>
          <c:val>
            <c:numRef>
              <c:f>Hoja1!$B$2:$B$8</c:f>
              <c:numCache>
                <c:formatCode>#,##0</c:formatCode>
                <c:ptCount val="7"/>
                <c:pt idx="0">
                  <c:v>2598</c:v>
                </c:pt>
                <c:pt idx="1">
                  <c:v>2783</c:v>
                </c:pt>
                <c:pt idx="2">
                  <c:v>3018</c:v>
                </c:pt>
                <c:pt idx="3">
                  <c:v>3199</c:v>
                </c:pt>
                <c:pt idx="4">
                  <c:v>3365</c:v>
                </c:pt>
                <c:pt idx="5">
                  <c:v>3504</c:v>
                </c:pt>
                <c:pt idx="6">
                  <c:v>3634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15841</c:v>
                </c:pt>
                <c:pt idx="1">
                  <c:v>43679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308,90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237.24</c:v>
                </c:pt>
                <c:pt idx="1">
                  <c:v>299.5</c:v>
                </c:pt>
                <c:pt idx="2">
                  <c:v>330.78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308,90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(200,10 – 312,20)</c:v>
                </c:pt>
                <c:pt idx="1">
                  <c:v>Precio objetivo de los analistas (252,00 – 345,00)</c:v>
                </c:pt>
                <c:pt idx="2">
                  <c:v>Comparables: EV/EBITDA NTM (288,77 – 402,38)</c:v>
                </c:pt>
                <c:pt idx="3">
                  <c:v>Comparables: PER NTM (313,59 – 347,98)</c:v>
                </c:pt>
                <c:pt idx="4">
                  <c:v>Transacciones precedentes (EV/EBITDA) (363,42 – 551,75)</c:v>
                </c:pt>
                <c:pt idx="5">
                  <c:v>DCF (WACC y g ± 0,5) (253,61 – 366,18)</c:v>
                </c:pt>
                <c:pt idx="6">
                  <c:v>Escenarios (bajista – alcista) (237,24 – 330,78)</c:v>
                </c:pt>
                <c:pt idx="7">
                  <c:v>DCF con la prima implícita del mercado (4,2 %)</c:v>
                </c:pt>
                <c:pt idx="8">
                  <c:v>Precio actual (308,90)</c:v>
                </c:pt>
              </c:strCache>
            </c:strRef>
          </c:cat>
          <c:val>
            <c:numRef>
              <c:f>Hoja1!$B$2:$B$10</c:f>
              <c:numCache>
                <c:formatCode>#,##0</c:formatCode>
                <c:ptCount val="9"/>
                <c:pt idx="0">
                  <c:v>200.1</c:v>
                </c:pt>
                <c:pt idx="1">
                  <c:v>252</c:v>
                </c:pt>
                <c:pt idx="2">
                  <c:v>288.77</c:v>
                </c:pt>
                <c:pt idx="3">
                  <c:v>313.59</c:v>
                </c:pt>
                <c:pt idx="4">
                  <c:v>363.42</c:v>
                </c:pt>
                <c:pt idx="5">
                  <c:v>253.61</c:v>
                </c:pt>
                <c:pt idx="6">
                  <c:v>237.24</c:v>
                </c:pt>
                <c:pt idx="7">
                  <c:v>333.76</c:v>
                </c:pt>
                <c:pt idx="8">
                  <c:v>307.36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(200,10 – 312,20)</c:v>
                </c:pt>
                <c:pt idx="1">
                  <c:v>Precio objetivo de los analistas (252,00 – 345,00)</c:v>
                </c:pt>
                <c:pt idx="2">
                  <c:v>Comparables: EV/EBITDA NTM (288,77 – 402,38)</c:v>
                </c:pt>
                <c:pt idx="3">
                  <c:v>Comparables: PER NTM (313,59 – 347,98)</c:v>
                </c:pt>
                <c:pt idx="4">
                  <c:v>Transacciones precedentes (EV/EBITDA) (363,42 – 551,75)</c:v>
                </c:pt>
                <c:pt idx="5">
                  <c:v>DCF (WACC y g ± 0,5) (253,61 – 366,18)</c:v>
                </c:pt>
                <c:pt idx="6">
                  <c:v>Escenarios (bajista – alcista) (237,24 – 330,78)</c:v>
                </c:pt>
                <c:pt idx="7">
                  <c:v>DCF con la prima implícita del mercado (4,2 %)</c:v>
                </c:pt>
                <c:pt idx="8">
                  <c:v>Precio actual (308,90)</c:v>
                </c:pt>
              </c:strCache>
            </c:strRef>
          </c:cat>
          <c:val>
            <c:numRef>
              <c:f>Hoja1!$C$2:$C$10</c:f>
              <c:numCache>
                <c:formatCode>#,##0</c:formatCode>
                <c:ptCount val="9"/>
                <c:pt idx="0">
                  <c:v>112.1</c:v>
                </c:pt>
                <c:pt idx="1">
                  <c:v>93</c:v>
                </c:pt>
                <c:pt idx="2">
                  <c:v>113.61000000000001</c:v>
                </c:pt>
                <c:pt idx="3">
                  <c:v>34.39000000000004</c:v>
                </c:pt>
                <c:pt idx="4">
                  <c:v>188.32999999999998</c:v>
                </c:pt>
                <c:pt idx="5">
                  <c:v>112.57</c:v>
                </c:pt>
                <c:pt idx="6">
                  <c:v>93.53999999999996</c:v>
                </c:pt>
                <c:pt idx="7">
                  <c:v>94.24000000000001</c:v>
                </c:pt>
                <c:pt idx="8">
                  <c:v>3.079999999999984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