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Adyen N.V.</w:t>
      </w:r>
    </w:p>
    <w:p>
      <w:pPr>
        <w:spacing w:after="60"/>
        <w:rPr>
          <w:color w:val="52514E"/>
          <w:sz w:val="22"/>
          <w:szCs w:val="22"/>
        </w:rPr>
      </w:pPr>
      <w:r>
        <w:rPr>
          <w:color w:val="52514E"/>
          <w:sz w:val="22"/>
          <w:szCs w:val="22"/>
        </w:rPr>
        <w:t xml:space="preserve">ADYEN · Euronext Ámsterdam · ISIN NL0012969182 · Financieros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886,10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908,88 EUR · mercado 1.110,27</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+2,6 % · mercado +25,3 %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28.081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12,8x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-3,9x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Adyen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ADYEN / NL0012969182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Ámsterdam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AEX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Financieros / Servicios de transacciones y procesamiento de pagos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Ámsterdam · 2006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www.adyen.com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886,10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772,40 – 1.600,80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28.081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22.759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124 M EUR/día (133.000 acciones/día,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908,88 EUR</w:t>
      </w:r>
      <w:r>
        <w:t xml:space="preserve"> frente a 886,10 · con la prima implícita del mercado: 1.110,27 (+25,3 %) · Rentabilidad total esperada a 12 meses </w:t>
      </w:r>
      <w:r>
        <w:rPr>
          <w:b/>
          <w:bCs/>
        </w:rPr>
        <w:t xml:space="preserve">+2,6 %</w:t>
      </w:r>
      <w:r>
        <w:t xml:space="preserve"> · Alcista / bajista +28,2 % / -25,6 %</w:t>
      </w:r>
    </w:p>
    <w:p>
      <w:pPr>
        <w:spacing w:after="100"/>
      </w:pPr>
      <w:r>
        <w:rPr>
          <w:b/>
        </w:rPr>
        <w:t xml:space="preserve">La recomendación y por qué.</w:t>
      </w:r>
      <w:r>
        <w:t xml:space="preserve"> Mantener, con convicción baja. El valor objetivo es de 908,88 EUR frente a un precio de 886,10 EUR (cierre del 9-oct-2026): una rentabilidad total esperada del 2,6 % a doce meses, sin dividendo, con una asimetría de 1,10x (alcista +28,2 %, bajista −25,6 %). Con la prima de riesgo que hoy descuenta el mercado (4,20 %), el objetivo sube a 1.110,27 EUR (+25,3 %): la regla relativa da Comprar, pero un Comprar solo relativo exige al menos un 5 % con nuestro coste de capital, y no llega. La convicción es baja porque las dos reglas discrepan y la diferencia es de tasa de descuento (beta de 1,50), no de cifras: subiría si el 3T26 (28-oct) confirma un volumen por encima del 20 % con la tasa media estable, y bajaría si la guía de 2027 queda por debajo del 18 %.</w:t>
      </w:r>
    </w:p>
    <w:p>
      <w:pPr>
        <w:spacing w:after="100"/>
      </w:pPr>
      <w:r>
        <w:rPr>
          <w:b/>
        </w:rPr>
        <w:t xml:space="preserve">El negocio.</w:t>
      </w:r>
      <w:r>
        <w:t xml:space="preserve"> Adyen procesa 1,55 billones EUR al año con una sola plataforma y licencias bancarias propias, con un margen EBITDA del 52,7 % en 2025 y un ROIC del 158,0 %, frente a ROIC de un dígito en los procesadores que crecieron comprando [26, 28, 29]. La calidad sostiene el crecimiento solo en parte: crecer no exige capital, pero el caso base pide pasar del 5,6 % al entorno del 9-10 % del volumen de las redes con la tasa media bajando, frente a Stripe, que ya procesa más [30].</w:t>
      </w:r>
    </w:p>
    <w:p>
      <w:pPr>
        <w:spacing w:after="100"/>
      </w:pPr>
      <w:r>
        <w:rPr>
          <w:b/>
        </w:rPr>
        <w:t xml:space="preserve">Finanzas.</w:t>
      </w:r>
      <w:r>
        <w:t xml:space="preserve"> El ingreso neto creció un 18,4 % en 2025 y un 19 % en el 1S26 (21 % a divisa constante) [11], con un flujo libre de 1.072,8 M (101 % del beneficio). La caja bruta de 12.392,8 M es en su mayoría de comerciantes: la propia es de 4.908,6 M [11]. Los intereses de esa caja de terceros valen unos 1.100 M (estimación propia), unos 35 EUR por acción.</w:t>
      </w:r>
    </w:p>
    <w:p>
      <w:pPr>
        <w:spacing w:after="100"/>
      </w:pPr>
      <w:r>
        <w:rPr>
          <w:b/>
        </w:rPr>
        <w:t xml:space="preserve">Equipo y gobierno.</w:t>
      </w:r>
      <w:r>
        <w:t xml:space="preserve"> El gobierno protege al minoritario (una acción, un voto salvo el quórum reforzado de los estatutos; el co-CEO cobra solo fijo) [38], pero la guía de medio plazo se ha rebajado tres veces desde 2022 y el director financiero se fue en agosto de 2026 con tres años en el cargo [43, 48, 51, 58].</w:t>
      </w:r>
    </w:p>
    <w:p>
      <w:pPr>
        <w:spacing w:after="100"/>
      </w:pPr>
      <w:r>
        <w:rPr>
          <w:b/>
        </w:rPr>
        <w:t xml:space="preserve">Valoración.</w:t>
      </w:r>
      <w:r>
        <w:t xml:space="preserve"> El DCF da 939,87 EUR con un WACC del 11,65 %; los escenarios ponderados, 918,75; los comparables, 703,93, aunque pesan poco porque crecen un 4,5 % de mediana. El DCF inverso dice que el precio descuenta un crecimiento del 11,7 % en 2027e-2035e, frente al 12,9 % de nuestro caso base, que ya está por debajo del consenso: el mercado ha dejado de pagar la historia de crecimiento (16,9x el EBITDA, frente a 31-143x al cierre de cada año desde 2019) y espera una desaceleración algo más rápida que la nuestra. No vemos un error claro del mercado con nuestra tasa; sí con la suya.</w:t>
      </w:r>
    </w:p>
    <w:p>
      <w:pPr>
        <w:spacing w:after="100"/>
      </w:pPr>
      <w:r>
        <w:rPr>
          <w:b/>
        </w:rPr>
        <w:t xml:space="preserve">Riesgos y catalizadores.</w:t>
      </w:r>
      <w:r>
        <w:t xml:space="preserve"> El mayor riesgo es la cuota frente a Stripe (bajista, −25,6 %); el segundo, la tasa media: cada punto básico permanente mueve el valor un 10-15 %. Los foros de particulares están divididos tras devolver toda la subida de los resultados de agosto [96, 97]; no señalan un riesgo nuevo. Catalizadores: el 3T26 del 28-oct-2026 y la guía de 2027 en febrero de 2027.</w:t>
      </w:r>
    </w:p>
    <w:p>
      <w:pPr>
        <w:spacing w:after="100"/>
      </w:pPr>
      <w:r>
        <w:rPr>
          <w:b/>
        </w:rPr>
        <w:t xml:space="preserve">Qué cambiaría la decisión.</w:t>
      </w:r>
      <w:r>
        <w:t xml:space="preserve"> Compraríamos por debajo de 865,25 EUR y venderíamos por encima de 1.215,17 EUR. También pasaríamos a Comprar con un crecimiento del volumen del 3T26 por encima del 22 % y la tasa media en 16,5 pb o más, y a Vender si la guía de 2027 queda por debajo del 16 %.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908,88 EUR</w:t>
      </w:r>
      <w:r>
        <w:t xml:space="preserve"> (+2,6 % sobre 886,10; rentabilidad total esperada +2,6 %) · con la prima implícita del mercado: 1.110,27 (+25,3 %)</w:t>
      </w:r>
    </w:p>
    <w:p>
      <w:pPr>
        <w:spacing w:after="100"/>
      </w:pPr>
      <w:r>
        <w:t xml:space="preserve">Adyen es la plataforma de pagos con mejor economía unitaria de Europa: procesó 1.394,3 mil millones EUR en 2025 con un ingreso neto de 2.364,2 M, un margen EBITDA del 52,7 % y sin deuda [1, 5]. Su ROIC, sin la caja propia, es del 158,0 %, y ha ganado cuota sin comprar empresas hasta 2026: del ≈ 1,7 % al 5,6 % del volumen de las grandes redes entre 2019 y 2024 [17, 22].</w:t>
      </w:r>
    </w:p>
    <w:p>
      <w:pPr>
        <w:spacing w:after="100"/>
      </w:pPr>
      <w:r>
        <w:t xml:space="preserve">El precio ya no descuenta esa historia. A 886,10 EUR, Adyen cotiza a 16,9x el EBITDA de los últimos doce meses y 19,7x el beneficio de los próximos doce, un 68 % por debajo de su mediana histórica, tras caer un 39,6 % en un año [62]. El DCF inverso implica un crecimiento medio del 11,7 % en 2027e-2035e, algo por debajo de nuestro caso base (12,9 %), que a su vez está por debajo del consenso.</w:t>
      </w:r>
    </w:p>
    <w:p>
      <w:pPr>
        <w:spacing w:after="100"/>
      </w:pPr>
      <w:r>
        <w:t xml:space="preserve">Para comprar hay que creer una de dos cosas: que el crecimiento del volumen se mantiene por encima del 20 % con la tasa media estable (el alcista, +28,2 %), o que el coste de capital correcto es el que hoy pide el mercado (9,73 %) y no el nuestro (11,65 %). Con nuestras cifras y nuestra tasa, el precio está cerca del valor; con la tasa del mercado, hay un 25 % de recorrido. La desaceleración, la presión de Stripe y la salida del director financiero explican por qué el mercado exige más rentabilidad.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908,88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 / -25,6 %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 frente a 11,7 % y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1.110,27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 frente a 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(13,7 %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865,25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865,25 y 1.215,17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1.215,17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865,25 EUR: pasaríamos a Comprar.</w:t>
      </w:r>
    </w:p>
    <w:p>
      <w:pPr>
        <w:pStyle w:val="ListParagraph"/>
        <w:numPr>
          <w:ilvl w:val="0"/>
          <w:numId w:val="2"/>
        </w:numPr>
        <w:spacing w:after="60"/>
      </w:pPr>
      <w:r>
        <w:t xml:space="preserve">Precio por encima de 1.215,17 EUR: pasaríamos a Vender.</w:t>
      </w:r>
    </w:p>
    <w:p>
      <w:pPr>
        <w:pStyle w:val="ListParagraph"/>
        <w:numPr>
          <w:ilvl w:val="0"/>
          <w:numId w:val="2"/>
        </w:numPr>
        <w:spacing w:after="60"/>
      </w:pPr>
      <w:r>
        <w:t xml:space="preserve">Volumen del 3T26 por encima del 22 % con la tasa media en 16,5 pb o más: Comprar.</w:t>
      </w:r>
    </w:p>
    <w:p>
      <w:pPr>
        <w:pStyle w:val="ListParagraph"/>
        <w:numPr>
          <w:ilvl w:val="0"/>
          <w:numId w:val="2"/>
        </w:numPr>
        <w:spacing w:after="60"/>
      </w:pPr>
      <w:r>
        <w:t xml:space="preserve">Guía de crecimiento de 2027 por debajo del 16 % a divisa constante: Vender.</w:t>
      </w:r>
    </w:p>
    <w:p>
      <w:pPr>
        <w:pStyle w:val="ListParagraph"/>
        <w:numPr>
          <w:ilvl w:val="0"/>
          <w:numId w:val="2"/>
        </w:numPr>
        <w:spacing w:after="60"/>
      </w:pPr>
      <w:r>
        <w:t xml:space="preserve">Margen EBITDA del 2S26 por debajo del 50 % sin explicación de las compras: revisar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El precio descuenta que Adyen crece un 11,7 % anual en 2027e-2035e, con un margen en torno al 55 %, y exige una rentabilidad implícita del 12,3 %: una desaceleración rápida desde el 19-21 % actual. Es la reacción a tres rebajas de la horquilla de medio plazo y a la competencia de Stripe; la acción cotiza a 16,9x el EBITDA, el mínimo de su historia en bolsa.</w:t>
      </w:r>
    </w:p>
    <w:p>
      <w:pPr>
        <w:keepNext/>
        <w:spacing w:after="100"/>
      </w:pPr>
      <w:r>
        <w:rPr>
          <w:b/>
          <w:bCs/>
        </w:rPr>
        <w:t xml:space="preserve">Lo que creemos nosotros.</w:t>
      </w:r>
    </w:p>
    <w:p>
      <w:pPr>
        <w:spacing w:after="100"/>
      </w:pPr>
      <w:r>
        <w:t xml:space="preserve">Nuestro caso base es solo algo mejor (12,9 % de crecimiento medio y 56 % de margen) y está por debajo del consenso en 2027e-2028e. Además valoramos el flotante de comerciantes (1.100 M) que el DCF sobre el EBITDA no recoge. No tenemos una visión distinta de la del mercado sobre las cifras: la diferencia está en la tasa.</w:t>
      </w:r>
    </w:p>
    <w:p>
      <w:pPr>
        <w:keepNext/>
        <w:spacing w:after="100"/>
      </w:pPr>
      <w:r>
        <w:rPr>
          <w:b/>
          <w:bCs/>
        </w:rPr>
        <w:t xml:space="preserve">Por qué podemos tener razón.</w:t>
      </w:r>
    </w:p>
    <w:p>
      <w:pPr>
        <w:spacing w:after="100"/>
      </w:pPr>
      <w:r>
        <w:t xml:space="preserve">Con la prima implícita del mercado (4,20 %), el mismo caso base vale 1.167,46 EUR; con nuestra prima histórica (5,5 %) y una beta de 1,50, 939,87 EUR. Si la beta correcta de un negocio sin deuda y con un 52 % de margen se parece más a 1,2-1,3 que a 1,5, el precio deja de ser justo y pasa a barato.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886,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Economía unitaria excepcional</w:t>
      </w:r>
      <w:r>
        <w:t xml:space="preserve">: margen EBITDA del 52,7 % y ROIC del 158,0 % en 2025, sin deuda financiera.</w:t>
      </w:r>
    </w:p>
    <w:p>
      <w:pPr>
        <w:pStyle w:val="ListParagraph"/>
        <w:numPr>
          <w:ilvl w:val="0"/>
          <w:numId w:val="2"/>
        </w:numPr>
        <w:spacing w:after="60"/>
      </w:pPr>
      <w:r>
        <w:rPr>
          <w:b/>
        </w:rPr>
        <w:t xml:space="preserve">Crecimiento todavía alto</w:t>
      </w:r>
      <w:r>
        <w:t xml:space="preserve">: ingreso neto +19 % en el 1S26 (+21 % a divisa constante) y volumen +24 % [11].</w:t>
      </w:r>
    </w:p>
    <w:p>
      <w:pPr>
        <w:pStyle w:val="ListParagraph"/>
        <w:numPr>
          <w:ilvl w:val="0"/>
          <w:numId w:val="2"/>
        </w:numPr>
        <w:spacing w:after="60"/>
      </w:pPr>
      <w:r>
        <w:rPr>
          <w:b/>
        </w:rPr>
        <w:t xml:space="preserve">Valoración en mínimos</w:t>
      </w:r>
      <w:r>
        <w:t xml:space="preserve">: 16,9x el EBITDA LTM, frente a 31-143x al cierre de cada año desde 2019.</w:t>
      </w:r>
    </w:p>
    <w:p>
      <w:pPr>
        <w:pStyle w:val="ListParagraph"/>
        <w:numPr>
          <w:ilvl w:val="0"/>
          <w:numId w:val="2"/>
        </w:numPr>
        <w:spacing w:after="60"/>
      </w:pPr>
      <w:r>
        <w:rPr>
          <w:b/>
        </w:rPr>
        <w:t xml:space="preserve">Caja propia de 4.908,6 M</w:t>
      </w:r>
      <w:r>
        <w:t xml:space="preserve"> más un flotante que vale unos 1.100 M (estimación propia), el 21 % de la capitalización.</w:t>
      </w:r>
    </w:p>
    <w:p>
      <w:pPr>
        <w:pStyle w:val="ListParagraph"/>
        <w:numPr>
          <w:ilvl w:val="0"/>
          <w:numId w:val="2"/>
        </w:numPr>
        <w:spacing w:after="60"/>
      </w:pPr>
      <w:r>
        <w:rPr>
          <w:b/>
        </w:rPr>
        <w:t xml:space="preserve">Conversión en caja del 103 %</w:t>
      </w:r>
      <w:r>
        <w:t xml:space="preserve"> del beneficio acumulado en 2019-2025 (4.338 M de flujo libre).</w:t>
      </w:r>
    </w:p>
    <w:p>
      <w:pPr>
        <w:pStyle w:val="Heading2"/>
      </w:pPr>
      <w:r>
        <w:t xml:space="preserve">En contra</w:t>
      </w:r>
    </w:p>
    <w:p>
      <w:pPr>
        <w:pStyle w:val="ListParagraph"/>
        <w:numPr>
          <w:ilvl w:val="0"/>
          <w:numId w:val="2"/>
        </w:numPr>
        <w:spacing w:after="60"/>
      </w:pPr>
      <w:r>
        <w:rPr>
          <w:b/>
        </w:rPr>
        <w:t xml:space="preserve">Rentabilidad esperada del 2,6 %</w:t>
      </w:r>
      <w:r>
        <w:t xml:space="preserve"> con nuestro coste de capital, por debajo del mínimo para comprar.</w:t>
      </w:r>
    </w:p>
    <w:p>
      <w:pPr>
        <w:pStyle w:val="ListParagraph"/>
        <w:numPr>
          <w:ilvl w:val="0"/>
          <w:numId w:val="2"/>
        </w:numPr>
        <w:spacing w:after="60"/>
      </w:pPr>
      <w:r>
        <w:rPr>
          <w:b/>
        </w:rPr>
        <w:t xml:space="preserve">Guía rebajada tres veces</w:t>
      </w:r>
      <w:r>
        <w:t xml:space="preserve"> desde 2022 y director financiero fuera en agosto de 2026 [43, 48, 51, 58].</w:t>
      </w:r>
    </w:p>
    <w:p>
      <w:pPr>
        <w:pStyle w:val="ListParagraph"/>
        <w:numPr>
          <w:ilvl w:val="0"/>
          <w:numId w:val="2"/>
        </w:numPr>
        <w:spacing w:after="60"/>
      </w:pPr>
      <w:r>
        <w:rPr>
          <w:b/>
        </w:rPr>
        <w:t xml:space="preserve">Tasa media a la baja</w:t>
      </w:r>
      <w:r>
        <w:t xml:space="preserve">: de 17,0 pb en 2025 a 16,2 pb en el 1S26; cada punto básico mueve el valor un 10-15 % [6].</w:t>
      </w:r>
    </w:p>
    <w:p>
      <w:pPr>
        <w:pStyle w:val="ListParagraph"/>
        <w:numPr>
          <w:ilvl w:val="0"/>
          <w:numId w:val="2"/>
        </w:numPr>
        <w:spacing w:after="60"/>
      </w:pPr>
      <w:r>
        <w:rPr>
          <w:b/>
        </w:rPr>
        <w:t xml:space="preserve">Stripe más grande</w:t>
      </w:r>
      <w:r>
        <w:t xml:space="preserve">: 1,9 billones USD procesados en 2025, por encima de Adyen [30].</w:t>
      </w:r>
    </w:p>
    <w:p>
      <w:pPr>
        <w:pStyle w:val="ListParagraph"/>
        <w:numPr>
          <w:ilvl w:val="0"/>
          <w:numId w:val="2"/>
        </w:numPr>
        <w:spacing w:after="60"/>
      </w:pPr>
      <w:r>
        <w:rPr>
          <w:b/>
        </w:rPr>
        <w:t xml:space="preserve">Primeras compras</w:t>
      </w:r>
      <w:r>
        <w:t xml:space="preserve"> (≈ 1.040 M) sin múltiplo publicado y con un punto de dilución del margen [11].</w:t>
      </w:r>
    </w:p>
    <w:p>
      <w:pPr>
        <w:pStyle w:val="Heading2"/>
      </w:pPr>
      <w:r>
        <w:t xml:space="preserve">Qué tiene que pasar para que la tesis funcione</w:t>
      </w:r>
    </w:p>
    <w:p>
      <w:pPr>
        <w:spacing w:after="100"/>
      </w:pPr>
      <w:r>
        <w:t xml:space="preserve">La tesis depende de que el volumen siga creciendo por encima del 20 % sin que la tasa media caiga más de un punto básico al año. La señal de que no se cumple sería una actualización del 3T26 (28-oct) con un volumen por debajo del 18 % o una guía de 2027 por debajo del 18 % a divisa constante; la de que el mercado se equivoca, un volumen por encima del 22 % con la tasa media estable en 16,5 pb o más.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volumen procesado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parte de volumen del puente de ingresos.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media (ingreso neto / volumen)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pb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15,5 pb</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básico permanente mueve el valor un 10-15 %.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 en el 1S26 (52,7 %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50 %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de más del 55 % en 2028 sostiene el caso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ingreso neto a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2027 por debajo del 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ya descuenta un 11,7 % medio; una guía menor acercaría 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propia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4.898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Nuevas compras por más de 1.000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la disciplina en la asignación de capital.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16,9x / 12,8x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24,9x / 19,7x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-3,3x · -3,9x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Pieter van der Does y Arnout Schuijff fundaron Adyen en Ámsterdam en 2006, tras haber vendido Bibit, otro procesador de pagos [1, 36]. Desde el principio construyó una plataforma única propia en lugar de comprar sistemas ajenos, y es rentable desde 2011 [36]. Obtuvo la licencia de adquirencia paneuropea en 2012 y la licencia bancaria europea en 2017, lo que la convirtió en banco adquirente supervisado por De Nederlandsche Bank [1, 36]. Salió a bolsa en Euronext Ámsterdam el 13 de junio de 2018, el mismo año en que eBay la eligió como procesador principal [36]. Después añadió la emisión de tarjetas (2019), licencias bancarias en EE. UU. y Reino Unido y productos financieros para plataformas [1, 36]. Desde 2023 la dirigen dos consejeros delegados, Pieter van der Does e Ingo Uytdehaage [1]. En julio de 2026 cerró sus primeras compras relevantes, Talon.One y Orb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Ámsterdam por Pieter van der Does y Arnout Schuijff [1,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con beneficio; Ingo Uytdehaage entra como director financiero [1,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adquirencia paneuropea y oficinas en San Francisco, París y Londres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Ronda de 250 M USD liderada por General Atlantic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bancaria europea (entidad de crédito supervisada por DNB) y licencias de adquirencia en Singapur, Hong Kong, Australia y Nueva Zelanda [1,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eBay como procesador principal (enero) y salida a bolsa en Euronext Ámsterdam el 13 de junio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Adyen Issuing (tarjetas virtuales y físicas) y oficinas en Tokio y Bombay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Ingo Uytdehaage pasa a consejero delegado junto a Pieter van der Does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Ataque DDoS el 21 de abril sobre los centros de datos europeos; conexión directa a las redes de tarjetas en India y lanzamiento de Dynamic Identification [1,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las compras de Talon.One (fidelización y promociones) y Orb (facturación) en julio [36].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Adyen es una plataforma de pagos y servicios financieros construida entera en casa y operada con licencias bancarias propias en la UE, EE. UU. y Reino Unido, sin depender de bancos socios para las actividades críticas [1]. Organiza su actividad comercial en tres pilares: Digital (empresas nativas online: suscripciones, viajes, movilidad), Unified Commerce (pagos online y en tienda para grandes minoristas, hostelería y restauración) y Platforms (software y marketplaces que integran pagos, cuentas, emisión de tarjetas y préstamos para sus propios clientes) [1]. En 2025 procesó 1.394.300 M EUR de volumen (+8 %), de los que 310.900 M EUR (22 %) fueron en punto de venta, y el 84 % fue volumen en el que Adyen presta toda la cadena (pasarela, gestión de riesgo y adquirencia) [1, 5]. Tiene 4.771 empleados equivalentes y 29 oficinas en 21 países; los ingresos netos de 2025 se repartieron un 58 % EMEA, 27 % Norteamérica, 10 % Asia-Pacífico y 6 % Latinoamérica [1].</w:t>
      </w:r>
    </w:p>
    <w:p>
      <w:pPr>
        <w:pStyle w:val="Heading2"/>
      </w:pPr>
      <w:r>
        <w:t xml:space="preserve">Cómo gana dinero</w:t>
      </w:r>
    </w:p>
    <w:p>
      <w:pPr>
        <w:spacing w:after="100"/>
      </w:pPr>
      <w:r>
        <w:t xml:space="preserve">Cobra una comisión por transacción sobre el volumen procesado; las tasas de intercambio y de las redes (Visa, Mastercard) se repercuten al comercio y quedan fuera de los ingresos netos, que fueron 2.364,2 M EUR en 2025 (+18 %; +21 % a tipo constante) [1]. La tasa media (take rate) fue de 17,0 puntos básicos del volumen en 2025 frente a 15,5 en 2024, por la mezcla de comercios y no por subidas de precio [1]. El negocio es casi todo transaccional y recurrente: el crecimiento viene sobre todo de clientes existentes y la baja anual de clientes es inferior al 1 % [1]. El coste principal es el personal (756,2 M EUR, +8 %), de modo que el apalancamiento operativo es alto: el margen EBITDA pasó del 50 % al 53 % y la inversión fue el 5 % de los ingresos netos [1]. En el primer semestre de 2026 el volumen creció un 24 % (803.800 M EUR) y los ingresos netos un 19 % (1.302,9 M EUR) [6]. Los ingresos financieros por saldos en bancos centrales y comerciales (267,6 M EUR en 2025) quedan fuera de los ingresos netos y dependen de los tipos de interés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Unified Commerce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Platforms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Unified Commerce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Platforms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Adyen sirve a grandes empresas y plataformas globales; no publica el peso de su primer cliente ni de los diez primeros, pero reconoce que los grandes comercios trabajan con varios procesadores y pueden mover volumen a otro, y que incorporar un cliente de gran volumen puede subir temporalmente la concentración [1]. La baja de clientes siguió por debajo del 1 % en 2025, excluido un comercio [1]. El poder de precios es limitado en las grandes cuentas: la propia compañía declara un apetito de riesgo moderado ante la competencia en precio y renuncia a contratos cuando el precio es insostenible [1]. La tasa media subió de 15,5 a 17,0 puntos básicos en 2025 por mezcla de clientes, no por subidas de tarifa [1]. Los clientes de enrutamiento de Adyen Uplift ahorraron de media un 9,62 % en tasas de intercambio y de red y tuvieron un 42 % menos de falsos positivos de fraude, un argumento de retención más que de precio [1]. En Platforms, 31 clientes procesaron más de 1.000 M EUR cada uno en 2025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procesado (mil millones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1.394,3 (2025); 1.549,1 LTM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(2025); +24 %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frenado por la salida de volumen de un gran cliente de Digital; sin él, +19 % en el 3T25 [5, 6,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 rate (ingreso neto / volumen, pb)</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(2025); 16,2 en 1S26; 16,6 LTM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22,3 (2019), 22,5 (2020), 19,4 (2021), 17,3 (2022), 16,8 (2023). Cae al entrar volumen de grandes clientes con precio escalonado; repunta en 2025 por mezcla [1, 5, 8,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en tienda (POS, % del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(2025); 22 %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310,9 mil millones de EUR en 2025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 (2025); 49,2 % en 1S26 (50 % sin costes de las compras)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por encima del 55 % en 2028; 2026 un punto por debajo de 2025 por la dilución de las compras [6, 11,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(FTE)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4.771 (2025); 5.020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en 2025; +249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2026: 550-650 incorporaciones netas [5, 6,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(miles de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(2025); 19,3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neto por región 1S26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EMEA 1.360,7; NA 633,3; APAC 236,5; LatAm 133,8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EMEA 722,5; NA 358,1; APAC 136,9; LatAm 85,3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EMEA +15 %, NA +23 % (+30 % cc), APAC +23 %, LatAm +43 %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lugar de facturación pedido por el comerciante [1,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Terminales en tienda (Unified Commerce,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 (1T25)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315.000 terminales de plataformas [14].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procesamiento y la adquirencia de pagos para comercios: aceptar, autorizar y liquidar pagos con tarjeta y otros métodos (monederos, cuenta a cuenta) online y en tienda, en todo el mundo. Se mide en volumen porque es la base sobre la que cobran los adquirentes. Uso como perímetro el volumen de pagos (sin retiradas de efectivo) de las cinco grandes redes internacionales de tarjetas (Visa, Mastercard, American Express, JCB y Diners/Discover), que publica Visa en su 10-K con datos de The Nilson Report [17, 18, 19, 20, 21, 22]; no incluye UnionPay ni las redes domésticas, que Adyen apenas toca. Lo contrasto con la estadística del BCE para la zona del euro, donde los pagos con tarjeta sumaron unos 3,5 billones EUR en 2025 [32, 33], y con el fondo de ingresos de McKinsey: 2,5 billones USD de ingresos del sector de pagos en 2024, con un 46 % de margen financiero, perímetro mucho más amplio que la adquirencia [31]. El TCAC previsto (4 %) es el de esos ingresos según McKinsey hasta 2029, no el del volumen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23,8 billones USD de volumen de pagos con tarjeta de las cinco redes internacionales en 2024 (≈ 22,9 billones EUR al tipo del BCE de 31-dic-2024, 1,0389) [18, 34]; Visa sola procesó 13,9 billones USD en los doce meses a junio de 2025 [17]. En ingresos, el sector de pagos generó 2,5 billones USD en 2024 [31]; el fondo de ingresos netos de la adquirencia no se publica en las fuentes consultadas.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volumen de pagos de Visa, Mastercard, American Express, JCB y Diners/Discover, año natur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del efectivo por pagos electrónicos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efectivo bajó al 46 % de los pagos mundiales en 2024 desde el 50 % en 2023 [31]; el volumen de las cinco redes creció un 9,0 % anual en 2019-2024 [18,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electrónico y pagos a distancia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zona del euro, los pagos a distancia fueron el 30 % del valor de los pagos con tarjeta en el segundo semestre de 2025, frente al 28 % un año antes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 en tienda sin contacto y comercio unificado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pagos sin contacto en terminal crecieron un 11,9 % en número en el segundo semestre de 2025 en la zona del euro [32]; el volumen en punto de venta de Adyen pasó del 18 % al 22 % de su total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nominal e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valor de los pagos con tarjeta en la zona del euro creció un 8,7 % y un 6,9 % en los dos semestres de 2025 [32, 33]; Adyen señala que la presión de la inflación sobre su volumen se moderó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Métodos de menor margen y presión de precios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McKinsey prevé que los ingresos del sector crezcan solo un 4 % anual hasta 2029 por el paso a cuenta a cuenta y monederos y la presión de tarifas en tarjetas [31].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margen financiero fue el 46 % de los ingresos del sector en 2024 y crecerá un 2 % anual [31]; Adyen ingresó 267,6 M EUR financieros en 2025, fuera de sus ingresos netos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Stripe procesó 1,9 billones USD en 2025, más que Adyen [30]; Global Payments compró Worldpay en enero de 2026 [27]; Worldline y Nexi registraron deterioros de fondo de comercio de 4.700 M y 3.700 M EUR en 2025 por la caída de valor de los adquirentes tradicionales [28,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comercios reparten volumen entre varios procesadores y negocian precio; Adyen acepta perder contratos con precios insostenibles [1]. PayPal cedió volumen de Braintree en 2025 al renegociar precios con comercios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Visa y Mastercard, proveedores de la red, tienen márgenes operativos del 60,0 % y el 57,6 % [17, 23]; sus tasas se repercuten al comercio, pero limitan el margen total del comercio y alimentan la presión regulatoria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Exige licencias bancarias y de adquirencia en cada región, conexión directa con las redes y escala: Adyen tardó desde 2012 en sumar licencias en la UE, EE. UU. y Reino Unido [1, 36]. Los entrantes compiten por tramos de la cadena (orquestación, pasarelas)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monederos ya son cerca del 30 % del volumen mundial en punto de venta y los pagos de cuenta a cuenta ganan peso [31]; Worldline ya lanza Wero en Alemania [28]. Adyen procesa también estos métodos, pero con menor tasa.</w:t>
            </w:r>
          </w:p>
        </w:tc>
      </w:tr>
    </w:tbl>
    <w:p>
      <w:pPr>
        <w:spacing w:after="160" w:before="0"/>
      </w:pPr>
    </w:p>
    <w:p>
      <w:pPr>
        <w:pStyle w:val="Heading2"/>
      </w:pPr>
      <w:r>
        <w:t xml:space="preserve">Ciclo</w:t>
      </w:r>
    </w:p>
    <w:p>
      <w:pPr>
        <w:spacing w:after="100"/>
      </w:pPr>
      <w:r>
        <w:t xml:space="preserve">El volumen de las cinco redes crece a un ritmo nominal de un dígito alto (+7 % en 2024 [18]; Visa +7 % y Mastercard +9 % en 2025 [17, 23]), por debajo del +23 % de 2021 y sin aceleración. En 2020 el volumen cayó un 1,9 % (de 15.425 a 15.133 miles de millones USD) por el hundimiento de los viajes y se recuperó un 23 % en 2021 [20, 21, 22]; en 2022 la inflación empujó el valor nominal un 8,9 % [19, 20]. Para 2008-09 no hay serie en las fuentes leídas. El sector es poco cíclico en volumen, pero sí en ingresos financieros, que McKinsey ve estancados con la bajada de tipos [31].</w:t>
      </w:r>
    </w:p>
    <w:p>
      <w:pPr>
        <w:pStyle w:val="Heading2"/>
      </w:pPr>
      <w:r>
        <w:t xml:space="preserve">Regulación</w:t>
      </w:r>
    </w:p>
    <w:p>
      <w:pPr>
        <w:spacing w:after="100"/>
      </w:pPr>
      <w:r>
        <w:t xml:space="preserve">Adyen es entidad de crédito supervisada por De Nederlandsche Bank: cualquier nombramiento en sus consejos exige su aprobación y la solvencia y liquidez se rigen por la normativa bancaria europea [1]. El reglamento europeo de tasas de intercambio limita esas tasas y la exclusividad de red en el EEE [17]. La compañía está adaptándose a la nueva normativa europea de servicios de pago (PSD3 y su reglamento) y a los estándares de seguridad PCI [1]. En Reino Unido, el regulador de pagos revisa las tasas de red y procesamiento y propone limitar el intercambio transfronterizo Reino Unido-UE [17]; en EE. UU. puede reintroducirse la Credit Card Competition Act sobre el enrutamiento de las tarjetas de crédito [17]. La resiliencia operativa (DORA) y la regulación de criptoactivos (MiCA) afectan a todo el sector, pero no he encontrado en las fuentes leídas su efecto en cifras para Adyen.</w:t>
      </w:r>
    </w:p>
    <w:p>
      <w:pPr>
        <w:pStyle w:val="Heading2"/>
      </w:pPr>
      <w:r>
        <w:t xml:space="preserve">Tendencias y disrupción</w:t>
      </w:r>
    </w:p>
    <w:p>
      <w:pPr>
        <w:spacing w:after="100"/>
      </w:pPr>
      <w:r>
        <w:t xml:space="preserve">Tres cambios dominan. Primero, la inteligencia artificial aplicada al riesgo y al enrutamiento: Adyen Uplift ahorró a sus clientes un 9,62 % en tasas y el enrutamiento inteligente en EE. UU. un 9,2 % de coste en las transacciones evaluadas [1]; con más volumen, mejores datos, lo que favorece a las plataformas grandes y únicas. Segundo, el comercio mediante agentes de IA, que Visa y Adyen ya preparan y que la compañía ve como un canal más, no como un atajo que la saque de la cadena [1, 17]. Tercero, los métodos alternativos: monederos (≈ 30 % del punto de venta mundial), cuenta a cuenta y monedas estables, que McKinsey ve integrados por los adquirentes en una sola solución [31]. Adyen gana con el primero y puede perder margen con el tercero si la mezcla se desplaza a métodos de menor tasa.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mayores adquirentes globales para grandes empresas y plataformas: 1.394.300 M EUR procesados en 2025 [1], por detrás de Stripe (1,9 billones USD, ≈ 1,62 billones EUR) [30] y por delante de Nexi (837.000 M EUR) [29]; su volumen casi se duplicó desde 767.500 M EUR en 2022 [5, 8]. Estimación propia de cuota: el volumen de Adyen de 2024 (1.285.900 M EUR, ≈ 1,34 billones USD al tipo de 31-dic-2024) equivale al 5,6 % del volumen de las cinco redes internacionales de tarjetas (23,8 billones USD) [5, 18, 34]; es un máximo, porque el volumen de Adyen incluye también monederos y otros métodos que no pasan por esas redes.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Stripe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Procesó 1,9 billones USD en 2025, el 1,6 % del PIB mundial (≈ 1,62 billones EUR al tipo de 31-dic-2025) [30, 34]. Competidor más directo en Digital y Platforms; no publica ingresos ni margen.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Fiserv (Clover, adquirencia)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21.193 M USD en 2025; el segmento Merchant facturó 10.140 M USD con margen operativo del 34,5 % (37,0 % en 2024) [26]. Fuerte en pymes de EE. UU. con Clover y en adquirencia bancaria.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PayPal (incl. Braintree)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PYPL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33.172 M USD en 2025; volumen total 1,79 billones USD (+7 %) [24]. Braintree compite con Adyen en grandes cuentas digitales; en 2025 renegoció precios y perdió volumen en el primer semestre [24]. Cuota sobre las cinco redes con el volumen de 2024 (1,68 billones USD), máximo por incluir pagos entre particulares.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Block (Square)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XYZ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24.194 M USD en 2025 (incluye venta de bitcoin); Square procesó 250.000 M USD para más de 4,5 millones de vendedores [25]. Compite en pymes y mediana empresa, no en las grandes cuentas de Adyen.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Payments (con Worldpay desde ene-2026)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GPN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7.706 M USD en 2025 sin el negocio de emisores (en venta) y antes de integrar Worldpay, comprado en enero de 2026 [27]. La suma la convierte en uno de los mayores adquirentes del mundo.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Worldline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WLN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4.030 M EUR en 2025 (−2,7 %), de ellos 3.238 M EUR en servicios a comercios; EBITDA ajustado del 18,3 % y deterioro de fondo de comercio de 4.700 M EUR, de modo que el resultado operativo publicado es fuertemente negativo [28]. Vende negocios y prepara una ampliación de capital de 500 M EUR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publicados de 3.590 M EUR en 2025 y EBITDA de 1.908 M EUR; el margen es el resultado antes de partidas no recurrentes (EBITDA menos 962 M EUR de amortizaciones), porque el deterioro de 3.700 M EUR deja el resultado operativo en negativo [29]. Merchant Solutions procesó 837.000 M EUR (+4,9 % en número de operaciones)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Visa (red, no competidor directo)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34.069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septiembre de 2025: ingresos netos de 40.000 M USD (al tipo de 30-sep-2025) [17, 34]. Cuota en el volumen de las cinco redes en 2024 (13.433 de 23.769 miles de millones USD) [17]. Proveedor de red de Adyen, no rival en adquirencia.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Mastercard (red, no competidor directo)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27.907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netos de 32.791 M USD en 2025 y volumen bruto (con efectivo) de 10,6 billones USD [23]. Cuota en el volumen de las cinco redes en 2024 (8.014 de 23.769 miles de millones USD)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 una red de dos lados como Visa, pero los datos de todo el volumen alimentan el riesgo y el enrutamiento: Uplift redujo un 42 % los falsos positivos y Dynamic Identification usa la actividad de toda la plataforma [1]. Cuanto más volumen, mejores modelos.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 clientes inferior al 1 % en 2025 y crecimiento sobre todo con clientes existentes [1], pero los grandes comercios trabajan con varios procesadores y pueden mover volumen sin salir del todo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bancarias propias en la UE, EE. UU. y Reino Unido y conexión directa con las redes (incluida RuPay en India en 2025) [1]; pocos competidores operan sin bancos socios en las tres regiones.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sola plataforma desarrollada en casa: margen EBITDA del 53 % con 4.771 empleados y una inversión del 5 % de los ingresos [1], frente al 18,3 % de EBITDA ajustado de Worldline, que mantiene plataformas heredadas que aún está cerrando [16].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1,39 billones EUR procesados en 2025 [1], pero Stripe es mayor (1,9 billones USD) [18] y Global Payments ganó escala con Worldpay [15]; el mercado admite varios grandes y el precio se negocia cuenta a cuenta.</w:t>
            </w:r>
          </w:p>
        </w:tc>
      </w:tr>
    </w:tbl>
    <w:p>
      <w:pPr>
        <w:spacing w:after="160" w:before="0"/>
      </w:pPr>
    </w:p>
    <w:p>
      <w:pPr>
        <w:pStyle w:val="Heading2"/>
      </w:pPr>
      <w:r>
        <w:t xml:space="preserve">Amenazas</w:t>
      </w:r>
    </w:p>
    <w:p>
      <w:pPr>
        <w:spacing w:after="100"/>
      </w:pPr>
      <w:r>
        <w:t xml:space="preserve">La principal es Stripe, mayor en volumen (1,9 billones USD en 2025 [30]) y fuerte en Digital y Platforms, los pilares que más pesan en Adyen [1]. Segunda, la presión de precios en grandes cuentas: los comercios reparten volumen entre varios procesadores y Adyen reconoce que algunos rivales compran cuota con precio [1]; la subida de la tasa media a 17,0 puntos básicos se debe a la mezcla y puede revertir si vuelven grandes comercios de menor tasa. Tercera, los métodos alternativos (cuenta a cuenta, monederos con ≈ 30 % del punto de venta mundial y monedas estables), que reducen la tasa por transacción [31]. Cuarta, la consolidación de Global Payments con Worldpay [27]. La probabilidad de una erosión fuerte del margen en cinco años la considero baja-media, porque la baja de clientes sigue por debajo del 1 %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2019-2025: ingresos </w:t>
      </w:r>
      <w:r>
        <w:rPr>
          <w:b/>
          <w:bCs/>
        </w:rPr>
        <w:t xml:space="preserve">28,1 %</w:t>
      </w:r>
      <w:r>
        <w:t xml:space="preserve">, EBITDA </w:t>
      </w:r>
      <w:r>
        <w:rPr>
          <w:b/>
          <w:bCs/>
        </w:rPr>
        <w:t xml:space="preserve">25,6 %</w:t>
      </w:r>
      <w:r>
        <w:t xml:space="preserve">, BPA </w:t>
      </w:r>
      <w:r>
        <w:rPr>
          <w:b/>
          <w:bCs/>
        </w:rPr>
        <w:t xml:space="preserve">27,9 %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El ingreso neto se multiplicó por 4,4 entre 2019 (534,3 M) y 2025 (2.364,2 M), sin compras: todo el crecimiento es orgánico hasta el cierre de Talon.One y Orb el 1-jul-2026, que la empresa espera que sumen un punto de crecimiento en 2026 [1, 11]. El ritmo se ha moderado: +46 % en 2021, +33 % en 2022, +22 % en 2023, +23 % en 2024 y +18 % en 2025 (+21 % a divisa constante) [5, 7, 8, 9]. El margen EBITDA tocó máximo en 2021 (62,9 %), cayó 1.720 pb hasta el 45,7 % de 2023 al acelerar la contratación (sueldos y salarios de 199,1 M en 2021 a 514,3 M en 2023) y se recupera con el apalancamiento operativo: 49,7 % en 2024 y 52,7 % en 2025 [5, 8, 9]. El beneficio neto crece más que el EBIT desde 2023 por los intereses de la caja (incluida la de comerciantes) en bancos centrales y comerciales: los ingresos financieros pasaron de 1,0 M (2021) a 29,3 M (2022), 246,4 M (2023), 349,8 M (2024) y 267,6 M (2025), un 19 % del BAI de 2025; con tipos más bajos frenaron el beneficio en 2025 [1, 2]. En 1S26 el ingreso neto creció un 19 % (21 % a divisa constante) y el EBITDA un 18 % [11].</w:t>
      </w:r>
    </w:p>
    <w:p>
      <w:pPr>
        <w:pStyle w:val="Heading2"/>
      </w:pPr>
      <w:r>
        <w:t xml:space="preserve">Ajustes y partidas no recurrentes</w:t>
      </w:r>
    </w:p>
    <w:p>
      <w:pPr>
        <w:spacing w:after="100"/>
      </w:pPr>
      <w:r>
        <w:t xml:space="preserve">Ingresos = ingresos netos (net revenue), la medida que usa la dirección y la única comparable en toda la serie: hasta 2023 los ingresos NIIF incluían interchange y tasas de esquema (ingresos brutos de 5.995,4 M en 2021 y 8.935,6 M en 2022, frente a 1.001,5 M y 1.330,2 M netos); desde 2024 la cuenta parte de los «non-interest revenue» (2.646,9 M en 2025) menos los costes de entidades financieras (193,0 M) y el coste de los terminales vendidos (102,3 M), más el margen de intereses de los productos financieros (12,6 M en 2025) [1, 5, 9]. Por eso no hay coste de ventas separado: lo que se descuenta ya está antes del ingreso neto. El EBITDA es el que publica Adyen (resultado de explotación más amortizaciones, con NIIF 16), sin ajustes; incluye la remuneración en acciones (42,4 M en 2025). No recurrentes: 6,0 M de costes de las compras de Talon.One y Orb en 1S26, sacados del EBITDA de los últimos doce meses [11]; los «otros resultados financieros» de 2020 (−42,7 M) y 2023 (+43,4 M) recogen sobre todo la revalorización del warrant concedido a eBay, fuera del EBITDA [2, 3]. 2019 está reexpresado por la corrección de comisiones de esquema duplicadas detectada en 2020 (ingreso neto antes publicado: 496,7 M) [4, 10].</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H2 2025 (11-feb-2026).</w:t>
      </w:r>
      <w:r>
        <w:t xml:space="preserve"> Tras el Investor Day de noviembre de 2025, en el que Adyen sustituyó el objetivo plurianual por una guía anual de crecimiento, la dirección dio para 2026 un crecimiento del ingreso neto del 20-22 % a divisa constante, un margen EBITDA «en línea con 2025» con 550-650 incorporaciones netas, capex de hasta el 5 % del ingreso neto y el objetivo de margen EBITDA por encima del 55 % en 2028 [12, 16]. Justificó la menor visibilidad (6-12 meses) y esperaba un crecimiento del volumen de mercado similar al de 2025 [12].</w:t>
      </w:r>
    </w:p>
    <w:p>
      <w:pPr>
        <w:spacing w:after="100"/>
      </w:pPr>
      <w:r>
        <w:rPr>
          <w:b/>
        </w:rPr>
        <w:t xml:space="preserve">H1 2026 (13-ago-2026).</w:t>
      </w:r>
      <w:r>
        <w:t xml:space="preserve"> El discurso cambia: Adyen se presenta como «sistema operativo financiero completo» y no solo como empresa de pagos, tras cerrar Talon.One y Orb el 1-jul-2026 [11, 15]. Subió la guía a 21-23 % a divisa constante, con un punto por las compras (dos en el segundo semestre) y el negocio orgánico sin cambios; el margen EBITDA de 2026 quedará un punto por debajo de 2025 por la dilución de las compras, y el capex sube al 7 % del ingreso neto al adelantar a 2026 inversión en centros de datos de 2027 por la escasez de capacidad de cómputo [11, 15]. Habló por primera vez la directora financiera interina, Hwa Tsao, que sustituye a Ethan Tandowsky [15]. Las comunicaciones publicadas son discursos preparados y no incluyen la sesión de preguntas; no hemos podido leer qué preguntaron los analistas (ver huecos).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(2020: el activo total crece un 59 % y los ingresos un 28 %).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Adyen no tiene deuda financiera: solo arrendamientos (252,4 M en 2025, 409,4 M en jun-26 por nuevas oficinas y centros de datos) [1, 11]. La caja propia creció de 729,5 M (2019) a 4.987,3 M (2025), en línea con el patrimonio (918 M a 5.285 M) porque no reparte dividendos ni recompra acciones [1, 4]. El circulante comercial es pequeño y negativo (clientes 217 M y existencias 77 M frente a proveedores 285 M en 2025). Las variaciones de los saldos de comerciantes mueven la caja bruta en miles de millones de un cierre a otro (+1.187 M en 2022, −313 M en 2025, +1.726 M en 1S26) sin cambiar la caja propia; por eso se excluyen de la caja y del flujo operativo. En jun-26 la caja propia bajó ligeramente (4.898,3 M) por el pago anticipado de 655,2 M de Talon.One [11].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4.338</w:t>
      </w:r>
      <w:r>
        <w:t xml:space="preserve">, conversión </w:t>
      </w:r>
      <w:r>
        <w:rPr>
          <w:b/>
          <w:bCs/>
        </w:rPr>
        <w:t xml:space="preserve">103 %</w:t>
      </w:r>
      <w:r>
        <w:t xml:space="preserve"> del beneficio neto; adquisiciones 0, dividendos 0, recompras 18.</w:t>
      </w:r>
    </w:p>
    <w:p>
      <w:pPr>
        <w:spacing w:after="100"/>
      </w:pPr>
      <w:r>
        <w:rPr>
          <w:b/>
        </w:rPr>
        <w:t xml:space="preserve">Criterio.</w:t>
      </w:r>
      <w:r>
        <w:t xml:space="preserve"> El flujo de explotación se toma sin la variación de los saldos con comerciantes y entidades financieras, coherente con la caja propia del balance. Publicado frente a ajustado (M EUR): 2021 1.820,1 / 549,8; 2022 2.021,2 / 569,7; 2023 1.870,0 / 834,6; 2024 1.704,8 / 1.154,5; 2025 1.030,4 / 1.246,2; 1S26 2.280,9 / 595,5 [1, 2, 3, 11]. Los intereses cobrados y los impuestos van en explotación [1]. El capex es el de caja (inmovilizado material más desarrollo activado, este último solo 2,1 M en 2025) [1]. La conversión es alta: el flujo libre fue de 1.072,8 M en 2025, el 101 % del beneficio, y de 4.338 M acumulados en 2019-2025 (103 %). Casi todo el capex es de crecimiento (centros de datos que se amplían con el volumen); la empresa no separa el de mantenimiento. En 2026 sube al 7 % del ingreso neto por adelantar inversión de 2027, y los derechos de uso pasaron de 217,7 a 368,2 M en el semestre por nuevas oficinas y centros de datos [11, 15]. La emisión de acciones corresponde a opciones de empleados y, en 2021, al primer tramo del warrant de eBay [3].</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Accountants N.V. (PwC)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leída: el informe del auditor no viene en el paquete iXBRL consultado; el informe anual no menciona salvedades.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las cuentas y alcanzará el plazo máximo legal tras el ejercicio 2026; habrá auditor nuevo desde 2027, ya elegido en el 3T25 y pendiente de nombrar en la junta de 2026 [1]. Los años de PwC (9 al cierre de 2025) son estimación propia a partir de ese plazo máximo de diez años. </w:t>
      </w:r>
      <w:r>
        <w:rPr>
          <w:b/>
        </w:rPr>
        <w:t xml:space="preserve">Corrección de error en 2020</w:t>
      </w:r>
      <w:r>
        <w:t xml:space="preserve">: los controles detectaron comisiones de esquema registradas dos veces desde 2018, que infravaloraban el ingreso neto y el EBITDA; 2018-2019 se reexpresaron (ingreso neto de 2019 de 496,7 M a 534,3 M) y no afectó a la caja [4, 10]. </w:t>
      </w:r>
      <w:r>
        <w:rPr>
          <w:b/>
        </w:rPr>
        <w:t xml:space="preserve">Capitalización</w:t>
      </w:r>
      <w:r>
        <w:t xml:space="preserve">: mínima, el desarrollo activado fue de 2,1 M en 2025, frente a una plantilla mayoritariamente técnica, de modo que el EBITDA no se infla por activar gastos [1, 5]. </w:t>
      </w:r>
      <w:r>
        <w:rPr>
          <w:b/>
        </w:rPr>
        <w:t xml:space="preserve">Pagos en acciones</w:t>
      </w:r>
      <w:r>
        <w:t xml:space="preserve">: 42,4 M en 2025 (1,8 % del ingreso neto, 4 % del beneficio), dentro del EBITDA [1]. </w:t>
      </w:r>
      <w:r>
        <w:rPr>
          <w:b/>
        </w:rPr>
        <w:t xml:space="preserve">Reconocimiento de ingresos</w:t>
      </w:r>
      <w:r>
        <w:t xml:space="preserve">: por transacción y por ventas de terminales; los «activos por contrato» (sobre todo el warrant de eBay) se amortizan contra ingresos y casi han desaparecido (3,0 M en 2025 frente a 140 M en 2019) [1, 4]. </w:t>
      </w:r>
      <w:r>
        <w:rPr>
          <w:b/>
        </w:rPr>
        <w:t xml:space="preserve">Caja de comerciantes</w:t>
      </w:r>
      <w:r>
        <w:t xml:space="preserve">: hincha activo, pasivo y flujo operativo; los indicadores de Altman y Piotroski deben leerse con la caja propia. Tipo impositivo efectivo del 23,8 % en 2025, cercano al 25,8 % neerlandés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Corrección de error contable en 2020 (comisiones de esquema duplicadas 2018-2019)</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Infravaloraba resultados, sin efecto en caja; se reforzaron controles [4,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publicado dominado por los saldos de comerciantes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de 1.704,8 M (2024) a 1.030,4 M (2025) sin cambio en el negocio; usar el ajustado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presentación de la cuenta en 2024 (ingresos netos de interchange y margen de intereses dentro del ingreso neto)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NIIF no son comparables antes y después de 2024; el ingreso neto sí [7,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obligatoria del auditor en 2027 y cambio de director financiero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Hwa Tsao, directora financiera interina desde agosto de 2026 [1, 15].</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214,7 % · </w:t>
      </w:r>
      <w:r>
        <w:rPr>
          <w:b/>
          <w:bCs/>
        </w:rPr>
        <w:t xml:space="preserve">WACC</w:t>
      </w:r>
      <w:r>
        <w:t xml:space="preserve">: 11,7 %.</w:t>
      </w:r>
    </w:p>
    <w:p>
      <w:pPr>
        <w:spacing w:after="100"/>
      </w:pPr>
      <w:r>
        <w:t xml:space="preserve">Adyen crea valor con holgura desde que cotiza: el ROIC, calculado con la caja propia fuera del capital invertido, pasó del 93,4 % en 2019 al 158,0 % en 2025, frente a un WACC del 11,6 %. El capital operativo es mínimo (536 M en 2025: inmovilizado, derechos de uso y un circulante comercial casi nulo), de modo que el ROIC lo mueve el margen y no la rotación: el NOPAT subió de 487 M en 2023 a 846 M en 2025 con un capital invertido estable en torno a 530 M. El ROIC incremental de 2019-2025 supera el 200 %. El ROE es menor (22,3 % en 2025) porque el patrimonio incluye 4.987 M de caja propia que rinde intereses de mercado. Frente a los competidores, ninguno se acerca: los procesadores que han crecido comprando (Fiserv, Global Payments, Nexi, Worldline) tienen ROIC de un dígito o negativos por el fondo de comercio [77, 79, 81, 83]. Lo que vigilar es si las compras de 2026 (unos 1.040 M, casi el doble del capital operativo) diluyen ese ROIC [11].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-4.499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bruta de 12.392,8 M a 30-jun-2026, de la que 8.097,4 M son saldos de comerciantes y entidades financieras; caja propia (criterio de Adyen: excluidos los pasivos y cobros a corto plazo con comerciantes) de 4.898,3 M, que la empresa redondea a 4.900 M y sitúa en unos 4.600 M neta de las compras de Talon.One y Orb [11]. Sin deuda financiera ni líneas de crédito relevantes; la caja se deposita sobre todo en bancos centrales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(emisor) [1, 11]. Perspectiva no consultada.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rPr>
          <w:b/>
        </w:rPr>
        <w:t xml:space="preserve">Fondos de comerciantes (regla del puente).</w:t>
      </w:r>
      <w:r>
        <w:t xml:space="preserve"> La caja del balance incluye el dinero en tránsito de los comerciantes. A 31-dic-2025: caja 10.797,4 M; pasivos con comerciantes y entidades financieras 6.371,8 M (interchange y tasas de esquema por pagar y fondos de comerciantes en cuentas Adyen, incluida una reserva de 735,1 M para contracargos); cobros pendientes de comerciantes y entidades financieras 561,7 M [1]. Caja propia = 10.797,4 − 6.371,8 + 561,7 = 4.987,3 M: es la caja que usa el informe en el balance histórico, y las cuentas a cobrar y a pagar recogen solo las partidas comerciales. A 30-jun-2026: caja bruta 12.392,8 M, pasivos con comerciantes 8.097,4 M, cobros 602,8 M y caja propia 4.898,3 M, la misma cifra que publica Adyen («4.900 M excluidos los saldos de comerciantes») [11]. Esos saldos no son deuda ni caja libre, pero generan intereses: el informe los valora aparte (1.100 M, estimación propia, ver valoración). </w:t>
      </w:r>
      <w:r>
        <w:rPr>
          <w:b/>
        </w:rPr>
        <w:t xml:space="preserve">Otros</w:t>
      </w:r>
      <w:r>
        <w:t xml:space="preserve">: requisitos de capital como entidad de crédito (CRR/CRD) que inmovilizan parte de la caja propia [1]; warrant concedido a eBay registrado como derivado pasivo (35,8 M en 2019, 81,7 M en 2021, sin saldo en 2024-2025) [2, 3, 4]. Sin pensiones de prestación definida, garantías ni deuda financiera. Las compras de Talon.One y Orb se pagaron en caja y en acciones (69,8 M EUR y 33,2 M USD en acciones) [11].</w:t>
      </w:r>
    </w:p>
    <w:p>
      <w:pPr>
        <w:pStyle w:val="Heading1"/>
      </w:pPr>
      <w:r>
        <w:t xml:space="preserve">12. Asignación de capital</w:t>
      </w:r>
    </w:p>
    <w:p>
      <w:pPr>
        <w:pStyle w:val="Confianza"/>
        <w:spacing w:after="100"/>
      </w:pPr>
      <w:r>
        <w:t xml:space="preserve">Confianza: Alta</w:t>
      </w:r>
    </w:p>
    <w:p>
      <w:pPr>
        <w:spacing w:after="100"/>
      </w:pPr>
      <w:r>
        <w:t xml:space="preserve">Adyen no paga dividendo: su política es reinvertir el beneficio en el crecimiento y no ha pagado ninguno en los años presentados [1]. No ha recomprado acciones (ninguna en 2025) [1]. Su prioridad declarada es invertir en el negocio (plantilla, centros de datos, producto), mantener un balance fuerte con mucha liquidez para su licencia bancaria y su rating A- de S&amp;P, y conservar flexibilidad para oportunidades orgánicas o compras [16]. En 2026 hizo sus dos primeras compras relevantes y dice que seguirá evaluando «el uso óptimo de la caja» [11]. La dilución es baja: las acciones diluidas pasaron de 30,5 M (2019) a 31,6 M (2025), un 0,6 % anual, por los planes de empleados; las compras de 2026 añaden acciones por unos 100 M [1, 4,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Talon.One GmbH (Alemania): motor de promociones y fidelización en tiempo real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(655 M pagados por anticipado en 1S26) y 69,8 M en acciones de Adyen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1-jul-2026; asignación del precio pendiente. Junto con Orb, +1 punto de crecimiento y −1 punto de margen EBITDA en 2026 [11].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Orb Inc. (EE. UU.): facturación por uso para empresas digitales y de 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33,2 M USD en acciones; precio de 335 M USD (conversión a EUR estimación propia a ~1,17 USD/EUR)</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1-jul-2026; asignación del precio pendiente [11].</w:t>
            </w:r>
          </w:p>
        </w:tc>
      </w:tr>
    </w:tbl>
    <w:p>
      <w:pPr>
        <w:spacing w:after="160" w:before="0"/>
      </w:pPr>
    </w:p>
    <w:p>
      <w:pPr>
        <w:spacing w:after="100"/>
      </w:pPr>
      <w:r>
        <w:t xml:space="preserve">Hasta 2025 la asignación de capital fue la más simple posible: todo el flujo se quedó en la empresa, el capex absorbió un 4-8 % del ingreso neto y la caja propia se multiplicó por 6,8 en seis años (de 729,5 M a 4.987,3 M), sin dividendos, recompras ni compras [1, 4]. El flujo libre acumulado de 2019-2025 fue de 4.338 M, con una conversión del 103 % del beneficio, y el ROIC incremental supera el 200 %: el crecimiento se financió solo. La pregunta para el comité es qué hace ahora con casi 5.000 M de caja propia: la dirección eligió en 2026 comprar (Talon.One y Orb, unos 1.040 M en total, sin múltiplo publicado y con un punto de dilución del margen) antes que repartir, y sigue sin dar una política de retribución al accionista [11, 15]. Parte de esa caja no es libre: la exigen los requisitos de capital y liquidez de la licencia bancaria [1]. Pagar unos 1.040 M por dos empresas de software con ingresos pequeños es la primera prueba de disciplina de esta dirección como compradora.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Pieter van der Does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co-CEO (Management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director comercial de Bibit antes de cofundar Adyen en 2006; consejero del Management Board desde 2007 y reelegido en la junta de 2026 hasta 2030 con el 99,95 % a favor [38, 39]. Tiene 922.539 acciones (sin cambios en 2025), un 2,92 % del capital (estimación propia sobre 31,55 millones de acciones en circulación); su última notificación en la AFM, de 2023, era del 2,98 %, frente al 4,81 % de 2018 [38, 39, 40]. Desde 2023 comparte el cargo de primer ejecutivo para poder atender su salud si hace falta [59].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Ingo Uytdehaage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Co-CEO (Management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el Management Board en 2011 como director financiero y es co-CEO desde 2023; su mandato actual vence en mayo de 2027 [38, 59]. Dirige personalmente la integración de Talon.One y Orb, cerradas el 1 de julio de 2026 [44]. Tiene 195.182 acciones (0,62 %, estimación propia)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Hwa Tsao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interino (no es consejero estatutario)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sénior de Group Finance, con más de 20 años en finanzas en ServiceNow, HP y Citigroup; asumió la dirección financiera interina el 1 de septiembre de 2026 tras la salida de Ethan Tandowsky (CFO desde 2023, en Adyen desde 2016), anunciada el 27 de mayo de 2026 [43, 44]. El Supervisory Board busca un sucesor definitivo con un cazatalentos externo [44].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Roelant Prins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 (CCO, Management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CCO desde 2009 y consejero del Management Board desde 2007; reelegido en 2026 hasta 2030 con el 99,94 % a favor [38, 39]. Tiene 287.309 acciones (0,91 %, estimación propia)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Mariëtte Swart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riesgos y cumplimiento (CRCO, Management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la secretaria general que montó el equipo jurídico de Adyen, tras pasar por un bufete internacional; consejera del Management Board desde 2020, con mandato hasta mayo de 2027 [38]. Seguirá en el Management Board reducido a cuatro miembros desde principios de 2027 [39]. Tiene 2.305 acciones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 Adams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tecnología (CTO, Management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Dirigía la ingeniería de Cash App (Block); se incorporó en octubre de 2024 [38]. Cobró 3,25 millones de euros en 2025, con 1,08 millones de euros de bonificación de fichaje en acciones restringidas [38]. Saldrá del Management Board estatutario a principios de 2027, aunque seguirá en el nuevo Executive Board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Piero Overmars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Supervisory Board (saliente)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desde enero de 2017 y presidente; no se presenta a la reelección y dejará el consejo hacia finales de 2026 [38, 45]. Le sucederá Herna Verhagen (exconsejera delegada de PostNL), nombrada en la junta de 2026 con el 95,62 % a favor [39, 45]. Tiene 1.094 acciones [38].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medio plazo, tasa de crecimiento anual compuesta de los ingresos netos entre el «mid-twenties» y el «low-thirties»; margen EBITDA por encima del 65 % a largo plazo; capex de hasta el 5 % de los ingresos netos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de 1.000 millones de euros, un 46 % más; margen EBITDA del 63 %; capex del 5 % [60].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sin cambios: crecimiento entre el «mid-twenties» y el «low-thirties», margen por encima del 65 % a largo plazo, capex de hasta el 5 %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de 1.300 millones de euros, un 33 % más; margen EBITDA del 55 % (desde el 63 %) por la contratación acelerada; capex del 7 % [54].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mismos objetivos hasta el día del inversor de noviembre de 2023, en el que se fijaron plazos: crecimiento anual entre el «low-twenties» y el «high-twenties» hasta 2026 incluido, margen EBITDA por encima del 50 % en 2026 y capex de hasta el 5 % [56, 58].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de 1.626 millones de euros, un 22 % más (por debajo del «mid-twenties»); margen EBITDA del 46 %; capex del 4 % [55].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anual entre el «low-twenties» y el «high-twenties» hasta 2026; margen EBITDA por encima del 50 % en 2026; capex de hasta el 5 % [56].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de 1.996 millones de euros, un 23 % más; margen EBITDA del 50 %; capex del 5 % [57].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principio, la misma horquilla de crecimiento hasta 2026; en octubre de 2025 se acota a entre el «low-twenties» y el «mid-twenties» hasta 2026, con un 2025 «en línea con el primer semestre»; margen por encima del 50 % en 2026 [50].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de 2.364 millones de euros, un 18 % más (un 21 % a tipo de cambio constante); margen EBITDA del 53 %; capex del 5 % [48].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noviembre de 2025, crecimiento entre el «low-twenties» y el «mid-twenties» y margen por encima del 55 % en 2028 [51]. En febrero de 2026 se concreta en un 20-22 % a tipo de cambio constante con un margen similar al de 2025, y se confirma en mayo [48, 49]. En agosto pasa al 21-23 % con las adquisiciones, con un margen un punto inferior al de 2025 y un capex de en torno al 7 % (frente al «hasta el 5 %»)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Primer semestre: ingresos netos de 1.302,9 millones de euros, un 19 % más (un 21 % a tipo de cambio constante); margen EBITDA del 49 % (del 50 % sin costes de las adquisiciones); capex del 5 % [47]. Por ahora se cumple el margen superior al 50 % en 2026 del día del inversor de 2023; el capex se saldrá del objetivo.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acierta en el margen y falla en el crecimiento. Desde 2022 ha rebajado la horquilla de ingresos tres veces: del «mid-twenties a low-thirties» al «low a high-twenties» (noviembre de 2023), al «low a mid-twenties» (octubre de 2025) y a un 20-22 % para 2026 [47, 48, 50, 56]. El margen, en cambio, ha cumplido el suelo del 50 % un año antes de lo previsto [48]. En la cúpula hay estabilidad en lo esencial: los dos co-CEO y el CCO están en el Management Board desde 2007-2011 y los fundadores siguen siendo los principales accionistas internos [38]. Pero el director financiero se va con solo tres años en el cargo, en una salida que el presidente dijo que le había «sorprendido» por el momento elegido; hay un CFO interino que no es consejero; el presidente se jubila a finales de 2026, y desde 2027 llega un Executive Board de ocho personas [39, 43, 44, 45]. El plan de sucesión del primer ejecutivo descansa en el modelo de co-CEO [59].</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Piero Overmars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Supervisory Board (dejará el consejo hacia finales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Nombramientos y Retribuciones (en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Caoimhe Keogan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Adine Grate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(presidenta desde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Pamela Joseph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 van Wyk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Herna Verhagen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 Supervisory Board; presidenta designada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 Vogelzang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 Supervisory Board (nombrado en la junta extraordinaria del 7-10-2026 con el 99,79 % a favor [39])</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Pieter van der Does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co-CEO (Management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Management Board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Ingo Uytdehaage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Co-CEO (Management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Management Board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Roelant Prins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CCO (Management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Management Board (hasta principios de 2027)</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Mariëtte Swart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CRCO (Management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Management Board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Brooke Nayden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CHRO (Management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Management Board (hasta principios de 2027)</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Tom Adams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CTO (Management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Board (hasta principios de 2027)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54 %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leída: el informe del auditor no viene en el paquete iXBRL consultado; el informe anual no menciona salvedades.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operaciones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Temasek Holdings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 (Singapur); 4,96 % en acciones y 1,43 % en derivados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desde el 4,97 % (20-10-2025) al 6,39 % (16-06-2026)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5,54 % de los derechos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Notificación del 25-06-2026, en torno al umbral del 5 % de voto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4,71 % de los derechos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5,04 % (16-06-2026) al 4,93 % (26-06-2026)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and Management Company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derechos de voto (el capital figura en 0 %)</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3,11 % (19-02-2026) al 5,04 % (10-03-2026)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Pieter van der Does (cofundador y co-CEO)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participación indirecta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922.539 acciones, sin cambios en 2025; 4,81 % en 2018 y 2,98 % en 2023 según la AFM [38,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Roelant Prins (CCO)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287.309 acciones, sin cambios en 2025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Ingo Uytdehaage (co-CEO)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195.182 acciones, sin cambios en 2025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WCM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4,47 % (2024) a menos del 3 % (27-04-2026)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Goldman Sachs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sobre todo derivados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Supera el 3 % y vuelve a bajar en junio de 2026 (3,04 % y 2,11 %) [40]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es </w:t>
      </w:r>
      <w:r>
        <w:rPr>
          <w:b/>
        </w:rPr>
        <w:t xml:space="preserve">solo fija</w:t>
      </w:r>
      <w:r>
        <w:t xml:space="preserve">. Cada co-CEO cobró 869.608 euros en 2025: 833.458 euros de sueldo base y 36.150 euros de pensión y beneficios, sin variable ni acciones [38]. Es 8 veces la remuneración media de la plantilla (7 veces en 2024), una de las proporciones más bajas del AEX según la propia empresa [38]. El CFO, la CHRO y la CRCO reciben además acciones por el 100 % de su sueldo base (antes, el 50 %), con cinco años de permanencia obligatoria; el CTO cobró 3,25 millones de euros con su bonificación de fichaje [38]. La política, aprobada en 2023 para cuatro años, permite un variable en acciones que no se ha concedido nunca; no se ha aplicado ninguna cláusula de recuperación porque no hay variable que recuperar; la indemnización tiene un tope de un año de fijo [38]. La política no premia el crecimiento a cualquier precio, pero tampoco liga el pago a la rentabilidad ni al TSR. El voto en contra del informe de remuneraciones fue del 4,7 % en 2024, del 5,6 % en 2025 y del 4,1 % en 2026 [39].</w:t>
      </w:r>
    </w:p>
    <w:p>
      <w:pPr>
        <w:pStyle w:val="Heading2"/>
      </w:pPr>
      <w:r>
        <w:t xml:space="preserve">Operaciones vinculadas, estructura de control y defensas</w:t>
      </w:r>
    </w:p>
    <w:p>
      <w:pPr>
        <w:spacing w:after="100"/>
      </w:pPr>
      <w:r>
        <w:t xml:space="preserve">No hay accionista de control: el mayor es Temasek, con el 6,39 %, y los tres directivos con más acciones (Van der Does, Prins y Uytdehaage) suman un 4,4 % (estimación propia) [38, 40]. Cada acción da un voto y no hay acciones preferentes ni de prioridad, ni fundación de defensa: el informe anual no las menciona y el único «stichting» del registro de la AFM es la oficina de certificados de los empleados, que bajó del 13,42 % en 2018 al 2,57 % en 2019 [38, 40]. Sí hay un </w:t>
      </w:r>
      <w:r>
        <w:rPr>
          <w:b/>
        </w:rPr>
        <w:t xml:space="preserve">blindaje estatutario</w:t>
      </w:r>
      <w:r>
        <w:t xml:space="preserve">: para anular una propuesta vinculante de nombramiento o cesar a un consejero, los estatutos exigen una mayoría que represente la mitad del capital emitido, no el tercio que recomienda el código neerlandés (disposición 4.3.3). Es la única desviación del código que declara la empresa, y lo justifica por un antiguo pacto de accionistas [38]. La junta autorizó en 2026 emitir hasta un 10 % del capital y excluir el derecho de suscripción preferente durante 18 meses [39]. No hay posiciones cortas netas declaradas (≥ 0,5 %) en la AFM [42].</w:t>
      </w:r>
    </w:p>
    <w:p>
      <w:pPr>
        <w:pStyle w:val="Heading2"/>
      </w:pPr>
      <w:r>
        <w:t xml:space="preserve">Señales de alerta</w:t>
      </w:r>
    </w:p>
    <w:p>
      <w:pPr>
        <w:pStyle w:val="ListParagraph"/>
        <w:numPr>
          <w:ilvl w:val="0"/>
          <w:numId w:val="2"/>
        </w:numPr>
        <w:spacing w:after="60"/>
      </w:pPr>
      <w:r>
        <w:t xml:space="preserve">El director financiero, Ethan Tandowsky, se fue el 31 de agosto de 2026 con solo tres años en el cargo; el presidente dijo que le había «sorprendido» el momento elegido. El sustituto, Hwa Tsao, es interino y no es consejero estatutario [43, 44].</w:t>
      </w:r>
    </w:p>
    <w:p>
      <w:pPr>
        <w:pStyle w:val="ListParagraph"/>
        <w:numPr>
          <w:ilvl w:val="0"/>
          <w:numId w:val="2"/>
        </w:numPr>
        <w:spacing w:after="60"/>
      </w:pPr>
      <w:r>
        <w:t xml:space="preserve">Hay relevo en la presidencia: Piero Overmars deja el Supervisory Board hacia finales de 2026 y le sucederá Herna Verhagen. En la junta de 2026, su nombramiento tuvo un 4,4 % en contra, el más alto de esa junta [39, 45].</w:t>
      </w:r>
    </w:p>
    <w:p>
      <w:pPr>
        <w:pStyle w:val="ListParagraph"/>
        <w:numPr>
          <w:ilvl w:val="0"/>
          <w:numId w:val="2"/>
        </w:numPr>
        <w:spacing w:after="60"/>
      </w:pPr>
      <w:r>
        <w:t xml:space="preserve">Cambia el modelo de gestión desde principios de 2027: el Management Board estatutario se reduce a cuatro personas (los dos co-CEO, el CFO y la CRCO) y se crea un Executive Board de ocho; el CCO, la CHRO y el CTO dejan de ser consejeros estatutarios. La junta extraordinaria de 2026 solo lo debatió, sin votarlo [39].</w:t>
      </w:r>
    </w:p>
    <w:p>
      <w:pPr>
        <w:pStyle w:val="ListParagraph"/>
        <w:numPr>
          <w:ilvl w:val="0"/>
          <w:numId w:val="2"/>
        </w:numPr>
        <w:spacing w:after="60"/>
      </w:pPr>
      <w:r>
        <w:t xml:space="preserve">El auditor rota de PwC a EY para el ejercicio 2027, por obligación legal [39, 46].</w:t>
      </w:r>
    </w:p>
    <w:p>
      <w:pPr>
        <w:pStyle w:val="ListParagraph"/>
        <w:numPr>
          <w:ilvl w:val="0"/>
          <w:numId w:val="2"/>
        </w:numPr>
        <w:spacing w:after="60"/>
      </w:pPr>
      <w:r>
        <w:t xml:space="preserve">El registro MAR 19 de la AFM solo muestra una operación de directivos de Adyen, de 2019 (Dia Holding B.V.), aunque los directivos sin acciones de fundador recibieron acciones como parte de su sueldo en 2025 [38, 41]. Las ventas de los fundadores de 2019 y 2020 se hicieron por colocación acelerada, anunciada en notas de prensa [61].</w:t>
      </w:r>
    </w:p>
    <w:p>
      <w:pPr>
        <w:pStyle w:val="ListParagraph"/>
        <w:numPr>
          <w:ilvl w:val="0"/>
          <w:numId w:val="2"/>
        </w:numPr>
        <w:spacing w:after="60"/>
      </w:pPr>
      <w:r>
        <w:t xml:space="preserve">En 2025 hubo un ataque DDoS que hubo que comunicar al regulador y que causó una interrupción temporal; el informe anual no recoge ninguna sanción del DNB [38].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En los resultados del primer semestre (13-ago-2026) Adyen espera para 2026 un crecimiento de los ingresos netos del 21-23 % a tipo de cambio constante, incluida la aportación de Talon.One y Orb, consolidadas desde el 1-jul-2026, que suman en torno a un punto de crecimiento [11, 47]. El margen EBITDA subyacente de 2026 quedaría en línea con el de 2025 (53 %) y, con las dos compras, un punto por debajo; mantiene el objetivo de margen EBITDA superior al 55 % en 2028 [6, 47]. Sube el capex de 2026 a cerca del 7 % de los ingresos netos al adelantar a la segunda mitad inversión en centros de datos prevista para 2027, y espera que vuelva a niveles históricos después [47]. En el semestre los ingresos netos crecieron un 19 % (21 % a tipo constante) y el margen EBITDA fue del 49 % (50 % sin costes de las compras) [6, 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35 analistas, 12-oct-2026 [67]; contraste Stock Analysis (S&amp;P Global): ingresos 2.900 M, BPA 38,48 (27 analistas) [68]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[67]; contraste Stock Analysis: ingresos 3.490 M, BPA 46,72 [68]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[67]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 7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1.378,31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887,00 – 1.900,00</w:t>
            </w:r>
          </w:p>
        </w:tc>
      </w:tr>
    </w:tbl>
    <w:p>
      <w:pPr>
        <w:spacing w:after="160" w:before="0"/>
      </w:pPr>
    </w:p>
    <w:p>
      <w:pPr>
        <w:pStyle w:val="Heading2"/>
      </w:pPr>
      <w:r>
        <w:t xml:space="preserve">Revisiones de estimaciones</w:t>
      </w:r>
    </w:p>
    <w:p>
      <w:pPr>
        <w:spacing w:after="100"/>
      </w:pPr>
      <w:r>
        <w:t xml:space="preserve">No hemos podido leer la evolución de las estimaciones a 3 y 12 meses: MarketScreener solo la muestra en gráficos y Stock Analysis la reserva a su versión de pago [67, 68]. Lo que sí se ve es que el consenso de 2026 (ingresos de 2.869 M, +21 %; margen EBITDA del 52,0 %) cuadra con la guía de agosto: crecimiento del 21-23 % a tipo constante y margen un punto por debajo del 53 % de 2025 [47, 67]. El BPA de 2026 (38,51 EUR) crece solo un 15 % sobre los 33,61 de 2025 porque el margen baja y los intereses de la caja caen con los tipos [11, 67]. De los 35 analistas, 21 recomiendan comprar con fuerza, 7 comprar y 7 mantener; ninguno vender [68]. El precio objetivo mínimo (887 EUR) queda casi en el precio actual [67].</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bl>
    <w:p>
      <w:pPr>
        <w:spacing w:after="160" w:before="0"/>
      </w:pPr>
    </w:p>
    <w:p>
      <w:pPr>
        <w:spacing w:after="100"/>
      </w:pPr>
      <w:r>
        <w:t xml:space="preserve">Adyen pierde un 39,6 % en un año, frente a la subida del 15,0 % del Stoxx Europe 600 y del 28,0 % de la tecnología europea [62]. Marcó el máximo de 52 semanas (1.600,8 EUR) el 29-oct-2025 y el mínimo (772,4 EUR) el 5-jun-2026 [62]. La peor sesión fue la del 12-feb-2026, con una caída del 21,9 %, el día de los resultados de 2025; en el primer trimestre de 2026 el crecimiento de los ingresos netos bajó al 16 % (20 % a tipo constante), desde el 20-22 % de los trimestres anteriores [6, 62]. El segundo trimestre volvió al 22 % [6]. La acción es muy volátil (47,8 % anualizada) y amplifica al mercado: beta mensual de 2,33 frente al Stoxx 600 (1,74 semanal a dos años), y cayó un 77 % entre nov-2021 y sep-2023 [62]. En el registro de la AFM no figura ninguna posición corta neta sobre Adyen igual o superior al 0,5 % del capital, el umbral de publicación [42].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Los precios de cierre de cada ejercicio salen de los históricos de Yahoo [62]; el informe calcula con ellos el EV/EBITDA y el PER de cada año con el mismo puente que hoy. El precio actual (886,1 EUR) está un 36 % por debajo del cierre de 2025 (1.375 EUR) y un 62 % por debajo del de 2021 (2.311,5 EUR), mientras el EBITDA ha pasado de 992 M en 2024 a 1.246 M en 2025 y 642 M solo en el primer semestre de 2026 [6, 62]. La compresión es de múltiplo, no de beneficio: el mercado ha pasado de pagar a Adyen como una empresa de crecimiento de software a hacerlo como una procesadora de pagos que crece al 20 %, con tipos de interés más altos que en 2020-2021 (el Bund a 10 años está en el 3,53 %) [63]. 2020 y 2021 son años de múltiplos de burbuja: compárese con la mediana.</w:t>
      </w:r>
    </w:p>
    <w:p>
      <w:pPr>
        <w:pStyle w:val="Heading1"/>
      </w:pPr>
      <w:r>
        <w:t xml:space="preserve">18. Comparables cotizados</w:t>
      </w:r>
    </w:p>
    <w:p>
      <w:pPr>
        <w:pStyle w:val="Confianza"/>
        <w:spacing w:after="100"/>
      </w:pPr>
      <w:r>
        <w:t xml:space="preserve">Confianza: Media</w:t>
      </w:r>
    </w:p>
    <w:p>
      <w:pPr>
        <w:spacing w:after="100"/>
      </w:pPr>
      <w:r>
        <w:t xml:space="preserve">Ocho procesadoras y redes de pagos cotizadas: las dos redes de tarjetas (Visa, Mastercard), que tienen el margen y la escala con los que Adyen se compara a largo plazo; los adquirentes y procesadores de EE. UU. (Fiserv, Global Payments) y de Europa (Nexi, Worldline), que compiten con Adyen por los comercios; y las plataformas de pagos digitales (PayPal y Block). No incluimos Shift4 ni Toast por falta de tiempo para tomar sus cifras con el mismo criterio, ni a Stripe, que no cotiza. Ninguna es un comparable puro: Adyen crece más que todas y su modelo de plataforma única solo se parece al de las redes en margen.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Adyen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632.798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Mastercard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461.578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PayPal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Fiserv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Payments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Worldline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 / 7,0x / 11,4x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808,52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 / 7,2x / 17,3x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18,8x / 25,1x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1.130,28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 / 2,5x / 8,9x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887,87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4,4 + 0,98 × crecimiento; R² = 0,78. Para el crecimiento esperado de la empresa (22,8 %), el múltiplo ajustado es 26,9x y el valor por acción, 1.679,51.</w:t>
      </w:r>
    </w:p>
    <w:p>
      <w:pPr>
        <w:spacing w:after="100"/>
      </w:pPr>
      <w:r>
        <w:t xml:space="preserve">Adyen cotiza a 16,9x el EBITDA de los últimos doce meses y 12,8x el de los próximos doce, con un PER NTM de 19,7x, frente a una mediana de 7,2x, 7,0x y 18,8x de los ocho comparables [67, 69, 70, 71, 72, 73, 74, 75, 76, 77, 78, 79, 80, 81, 82, 83, 84]. La mediana no sirve de ancla: la fijan procesadores que crecen un 0-5 % y han destruido valor comprando (Fiserv, Nexi, Worldline, con deterioros de 3.700 y 4.700 M en las dos europeas) [28, 29], y el EBITDA de proveedor de las de EE. UU. excluye los pagos en acciones, mientras el de Adyen los incluye [75, 77]. El mapa útil es crecimiento y rentabilidad: Visa y Mastercard, con un crecimiento del 12-13 % y márgenes del 60-70 %, cotizan a 20x el EBITDA NTM; Adyen crece casi el doble (21 % previsto en 2026) con un 52 % de margen y cotiza a 12,8x. Con la mediana, el valor implícito sale muy por debajo del precio; por eso los comparables pesan solo un 10 % en la síntesis y el DCF manda. La prima frente a los procesadores y el descuento frente a las redes se justifican: Adyen gana cuota sin capital, pero no tiene el peaje de red de Visa y Mastercard.</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First Data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Fiserv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Valor de las acciones de 22.000 M USD; prima del 29 % sobre la media ponderada de cinco sesiones y en torno al 15 % sobre el valor empresa; la nota no da el valor empresa ni el múltiplo [85]. Ingresos de First Data en 2018: 9.498 M USD [86].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Worldpay (Vantiv)</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37.889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43.000 M USD, deuda incluida (37.889 M EUR al tipo del BCE del 18-mar-2019, 1,1349); acciones valoradas en 35.500 M USD, con una prima del 14 % sobre el cierre del 15-mar y del 20 % sobre la media de 30 sesiones [87, 88]. La nota no publica el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 Payments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valor de las acciones de TSYS de unos 21.500 M USD, con una prima del 20 % sobre el precio no afectado del 23-may-2019; la nota no da el valor empresa ni el múltiplo [89].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sobre múltiplos EV/EBITDA 2020e equivalentes: valor empresa de 7.800 M EUR y valor de las acciones de 6.000 M EUR, con un EV/EBITDA 2020e implícito de ~20x según la nota de Nexi [90]. Nets no cotizaba: no hay prima.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Worldpay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 Payments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neto de 22.700 M USD (24.250 M con 1.550 M de activos fiscales); 19.982 M EUR al tipo del BCE del 17-abr-2025 (1,136). Global Payments lo cifra en ~8,5x el EBITDA ajustado de 2025e **incluidas sinergias**, y compra a GTCR y FIS [91, 92]. Sin sinergias el múltiplo sería mayor.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Issuer Solutions (de Global Payments)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11.884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13.500 M USD (11.884 M EUR al tipo del BCE del 17-abr-2025), ~12,3x el EBITDA ajustado de 2025e [91, 92]. Es procesamiento para emisores de tarjetas, no adquirencia: menos comparable con Adyen.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 (10,4x – 16,2x)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691,75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610,84 – 855,72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del sector desde 2019 se hicieron a 8-20x EBITDA y ninguna sobre una empresa que crezca al 20 %: las tres grandes fusiones de 2019 en EE. UU. pagaron primas del 14-29 % sobre la cotización y casi enteramente en acciones [85, 86, 87, 88, 89]. Nets (20x el EBITDA de 2020e) se pagó en el pico de valoraciones; Worldpay, cinco años después, a 8,5x con sinergias [90, 92]. Adyen no tiene accionista de control (flotante del 89,5 %) [66], pero con unos 28.000 M de capitalización solo podrían comprarla las redes o un gran grupo tecnológico, y la licencia bancaria y los fondos de comerciantes complican la operación. No ponderamos las transacciones: son un suelo, no una referencia de valor, y no hay indicio de operación.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(fijo): +21,0 %, la parte baja de la guía del 21-23 % a divisa constante con un punto de las compras, porque la divisa restó dos puntos en el 1S26 (19 % publicado frente a 21 % constante) [11, 47]. 2027e-2028e: +20 % y +19 %, por debajo del consenso (+21,5 % y +20,2 %) [67]: la dirección ha rebajado su horquilla tres veces desde 2022 [48, 51, 58]. Después, bajada lineal hasta +5 % en 2035e. El crecimiento medio de 2027e-2035e es del 12,9 %, frente a un 18,4 % en 2025 y un 22-23 % en 2023-2024 [5].</w:t>
      </w:r>
    </w:p>
    <w:p>
      <w:pPr>
        <w:keepNext/>
        <w:spacing w:after="100"/>
      </w:pPr>
      <w:r>
        <w:rPr>
          <w:b/>
          <w:bCs/>
        </w:rPr>
        <w:t xml:space="preserve">Márgenes.</w:t>
      </w:r>
    </w:p>
    <w:p>
      <w:pPr>
        <w:spacing w:after="100"/>
      </w:pPr>
      <w:r>
        <w:t xml:space="preserve">Margen EBITDA del 51,8 % en 2026e (un punto por debajo del 52,7 % de 2025, como dice la guía por la dilución de Talon.One y Orb) [11], 53,3 % en 2027e y 55,0 % en 2028e, en línea con el objetivo de «más del 55 % en 2028» [16] y con el consenso (55,4 %) [67]. Después sube hasta el 56,0 % y se queda: el máximo histórico fue el 62,9 % de 2021, con una plantilla mucho menor [3]. Visa y Mastercard trabajan con un 60-70 % [17, 23].</w:t>
      </w:r>
    </w:p>
    <w:p>
      <w:pPr>
        <w:keepNext/>
        <w:spacing w:after="100"/>
      </w:pPr>
      <w:r>
        <w:rPr>
          <w:b/>
          <w:bCs/>
        </w:rPr>
        <w:t xml:space="preserve">Inversión y circulante.</w:t>
      </w:r>
    </w:p>
    <w:p>
      <w:pPr>
        <w:spacing w:after="100"/>
      </w:pPr>
      <w:r>
        <w:t xml:space="preserve">Capex del 9,5 % de las ventas en 2026e: el 7 % de la guía más las altas de derechos de uso (oficinas y centros de datos, +150 M en el semestre), porque los arrendamientos van en la deuda [11, 15]. Baja al 7,5 % en 2027e y al 6,5-7,0 % después, por encima de la amortización (6,0-6,4 %). Circulante del 0,5 % de las ventas, como el histórico (0,4 % en 2025, −1,1 % en 2024). Tipo impositivo del 24,5 %, entre el efectivo de 2025 (23,8 %) y el nominal neerlandés (25,8 %) [1].</w:t>
      </w:r>
    </w:p>
    <w:p>
      <w:pPr>
        <w:keepNext/>
        <w:spacing w:after="100"/>
      </w:pPr>
      <w:r>
        <w:rPr>
          <w:b/>
          <w:bCs/>
        </w:rPr>
        <w:t xml:space="preserve">Coste del capital.</w:t>
      </w:r>
    </w:p>
    <w:p>
      <w:pPr>
        <w:spacing w:after="100"/>
      </w:pPr>
      <w:r>
        <w:t xml:space="preserve">Tasa libre: Bund a 10 años del 3,53 % (Bundesbank, 12-oct-2026) [63]. Beta de 1,50: la semanal a dos años frente al Stoxx 600 (1,74) ajustada hacia 1; la mensual a cinco años (2,33 bruta, 1,89 ajustada) recoge la burbuja de 2020-2021 y la caída de 2022-2023 [62]. Prima de mercado del 5,5 %, sin prima adicional: Adyen vende en mercados desarrollados (EMEA y Norteamérica, el 84 % del ingreso neto) [6]. Sin deuda financiera; los arrendamientos pesan un 1,5 % a un 4 %. WACC del 11,65 %. Con la prima implícita del mercado (4,20 %) [64], el WACC baja al 9,73 %.</w:t>
      </w:r>
    </w:p>
    <w:p>
      <w:pPr>
        <w:keepNext/>
        <w:spacing w:after="100"/>
      </w:pPr>
      <w:r>
        <w:rPr>
          <w:b/>
          <w:bCs/>
        </w:rPr>
        <w:t xml:space="preserve">Valor terminal.</w:t>
      </w:r>
    </w:p>
    <w:p>
      <w:pPr>
        <w:spacing w:after="100"/>
      </w:pPr>
      <w:r>
        <w:t xml:space="preserve">Gordon con un crecimiento del 2,5 %: crecimiento real del 0,5-1 % más una inflación del euro en torno al 2 %, por debajo del Bund menos medio punto (3,03 %). El último año explícito crece un 5 %. El múltiplo de salida implícito es de 7,5x el EBITDA, por debajo de los 12,8x actuales y en el rango de los procesadores maduros (Fiserv 6,2x, Nexi 4,7x) [67]: es un terminal prudente para una empresa que en 2035e seguiría creciendo por encima del mercado.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875,43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896,59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1.022,75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1.077,70</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 (hoy: 5,6 %)</w:t>
            </w:r>
          </w:p>
        </w:tc>
      </w:tr>
    </w:tbl>
    <w:p>
      <w:pPr>
        <w:spacing w:after="160" w:before="0"/>
      </w:pPr>
    </w:p>
    <w:p>
      <w:pPr>
        <w:spacing w:after="100"/>
      </w:pPr>
      <w:r>
        <w:t xml:space="preserve">La proyección apenas necesita inversión neta de la amortización (reinversión acumulada de 321 M, el 1 % del NOPAT, con un capex bruto medio del 7,1 % de las ventas). En un negocio de activos ligeros, el crecimiento medio del 13,7 % tiene que salir de subir precios y de ganar volumen sin capital nuevo, y la prueba es el poder de precios y la cuota (9,6 % del mercado en 2030e, frente al 5,6 %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+24 % en el 1S26 (803,8 mil millones) y la tasa media bajando de 17,0 pb en 2025 a 16,2 pb en el semestre por la mezcla (más volumen de grandes plataformas y de tienda) [6, 11]. Otros: un punto de Talon.One y Orb desde el 1-jul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se modera con la base; la tasa media sigue a la baja por la mezcla hacia grandes cuentas y pagos en tienda, como en 2023-2024 (de 17,6 a 15,5 pb) [5, 7]. Medio punto de las compras (medio año más).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al 21 %, todavía por debajo del ritmo de 2023-2025 (+23-24 %) [5]; el precio por transacción baja dos puntos, como el que Adyen ha cedido de media en los últimos cinco años por mezcla [5, 9].</w:t>
            </w:r>
          </w:p>
        </w:tc>
      </w:tr>
    </w:tbl>
    <w:p>
      <w:pPr>
        <w:spacing w:after="160" w:before="0"/>
      </w:pPr>
    </w:p>
    <w:p>
      <w:pPr>
        <w:spacing w:after="100"/>
      </w:pPr>
      <w:r>
        <w:t xml:space="preserve">En parte. La calidad del negocio sostiene el crecimiento en capital: con un ROIC del 158 % y un capex del 5-7 % de las ventas, crecer al 13,7 % medio no exige capital nuevo, y el ROIC incremental histórico supera el 200 %. La duda está en la cuota: el caso base pide que el volumen de Adyen pase del 5,6 % al entorno del 9-10 % del volumen de las redes en 2030, con la tasa media bajando cada año. Lo ha hecho antes (de ≈ 1,7 % en 2019 a 5,6 % en 2024) [10, 17, 22], la baja de clientes es inferior al 1 % [1] y el poder de precios es mixto: la tasa subió en 2025 (17,0 pb) pero vuelve a caer en 2026 (16,2 pb) [6]. Frente a Stripe, que ya procesa más volumen y crece más (1,9 billones USD) [30], y con la guía rebajada tres veces desde 2022 [48, 51, 58], no basta para un «Sí». Por eso el caso base queda por debajo del consenso desde 2027.</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 (base: 12,9 %)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52,6 % (base: 56,0 %)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12,3 % (WACC: 11,7 %)</w:t>
            </w:r>
          </w:p>
        </w:tc>
      </w:tr>
    </w:tbl>
    <w:p>
      <w:pPr>
        <w:spacing w:after="160" w:before="0"/>
      </w:pPr>
    </w:p>
    <w:p>
      <w:pPr>
        <w:spacing w:after="100"/>
      </w:pPr>
      <w:r>
        <w:t xml:space="preserve">El DCF da 939,87 EUR por acción, un 6,1 % por encima del precio, con un WACC del 11,65 % y un valor terminal que pesa el 52 % del valor de empresa. El DCF inverso es la clave: el precio de 886,10 EUR descuenta un crecimiento medio del 11,7 % en 2027e-2035e (frente al 12,9 % de nuestro caso base) o un margen del 52,6 % (frente al 56,0 %), y una rentabilidad implícita del 12,3 % anual. Es decir, el mercado ya no paga la historia de crecimiento: descuenta una desaceleración algo más rápida que la nuestra, que a su vez está por debajo del consenso. No es exigente frente a la historia (+18 % en 2025 y +19 % en el 1S26), pero tampoco deja mucho margen a un error de cuota. La diferencia con el mercado es pequeña con nuestra tasa (12,3 % implícita frente a 11,65 %) y grande con la del mercado (9,73 %): con la prima implícita del 4,20 %, el DCF sube a 1.167,46 EUR. La conclusión depende más de la tasa de descuento (beta de 1,50) que de las cifras.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659,05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Stripe y las grandes plataformas reparten volumen y fuerzan precios: el crecimiento cae a la mitad de la década (≈ 15 % en 2027e) y el margen se queda en torno al 50-53 %, como en 2023, cuando la contratación hundió el margen al 45,7 % [8]. Las compras de 2026 no aportan y el mercado aplica una prima de riesgo mayor.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939,87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Adyen cumple la guía de 2026 (21-23 % a divisa constante) y crece algo por debajo del consenso después (20 % y 19 % en 2027e-2028e), con el margen en el 55 % en 2028 y la tasa media bajando por la mezcla.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1.136,19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tienda y las plataformas (terminales de 368.000 a 453.000 en un año) [13, 14] y los nuevos productos (Talon.One, Orb, pagos para agentes de IA) sostienen un crecimiento del 22-24 % hasta 2028 y el margen supera el 57 %, en la línea de Visa y Mastercard.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886,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918,75 EUR (+3,7 %).</w:t>
      </w:r>
    </w:p>
    <w:p>
      <w:pPr>
        <w:spacing w:after="100"/>
      </w:pPr>
      <w:r>
        <w:t xml:space="preserve">Con nuestra tasa, el alcista vale 1.136,19 EUR (+28,2 %) y el bajista 659,05 EUR (−25,6 %): la asimetría es de 1,10x, casi simétrica, y el valor ponderado (918,75 EUR) queda un 3,7 % por encima del precio. El bajista no es cosmético: supone crecer al 7,9 % medio en diez años con un margen final del 53 %, algo peor de lo que ya sufrió la empresa en 2023, y aun así deja la acción a unas 20x el beneficio de 2025. Con la prima implícita del mercado el cuadro cambia: alcista 1.433,28 y bajista 777,74 EUR, con una asimetría de 5,05x. Compensa para quien acepte el coste de capital del mercado; con una beta de 1,50 sobre la prima histórica, no da la rentabilidad mínima para comprar.</w:t>
      </w:r>
    </w:p>
    <w:p>
      <w:pPr>
        <w:pStyle w:val="Heading1"/>
      </w:pPr>
      <w:r>
        <w:t xml:space="preserve">22. Suma de partes</w:t>
      </w:r>
    </w:p>
    <w:p>
      <w:pPr>
        <w:pStyle w:val="Confianza"/>
        <w:spacing w:after="100"/>
      </w:pPr>
      <w:r>
        <w:t xml:space="preserve">Confianza: Alta</w:t>
      </w:r>
    </w:p>
    <w:p>
      <w:pPr>
        <w:spacing w:after="100"/>
      </w:pPr>
      <w:r>
        <w:t xml:space="preserve">No aplica: Adyen es una sola plataforma tecnológica con una sola cuenta de resultados (NIIF 8 con un segmento) y los pilares (Digital, Platforms, Unified Commerce) comparten tecnología, licencias y costes [1]. Talon.One y Orb son demasiado pequeñas para valorarlas aparte.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886,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886,10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objetivo ponderado:</w:t>
      </w:r>
      <w:r>
        <w:t xml:space="preserve"> 908,88 EUR (+2,6 % sobre 886,10).</w:t>
      </w:r>
    </w:p>
    <w:p>
      <w:pPr>
        <w:spacing w:after="100"/>
      </w:pPr>
      <w:r>
        <w:rPr>
          <w:b/>
        </w:rPr>
        <w:t xml:space="preserve">Puente.</w:t>
      </w:r>
      <w:r>
        <w:t xml:space="preserve"> Caja propia de 4.908,6 M a 30-jun-2026: caja bruta de 12.392,8 M menos 8.097,4 M debidos a comerciantes y entidades financieras más 602,8 M de cobros pendientes, y 10,4 M de activos a coste amortizado [11]. Arrendamientos de 409,4 M; inversiones financieras de 16,7 M. Otros ajustes netos de −805,7 M: suman la compra de Orb, cerrada el 1-jul por 335 M USD (294,3 M EUR) [11], y restan el valor del flotante de comerciantes, 1.100 M (estimación propia: el 60 % de los ingresos financieros anualizados del 1S26, 143,2 M × 2 [11], corresponde a la caja de terceros; tras impuestos son unos 131 M al año, capitalizados al coste de los recursos propios del 11,8 % sin crecimiento). Sin ese ajuste el valor bajaría unos 35 EUR por acción: el DCF sobre el EBITDA no recoge los intereses de esa caja. </w:t>
      </w:r>
      <w:r>
        <w:rPr>
          <w:b/>
        </w:rPr>
        <w:t xml:space="preserve">Pesos.</w:t>
      </w:r>
      <w:r>
        <w:t xml:space="preserve"> DCF 55 % y escenarios 35 %, porque los comparables cotizados (10 %) no tienen el crecimiento de Adyen y las transacciones (0 %) son de procesadores maduros con prima de control. La dispersión es grande: los comparables dan 703,93 EUR y el DCF con la prima del mercado 1.167,46 EUR; el DCF propio y los escenarios quedan en 919-940 EUR, a un paso del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Business Update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Talon.One y Orb; confirmación o recorte de la guía del 21-23 % a divisa constante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(H2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anual de 2027 tras el Investor Day; un crecimiento por debajo del 20 % llevaría el caso base hacia 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del director financiero definitivo y nuevo Executive Board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incertidumbre de la salida de Ethan Tandowsky (31-ago-2026)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ejercicio con EY como auditor (rotación obligatoria)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externa nueva de criterios; sin efecto esperado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sobre el uso de la caja propia (≈ 4.600 M tras las 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recompra o un dividendo aumentaría el retorno al accionista; más compras sin múltiplo publicado restarían confianza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Agosto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1S27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Prueba del margen del 55 % en 2028 y del capex de vuelta al 5 %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frente a Stripe en Digital y Platforms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única, licencias bancarias y bajas de clientes inferiores al 1 %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volumen por debajo del 18 % durante dos semestres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la tasa media (take rate) más rápida que la proyectada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 por cada 1 pb permanente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Productos de mayor valor (tienda, financiación, Talon.One)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media por debajo de 15,5 pb en un semestre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por debajo del objetivo del 55 % en 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por cada 2 puntos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subyacente del 53 % en 2025 y control de la plantilla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2S26 inferior al 51 %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los tipos de interés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si los ingresos financieros se reducen a la mitad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solo capitaliza el flotante sin crecimiento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financieros semestrales inferiores a 100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que destruyen valor (Talon.One, Orb y siguientes)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por cada 1.000 M sin retorno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Importes pequeños frente a la caja propia (≈ 1.040 M de 4.900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del fondo de comercio o nuevas compras sin múltiplo publicado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Rotación en la cúpula (CFO interino, cambio de presidencia)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Indirecto, a través de la credibilidad de la guía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Co-CEO estables y fundador con el 2,9 % del capital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salidas del Management Board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Incidente técnico o ciberataque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por pérdida de clientes grandes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Infraestructura propia, centros de datos redundantes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interrupciones como el DDoS del 21-abr-2025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Regulación de pagos (PSD3/PSR, tasas de intercambio, licencias)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cobra por transacción y repercute las tasas de esquema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Normas que limiten las comisiones de adquirencia</w:t>
            </w:r>
          </w:p>
        </w:tc>
      </w:tr>
    </w:tbl>
    <w:p>
      <w:pPr>
        <w:spacing w:after="160" w:before="0"/>
      </w:pPr>
    </w:p>
    <w:p>
      <w:pPr>
        <w:pStyle w:val="Heading2"/>
      </w:pPr>
      <w:r>
        <w:t xml:space="preserve">Pre-mortem</w:t>
      </w:r>
    </w:p>
    <w:p>
      <w:pPr>
        <w:spacing w:after="100"/>
      </w:pPr>
      <w:r>
        <w:t xml:space="preserve">Es octubre de 2029 y la acción ha perdido un 40 %, hasta unos 530 EUR. La historia más probable empieza en febrero de 2027: Adyen da una guía de crecimiento del 16-18 % para 2027 y reconoce que dos grandes plataformas reparten volumen con Stripe. El mercado deja de pagar un múltiplo de crecimiento: la acción pasa de 13x a 9x el EBITDA de los próximos doce meses. A la vez, la tasa media baja de 16 a 14 puntos básicos por la mezcla hacia grandes cuentas y por la presión de precios en EE. UU., y el margen no llega al 55 % en 2028 porque la dirección no frena la contratación (lo mismo que en 2023, cuando el margen cayó al 45,7 %). Las compras de 2026 se suman a otras dos más grandes, pagadas con la caja propia, que no aportan crecimiento y acaban con un deterioro. La tercera pieza es la caída de los tipos del BCE, que recorta a la mitad los ingresos financieros y el beneficio por acción crece apenas un 5 % al año. Los indicadores que lo habrían anticipado: el crecimiento del volumen por debajo del 20 % en la actualización del 3T26, la tasa media por debajo de 16 pb en el 2S26 y el margen del 2S26 por debajo del 51 %.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Morningstar Sustainalytics (vía Saxo)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ESG 19,64 (bajo); E 4,77, S 9,85, G 5,02</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r>
    </w:tbl>
    <w:p>
      <w:pPr>
        <w:spacing w:after="160" w:before="0"/>
      </w:pPr>
    </w:p>
    <w:p>
      <w:pPr>
        <w:pStyle w:val="Heading2"/>
      </w:pPr>
      <w:r>
        <w:t xml:space="preserve">Asuntos materiales</w:t>
      </w:r>
    </w:p>
    <w:p>
      <w:pPr>
        <w:spacing w:after="100"/>
      </w:pPr>
      <w:r>
        <w:t xml:space="preserve">Los asuntos ESG que más pueden mover las cifras de Adyen no son ambientales; Sustainalytics le asigna un riesgo ESG bajo (19,64) [37]. Primero, la seguridad y la disponibilidad de la plataforma: una caída desvía transacciones a otros procesadores; en 2025 hubo un incidente DDoS notificable al regulador y ninguna pérdida de datos [1, 35]. Segundo, el cumplimiento de la normativa contra el blanqueo y de sanciones, que como banco forma parte de su licencia para operar [1]. Tercero, el personal: 756,2 M EUR de gastos de personal, el 60 % de los gastos operativos [1]. El impacto ambiental es pequeño: 83.818 t de CO₂ equivalente en 2025 con criterio de mercado (+17 % sobre 71.488 t en 2024), un 83 % de electricidad renovable y 2.926 t de alcance 2 [1]. Adyen destina el 1 % de los ingresos netos a causas ligadas a los Objetivos de Desarrollo Sostenible (23,6 M EUR en 2025) [1].</w:t>
      </w:r>
    </w:p>
    <w:p>
      <w:pPr>
        <w:pStyle w:val="Heading2"/>
      </w:pPr>
      <w:r>
        <w:t xml:space="preserve">Controversias</w:t>
      </w:r>
    </w:p>
    <w:p>
      <w:pPr>
        <w:spacing w:after="100"/>
      </w:pPr>
      <w:r>
        <w:t xml:space="preserve">El 21 de abril de 2025 un ataque DDoS en tres oleadas sobre sus centros de datos europeos degradó durante horas los pagos online y en tienda de parte de sus clientes en la UE, sin pérdida de datos; la compañía reforzó después sus defensas [1, 35]. No he encontrado sanciones de De Nederlandsche Bank ni de otros supervisores contra Adyen en los últimos tres años en las fuentes consultadas, y el informe anual no registra multas por corrupción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caída de la tasa media en el 1S26 (de 17,0 a 16,2 pb) es mezcla y cuánto rebaja de precios a grandes cuentas?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básico permanente mueve el valor un 10-15 %; es el supuesto más sensible del puente volumen ×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del volumen de los diez primeros clientes se comparte con Stripe u otros procesadores, y cómo ha cambiado en dos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riesgo del escenario bajista mejor que la tasa de bajas de clientes.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Flotante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financieros corresponde a los saldos de comerciantes y qué parte a la caja propia? ¿Se comparte el rendimiento con los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informe atribuye 1.100 M de valor (≈ 35 EUR por acción) al flotante con una estimación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propia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4.900 M de caja propia exigen los requisitos de capital y liquidez del banco, y qué política de retribución hay para el exceso?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una parte relevante no es libre, el puente sobrevalora la caja; si sobra, una recompra cambiaría la rentabilidad para el accionista.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crecimiento y margen tenían Talon.One y Orb, y qué retorno sobre los 1.040 M exige el consejo?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las primeras compras de la historia y no se publicó múltiplo.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contratación neta prevé para 2027 y cómo protege el objetivo de margen superior al 55 % en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crisis de margen de 2023 vino de la plantilla.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capex del 7 % de 2026 por los centros de datos es puntual o la demanda de cómputo lo mantendrá por encima del 5 %?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puntos más de capex permanente restan alrededor del 5 % del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se fue el director financiero con tres años en el cargo y cuándo habrá sustituto definitivo?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salida sorprendió al propio presidente y coincide con la tercera rebaja de la guía de medio plazo.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 independientes y sus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dos artículos publicados tras los resultados del 13 de agosto mantienen la recomendación de compra: uno sostiene que la caja acumulada justifica un valor por encima de la cotización y otro que el «compounder del 20 %» por fin está a un precio razonable, aunque avisa del riesgo de integrar las dos compras. Desde entonces el canal solo ha recogido noticias (nuevo director financiero procedente de Klarna, inicio de cobertura de Scotiabank), sin nuevos artículos de opinión [93, 94, 95].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Beursduivel / IEX.nl, foro «Adyen 2026» (antes de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Ambiente de desgaste tras meses de caídas: muchos acusan a bajistas, al vencimiento de opciones y a la subasta de cierre de «manipular» la cotización; otros discuten si las compras de Talon.One y Orb restarán margen. En vísperas de los resultados domina el miedo a que unas cifras solo «en línea» no basten para mover la acción [96].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Beursduivel / IEX.nl, foro «Adyen 2026» (día de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Euforia el 13 de agosto, con unas 25 páginas de mensajes en un día: se lee como el fin del miedo a una rebaja de objetivos y muchos particulares recogen beneficios tras la subida; circulan rumores, sin comprobar, de nuevos grandes clientes del sector de la IA a partir de ofertas de empleo [96].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Beursduivel / IEX.nl, foro «Adyen 2026» (finales de agosto y septiembre)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Frustración: la acción devuelve en pocas semanas toda la subida de los resultados y el foro lo atribuye a un producto estructurado de un banco sobre la acción, a los bajistas, a los tipos de interés y a un mercado que «pone un múltiplo nuevo» a Adyen por el menor crecimiento del beneficio. Varios piden recompras o dividendo; otros defienden que, descontada la caja, ya es barata [97].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Beursduivel / IEX.nl, foro «Adyen 2026» (octubre)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Debate encendido y con mucho ruido personal sobre si hay posiciones cortas por debajo del umbral de publicación, el temor a que la IA desintermedie los pagos y la junta extraordinaria del 7 de octubre. El 12 de octubre una subida con volumen normal devuelve algo de alivio, pero nadie la asocia a una noticia [97].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«ya es barata» frente a «sigue cara para su sector»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mayoría de los particulares y los dos autores de Seeking Alpha creen que, restando la caja, el múltiplo ya no es exigente para una empresa que crece cerca del 20 % [93, 94, 97]. La empresa creció un 19 % en ingresos netos en el primer semestre (21 % a tipo constante) y prevé un 21-23 % en 2026 a tipo constante, incluidas las compras [47]: el crecimiento que da por hecho el foro existe. Los múltiplos del foro no se usan; los del informe los calcula el motor.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del beneficio y nuevo múltiplo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preocupación tiene base: la empresa prevé para 2026 un margen EBITDA un punto inferior al de 2025 por las compras de Talon.One y Orb y adelanta inversión en centros de datos hasta un capex de en torno al 7 % de los ingresos netos, aunque mantiene el objetivo de margen superior al 55 % en 2028 [47]. El beneficio de 2026 crecerá, por tanto, menos que los ingresos; el foro lo intuye, pero exagera al leer cada caída como un cambio de tesis.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Bajistas, opciones y «manipulación» de la cotización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tema que más mensajes ocupa y el que menos sustento tiene: los propios foreros reconocen que no hay posiciones cortas netas declaradas por encima del umbral de publicación y atribuyen la presión a un producto estructurado bancario y a la expiración de opciones [96, 97]. No es una tesis sobre el negocio; refleja el cansancio del accionista particular tras casi un año sin rentabilidad.</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(Stripe, PayPal) y precio por transacción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oferta de Stripe y Advent por PayPal en julio y su caída posterior alimentaron la idea de que Adyen pierde frente a Stripe o de que podría ser objeto de una oferta; otros ven en las tarifas de Adyen, más altas, una prueba de poder de fijación de precios [96, 97]. La empresa presenta el semestre como una ampliación más allá de los pagos (fidelización, facturación por uso, pagos con agentes de IA) [47]; la cuota y el take rate los recoge el informe en competencia.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 Talon.One y Orb, Adyen Agentic e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foro las ve como motor de venta cruzada; los artículos de Seeking Alpha añaden un punto de crecimiento en 2026 y el riesgo de integración [93, 94]. La empresa confirma que se cerraron el 1 de julio de 2026, que entran en la previsión de crecimiento y que restan un punto de margen este año [47]. El temor de octubre a que la IA desintermedie los pagos va en sentido contrario al lanzamiento de Adyen Agentic y, por ahora, no tiene base en las cifras.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Cambios en la dirección y el consejo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comenta el fichaje de un director financiero procedente de Klarna [95], la etapa con directora financiera interina [47] y la junta extraordinaria del 7 de octubre, que nombraba a un nuevo miembro del consejo de supervisión [39]; algunos mensajes critican a la futura presidenta del consejo, lo que no se ha comprobado aquí. Es ruido sin efecto en la tesis, salvo que la nueva dirección financiera cambie la política de caja, que es lo que piden los partidarios de las recompras.</w:t>
            </w:r>
          </w:p>
        </w:tc>
      </w:tr>
    </w:tbl>
    <w:p>
      <w:pPr>
        <w:spacing w:after="160" w:before="0"/>
      </w:pPr>
    </w:p>
    <w:p>
      <w:pPr>
        <w:spacing w:after="100"/>
      </w:pPr>
      <w:r>
        <w:t xml:space="preserve">El sentimiento del particular, concentrado en el foro neerlandés (muy activo: más de 21.000 mensajes en 2026), es de </w:t>
      </w:r>
      <w:r>
        <w:rPr>
          <w:b/>
        </w:rPr>
        <w:t xml:space="preserve">cansancio más que de capitulación</w:t>
      </w:r>
      <w:r>
        <w:t xml:space="preserve">: se esperaba que unos buenos resultados devolvieran la cotización a niveles anteriores, la subida del 13 de agosto se devolvió entera en cuatro semanas y la frustración se dirige a bajistas y productos estructurados, no al negocio. Los autores independientes de Seeking Alpha siguen siendo compradores. El riesgo que el foro sí detecta, y que el análisis debe pesar, es que el beneficio de 2026 crezca menos que los ingresos por las compras y el capex adelantado [47], lo que justifica un múltiplo menor. El catalizador inmediato es la actualización del tercer trimestre del 28 de octubre. No contradice al consenso de analistas, mayoritariamente positivo según el propio foro.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19 controles correctos y 2 explicados. Fuentes: 97 (66 primarias); citas distintas en el texto: 96.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59 % y los ingresos un 28 %: si hubo una compra cerca del cierre, decláralo en financieros.cambios_perimetro y explícalo. Explicación: No hubo compras. El activo total creció un 59 % porque la caja bruta de comerciantes pasó de 1.745 a 2.738 M (pasivos con comerciantes de 1.459 a 2.589 M) [4]: es dinero de terceros en tránsito, no un cambio de perímetro.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9,6 % en 2030e frente al 5,6 %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0,5 % frente a 0,4 % real: genera una variación de circulante de 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y PER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da 561,27 y PER 846,58 por acción: si la empresa amortiza mucho más que sus comparables (licencias, intangibles adquiridos) el EBITDA la favorece; usa EV/EBIT o EV/(EBITDA − capex) y explícalo. Explicación: La mediana de EV/EBITDA la fijan procesadores maduros que crecen un 0-5 % (Fiserv, Nexi, Worldline) y cuyo EBITDA de proveedor excluye pagos en acciones; el PER se acerca más porque el beneficio de Adyen incluye los intereses de la caja de comerciantes. Por eso los comparables pesan solo un 10 %.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97 fuentes (66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 H2 2025 y H1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Páginas de eventos earnings-call-h1-2026 y h2-2025 de la web de inversores: solo discursos preparados (H1 2026) o nada en PDF (H2 2025); 2) carta H2 2025 y prepared remarks H1 2026 leídas, sin sesión de preguntas; 3) no se gastaron búsquedas web en transcripciones de terceros (presupuesto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semestral de 1S23-1S24 y 2S25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Financial comparison (Excel) no da BPA; 2) cartas semestrales antiguas no descargadas; 3) restar BPA anuales menos semestrales no es exacto con acciones medias distintas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por pilar comercial y por región antes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Financial comparison H2 2023 y H2 2024: solo volumen por pilar, no ingresos; 2) informe anual 2025: ingresos netos por región y pilar solo 2024-2025 (reexpresado); 3) informes de 2023 y anteriores usan otro criterio regional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Opinión del auditor y año de su primer nombramiento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Paquete iXBRL 2025: no incluye el informe del auditor; 2) informe anual 2025: solo dice que PwC llega al plazo máximo tras el ejercicio 2026; 3) años derivados del plazo máximo legal de diez años (estimación propia)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Vencimientos, coste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2025 y jun-26: no hay deuda financiera; 2) nota de arrendamientos no leída en detalle; 3)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en ingresos netos de la adquirencia mundial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McKinsey Global Payments Report 2025: solo da los ingresos de todo el sector de pagos (2,5 billones USD, con margen financiero y tarjetas de crédito), sin el fondo de adquirencia; 2) página de McKinsey (tiempo agotado) y Worldpay Global Payments Report (403 en Business Wire, Fintech Futures y Payment Expert); 3) derivarlo sumando los ingresos de los adquirentes cotizados no es fiable porque mezclan emisión, software y hardware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el volumen como medida del mercado y los ingresos del sector como contexto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 (cuota de los cinco primeros adquirentes)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The Nilson Report (ranking de adquirentes de pago, no accesible); 2) 10-K de Fiserv y Global Payments: no publican volumen procesado en dólares; 3) estimarlo con los volúmenes publicados (Stripe, Adyen, PayPal, Nexi) deja fuera a JPMorgan, Fiserv y Worldpay</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tcac_previsto_pct del volumen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Visa y Mastercard 10-K: no dan previsiones; 2) McKinsey 2025: solo previsión de ingresos (4 % anual a 2029); 3) Worldpay GPR: inaccesible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el 4 % de ingresos de McKinsey y se dice en la definición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Worldline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resultados 2025 (sin resultado operativo, solo EBITDA ajustado 18,3 % y EBITDA 585 M EUR); 2) PDF de la web de inversores (404); 3) el deterioro de 4.700 M EUR hace el EBIT publicado muy negativo y sin sentido para comparar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Checkout.com (ingresos, volumen, margen)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cotiza ni publica en EDGAR; 2) cuentas en Companies House no consultadas por tiempo; 3) prensa no consultada para no gastar búsquedas compartidas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Stripe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carta anual 2025: solo volumen (1,9 billones USD); 2) Stripe no publica cuentas consolidadas; 3) no hay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ISS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no las menciona; 2) búsqueda web de MSCI y Sustainalytics: la página de MSCI requiere JavaScript y la de Sustainalytics redirige a una página genérica; 3) Saxo solo da Sustainalytics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hitos 2012-2019 y compras de 2026 con fuente primaria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solo fundación en 2006, salida a bolsa en 2018 y nombramientos; 2) Wikipedia (fuente secundaria, usada); 3) notas de prensa de Adyen de 2026 sobre Talon.One y Orb no descargadas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Wikipedia con confianza Media; conviene contrastar las compras de 2026 con la carta del primer semestre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(autocartera)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apartado de capital emitido (solo dice que en 2025 no se recompraron acciones y que se emitieron 51.505 por los planes de acciones); 2) resultados de votación de las juntas de 2024-2026 (dan las acciones en circulación, no la autocartera); 3) registro de participaciones sustanciales de la AFM (no hay notificación de autocartera de Adyen)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(operaciones de directivos en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Exportación CSV del registro MAR 19 de la AFM (9.496 filas desde 2005; para Adyen, una sola operación, de 2019); 2) búsqueda «Adyen» en la web del registro (mismo resultado); 3) participaciones del Management Board en el informe anual 2025 (sin cambios en los fundadores; pequeños aumentos en los demás por las acciones que reciben como sueldo)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lista vacía, con insiders_sin_operaciones = true según el registro oficial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Hwa Tsao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(no era consejero); 2) nota de prensa del 1-7-2026 (no da participación); 3) registro MAR 19 de la AFM (sin notificaciones)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texto exacto de la guía de 2025 en febrero y agosto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los resultados H2 2024 y H1 2025 (remiten a la carta, sin cifras); 2) páginas y datos embebidos de las cartas H2 2024 y H1 2025 en investors.adyen.com (sin el texto de los objetivos); 3) actualización del Q3 2025, que sí la resume («2025 en línea con el primer semestre»)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a partir de la actualización del Q3 2025 y de la del Q1 2024</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consensus (solo gráficos); 2) Stock Analysis forecast (revisiones en versión de pago); 3) Yahoo Finance analysis (sin datos para ADYEN.AS)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años de estimación); 2) Stock Analysis (solo LTM); 3) no hay proveedor gratuito con NTM históricos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motor calcula los LTM</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Worldline-Ingenico (2020) y Nexi-SIA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se buscaron las notas oficiales por presupuesto de tiempo; 2) -;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y múltiplo de Fiserv-First Data, FIS-Worldpay y Global Payments-TSYS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y presentaciones en EDGAR (solo valor de las acciones, prima y, en Worldpay, el valor empresa); 2) búsqueda de «enterprise value» y «EBITDA» en los anexos 99.x; 3) no calculado con datos de terceros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múltiplo; ev a null salvo Worldpay</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Shift4 y Toast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buscados por presupuesto; 2) -;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Motley Fool (EE. UU.) y foros en español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Índices mensuales de fool.com de agosto, septiembre y octubre de 2026: ningún artículo sobre Adyen (solo PayPal, Visa, Shift4…); 2) Rankia: ficha de Adyen con un único hilo de 4 mensajes, sin debate real; 3) fool.co.uk, interactive investor, Stockchase y Simply Wall St: 404, búsqueda vacía o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Het Financieele Dagblad (comentarios)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JSON de Reddit: 403; 2) old.reddit: redirige al inicio de sesión; 3) API de Stocktwits: 403; fd.nl: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Comparación con el consenso de cada semestre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Cartas y notas de prensa de la empresa: no publican el consenso previo; 2) MarketScreener y Stock Analysis no dan gratis el consenso histórico de cada semestre; 3) prensa económica: sin series completas del consenso previo por semestre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Consolidated Financial Statements 2025 (paquete iXBRL/ESEF)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https://brand.adyen.com/api/asset/eyJjbGllbnRJZCI6bnVsbCwiaWQiOjEyMjMxMCwidGltZXN0YW1wIjoxNzcyNjkwNTA2LCJ2ZXJzaW9uIjoxNzcyNjkwMjQ5fQ:adyen:3ZYgX8X1_Yp5L5KfmlX48SXtOqYsX4V7R-TJ2MonZwI/download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Consolidated Financial Statements 2023 (paquete iXBRL/ESEF)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https://brand.adyen.com/api/asset/eyJjbGllbnRJZCI6bnVsbCwiaWQiOjMyNTE1LCJ0aW1lc3RhbXAiOjE3MjgzMTU3MjIsInZlcnNpb24iOjE3MjY4NDgzMzV9:adyen:SSpVHjwCyHoKlJutcAfUXySXFjBtonlqDBNHKtOdp2E/download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Consolidated Financial Statements 2021 (paquete iXBRL/ESEF)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https://brand.adyen.com/api/asset/eyJjbGllbnRJZCI6bnVsbCwiaWQiOjE4ODUzLCJ0aW1lc3RhbXAiOjE3MjgzMTU3NzAsInZlcnNpb24iOjE3MTM5ODEyMTh9:adyen:Q4OniawcKFoVWOtdiJo9QFKBCUrvpsbeuxfBkkCn4jo/download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Consolidated Financial Statements 2020 (paquete iXBRL/ESEF, con 2019 reexpresado)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https://brand.adyen.com/api/asset/eyJjbGllbnRJZCI6bnVsbCwiaWQiOjE4Nzk4LCJ0aW1lc3RhbXAiOjE3MjgzMTU2NzAsInZlcnNpb24iOjE3MTM5ODExMDV9:adyen:OL9obxjQVSFwGiqdY5MpO7EdLkddLni3SAe09TefZ6Y/download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comparison H2 2025 (Excel: cuenta semestral, pilares, volumen, EBITDA, capex, trimestres y FTE)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https://brand.adyen.com/api/asset/eyJjbGllbnRJZCI6bnVsbCwiaWQiOjEyMDQwOSwidGltZXN0YW1wIjoxNzcwODMzNzU5LCJ2ZXJzaW9uIjoxNzcwODMzNjY3fQ:adyen:Rs_OhUbjOOH5FL7bLEALIJ04cKCUwYwWUS-zFABz5dE/download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comparison H1 2026 (Excel)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https://brand.adyen.com/api/asset/eyJjbGllbnRJZCI6bnVsbCwiaWQiOjEzNjc2OCwidGltZXN0YW1wIjoxNzg2NTkzOTYxLCJ2ZXJzaW9uIjoxNzg2NTkzOTA3fQ:adyen:lwgbg0I0PT1w7FyvPiIxL5Lpp6sw7xk-OuSanXSSBtc/download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comparison H2 2024 (Excel)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https://brand.adyen.com/api/asset/eyJjbGllbnRJZCI6bnVsbCwiaWQiOjU0ODI4LCJ0aW1lc3RhbXAiOjE3MzkzOTcyNTYsInZlcnNpb24iOjE3MzkzOTcyMzF9:adyen:Woj6587vRhBDuj-JbG8Hl_yTqGy-T1rRm_Jfk78xY5M/download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comparison H2 2023 (Excel)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https://brand.adyen.com/api/asset/eyJjbGllbnRJZCI6bnVsbCwiaWQiOjMyNTIwLCJ0aW1lc3RhbXAiOjE3MjgzMTU3NjksInZlcnNpb24iOjE3MjY4NDgzODd9:adyen:ecT3YZkwol1tgDwRJUDNasKAVK95wMDbHFa_nshcfQg/download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comparison H2 2022 (Excel)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https://brand.adyen.com/api/asset/eyJjbGllbnRJZCI6bnVsbCwiaWQiOjE4ODMxLCJ0aW1lc3RhbXAiOjE3MjgzMTU3NzMsInZlcnNpb24iOjE3MTM5ODExNzR9:adyen:upgkBX85BUgD-ZIoTYx42MExzcdUupvY0i55vS6nRkw/download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comparison H2 2020 (Excel, con 2019 reexpresado)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https://brand.adyen.com/api/asset/eyJjbGllbnRJZCI6bnVsbCwiaWQiOjE4ODI4LCJ0aW1lc3RhbXAiOjE3MjgzMTU3MjIsInZlcnNpb24iOjE3MTM5ODExNjl9:adyen:vv2l2Rix6o3o1yUb47dIb34Q6xg4NC03oAOumAcA0go/download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Shareholder Letter e Interim Condensed Consolidated Financial Statements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https://brand.adyen.com/api/asset/eyJjbGllbnRJZCI6bnVsbCwiaWQiOjEzNjc2OSwidGltZXN0YW1wIjoxNzg2NjAzNzE2LCJ2ZXJzaW9uIjoxNzg2NjAzNzExfQ:adyen:XGlhBkieVPoOb5QUYl1kHKT87C66iBYXjr2Pk52kHIE/download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H2 2025 Shareholder Letter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https://brand.adyen.com/api/asset/eyJjbGllbnRJZCI6bnVsbCwiaWQiOjEyMDQxMCwidGltZXN0YW1wIjoxNzcwOTA5ODMzLCJ2ZXJzaW9uIjoxNzcwOTA5ODIzfQ:adyen:H5vsx79VwLKJkfLZBrmssAmZF4pGvB9sTS75BJt4_pU/download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2025 Business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https://brand.adyen.com/api/asset/eyJjbGllbnRJZCI6bnVsbCwiaWQiOjEwOTIzNywidGltZXN0YW1wIjoxNzYxNzE3NTM0LCJ2ZXJzaW9uIjoxNzYxNjc0NzQ4fQ:adyen:6rusU3OJosxN5OLcWo1UkwukCbLsJMQng2g8DNOmqW0/download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Business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https://brand.adyen.com/api/asset/eyJjbGllbnRJZCI6bnVsbCwiaWQiOjEyNjI5MiwidGltZXN0YW1wIjoxNzc4MDQ0MjczLCJ2ZXJzaW9uIjoxNzc4MDQ0MjQxfQ:adyen:sbv7nJQ0hcv9kI-YO-qpwyn8Xijh5BBO82URSeF28uM/download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Earnings Call – Prepared remarks (Ingo Uytdehaage y Hwa Tsao)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https://brand.adyen.com/api/asset/eyJjbGllbnRJZCI6bnVsbCwiaWQiOjEzNjc2NiwidGltZXN0YW1wIjoxNzg2NTUyNDgwLCJ2ZXJzaW9uIjoxNzg2NTUyMzY5fQ:adyen:eFS61qzKFjL_7jzClV2BLmw1gSjeRYyXQdUhvuS1IXI/download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Day 2025 –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https://brand.adyen.com/api/asset/eyJjbGllbnRJZCI6bnVsbCwiaWQiOjEwOTkzNywidGltZXN0YW1wIjoxNzYzMDIyNzg3LCJ2ZXJzaW9uIjoxNzYzMDIyMzExfQ:adyen:M4YT2kDviF4mgZjc3v3Vmm3wi6MShPo1HviEEC0hAxU/download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Form 10-K, ejercicio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https://www.sec.gov/Archives/edgar/data/1403161/000140316125000089/v-20250930.htm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Form 10-K, ejercicio a 30-sep-2024 (tabla de redes 2023, datos de The Nilson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https://www.sec.gov/Archives/edgar/data/1403161/000140316124000058/v-20240930.htm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Form 10-K, ejercicio a 30-sep-2023 (tabla de redes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https://www.sec.gov/Archives/edgar/data/1403161/000140316123000099/v-20230930.htm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Form 10-K, ejercicio a 30-sep-2022 (tabla de redes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https://www.sec.gov/Archives/edgar/data/1403161/000140316122000081/v-20220930.htm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Form 10-K, ejercicio a 30-sep-2021 (tabla de redes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https://www.sec.gov/Archives/edgar/data/1403161/000140316121000060/v-20210930.htm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Form 10-K, ejercicio a 30-sep-2020 (tabla de redes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https://www.sec.gov/Archives/edgar/data/1403161/000140316120000070/v-20200930.htm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Incorporated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https://www.sec.gov/Archives/edgar/data/1141391/000114139126000013/ma-20251231.htm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Holdings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https://www.sec.gov/Archives/edgar/data/1633917/000163391726000024/pypl-20251231.htm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https://www.sec.gov/Archives/edgar/data/1512673/000162828026012254/xyz-20251231.htm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https://www.sec.gov/Archives/edgar/data/798354/000079835426000009/fi-20251231.htm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https://www.sec.gov/Archives/edgar/data/1123360/000112336026000008/gpn-20251231.htm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 FY2025 results –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https://www.globenewswire.com/news-release/2026/02/25/3244857/0/en/WORLDLINE-FY2025-results-Press-release.html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FY2025 financial results –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S.p.A.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https://www.emarketstorage.it/sites/default/files/comunicati/2026-03/20260305_178185.pdf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Stripe annual letter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Stripe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https://stripe.com/annual-updates/2025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2025 McKinsey Global Payments Report: Competing systems, contested outcomes (borrador bajo embargo)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McKinsey &amp; Company (copia de finews.asia)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https://www.finews.asia/images/download/McKinsey_The_2025_Global_Payments_Report_DRAFT_EMBARGOv2914040.pdf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Payments statistics: second half of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https://www.ecb.europa.eu/press/stats/paysec/html/ecb.pis2025h2~23986fb4a6.en.html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Payments statistics: first half of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https://www.ecb.europa.eu/press/stats/paysec/html/ecb.pis2025h1~36edd636c8.en.html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USD/EUR (serie EXR.D.USD.EUR.SP00.A)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https://data-api.ecb.europa.eu/service/data/EXR/D.USD.EUR.SP00.A?startPeriod=2019-12-27&amp;endPeriod=2025-12-31&amp;format=csvdata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Incident update: Mitigating a DDoS attack on April 21,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https://www.adyen.com/knowledge-hub/mitigating-a-ddos-april-2025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(artículo)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https://en.wikipedia.org/wiki/Adyen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 – ficha del valor con riesgo ESG de Sustainalytics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https://www.home.saxo/en-gb/markets/stocks/adyen-xams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(incluye el informe de gobierno y el de remuneraciones)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https://brand.adyen.com/api/asset/eyJjbGllbnRJZCI6bnVsbCwiaWQiOjEyMjMwOCwidGltZXN0YW1wIjoxNzc1NTY0MjQ0LCJ2ZXJzaW9uIjoxNzcyNjkwMjA3fQ:adyen:DEcCEo4XPo3eDfzj-fjMZ366g2pQkuoZMPARCHC5BoE/download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Voting results, Annual General Meeting 28 May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https://investors.adyen.com/general-meetings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Register substantial holdings and gross short positions (exportación 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https://www.afm.nl/export.aspx?type=1331d46f-3fb6-4a36-b903-9584972675af&amp;format=csv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Register transactions by persons discharging managerial responsibilities (MAR 19), exportación CSV y búsqueda «Adyen»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https://www.afm.nl/en/sector/registers/meldingenregisters/transacties-leidinggevenden-mar19-?KeyWords=Adyen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Register net short positions (actual), exportación 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https://www.afm.nl/export.aspx?type=8a46a4ef-f196-4467-a7ab-1ae1cb58f0e7&amp;format=csv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CFO Ethan Tandowsky to Step Down to Pursue Opportunity Outside Fintech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https://www.adyen.com/press-and-media/adyen-cfo-ethan-tandowsky-to-step-down-to-pursue-opportunity-outside-fintech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closes Talon.One and Orb acquisitions; announces leadership updates across product and finance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https://www.adyen.com/press-and-media/adyen-closes-talonone-and-orb-acquisitions-announces-leadership-updates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nominates Herna Verhagen as Supervisory Board member and Chair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https://www.adyen.com/press-and-media/adyen-nominates-herna-verhagen-as-supervisory-board-member-and-chair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 resolutions adopted at 2026 AGM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https://www.adyen.com/press-and-media/all-resolutions-adopted-at-2026-agm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H1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https://www.adyen.com/press-and-media/adyen-publishes-h1-2026-financial-results-3wjne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H2 2025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https://www.adyen.com/press-and-media/adyen-publishes-h2-2025-financial-results-3pgu2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Q1 2026 Business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https://www.adyen.com/press-and-media/adyen-publishes-q1-2026-business-update-4gyhh5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Q3 2025 Business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https://www.adyen.com/press-and-media/adyen-publishes-q3-2025-business-update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hosts Investor Day 2025 in Amsterdam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https://www.adyen.com/press-and-media/adyen-hosts-investor-day-2025-in-amsterdam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Shareholder Letter H2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https://investors.adyen.com/financials/h2-2021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Shareholder Letter H2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https://investors.adyen.com/financials/h2-2022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H2 2022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https://www.adyen.com/press-and-media/adyen-publishes-h2-2022-financial-results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H2 2023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https://www.adyen.com/press-and-media/adyen-publishes-h2-2023-financial-results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2024 Business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https://brand.adyen.com/api/asset/eyJjbGllbnRJZCI6bnVsbCwiaWQiOjMyMzM2LCJ0aW1lc3RhbXAiOjE3Mjc2OTYzNDUsInZlcnNpb24iOjE3MjY4MzQ0OTR9:adyen:MRS1qwmYEMMv1WmoWB4KqPjcpui1dthSoSM7vhB8iz8/download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H2 2024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https://www.adyen.com/press-and-media/adyen-publishes-h2-2024-financial-results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Q3 2023 Business Update (Investor Day 2023: financial objectives evolved)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https://www.adyen.com/press-and-media/adyen-publishes-q3-business-update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Ingo Uytdehaage to become Adyen's co-CEO, Ethan Tandowsky to join its Management Board as CFO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https://www.adyen.com/press-and-media/ingo-uytdehaage-new-co-ceo-ethan-cfo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H2 2021 shareholder letter and interim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https://www.adyen.com/press-and-media/adyen-publishes-h2-2021-shareholder-letter-and-interim-financial-results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Members of the Adyen Management Board complete sale of approximately 15% of their holdings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https://www.adyen.com/press-and-media/4-members-of-the-adyen-management-board-complete-sale-of-approximately-15-of-their-holdings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ADYEN.AS, EXSA.DE y EXV3.DE hasta 2026-10-09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https://finance.yahoo.com/quote/ADYEN.AS/history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tipos de los valores federales (Svensson), vida residual de 10 años, diaria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(diario e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(AMS:ADYEN)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https://stockanalysis.com/quote/ams/ADYEN/statistics/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 finances y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https://www.marketscreener.com/quote/stock/ADYEN-N-V-44211922/finances/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(AMS:ADYEN)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https://stockanalysis.com/quote/ams/ADYEN/forecast/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https://www.marketscreener.com/quote/stock/VISA-INC-2277468/finances/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(V)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Inc.: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https://www.marketscreener.com/quote/stock/MASTERCARD-INCORPORATED-17163/finances/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(MA)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Holdings: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https://www.marketscreener.com/quote/stock/PAYPAL-HOLDINGS-INC-23377703/finances/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(PYPL)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https://stockanalysis.com/stocks/pypl/statistics/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Inc.: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https://www.marketscreener.com/quote/stock/BLOCK-INC-24935553/finances/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(XYZ)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https://stockanalysis.com/stocks/xyz/statistics/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Inc.: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https://www.marketscreener.com/quote/stock/FISERV-INC-4873/finances/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(FISV)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Inc.: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https://www.marketscreener.com/quote/stock/GLOBAL-PAYMENTS-INC-12814/finances/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(GPN)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https://stockanalysis.com/stocks/gpn/statistics/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S.p.A.: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https://www.marketscreener.com/quote/stock/NEXI-S-P-A-57291674/finances/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(BIT:NEXI)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https://stockanalysis.com/quote/bit/NEXI/statistics/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https://www.marketscreener.com/quote/stock/WORLDLINE-16783982/finances/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 (EPA:WLN)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https://stockanalysis.com/quote/epa/WLN/statistics/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to combine with First Data: presentación a inversores (8-K, anexo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https://www.sec.gov/Archives/edgar/data/798354/000119312519010304/d660232dex993.htm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Data: resultados preliminares de 2018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https://www.sec.gov/Archives/edgar/data/798354/000119312519010304/d660232dex991.htm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 and Worldpay to Combine (nota de prensa, 8-K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Worldpay,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https://www.sec.gov/Archives/edgar/data/1533932/000119312519077546/d720414dex992.htm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 and Worldpay: presentación a inversores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Worldpay,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https://www.sec.gov/Archives/edgar/data/1533932/000119312519077546/d720414dex991.htm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and TSYS to merge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System Services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https://www.sec.gov/Archives/edgar/data/721683/000119312519157557/d735895dex991.htm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e Nets: comunicato stampa sulla fusione (15-nov-2020)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S.p.A.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https://emarketstorage.it/sites/default/files/comunicati/2022-05/20201115_87109.pdf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to divest Issuer Solutions to FIS and acquire Worldpay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https://www.sec.gov/Archives/edgar/data/1123360/000110465925035771/tm2512552d1_ex99-1.htm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presentación de la operación con Worldpay (8-K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https://www.sec.gov/Archives/edgar/data/1123360/000110465925035771/tm2512552d1_ex99-2.htm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Fairly Valued On FCF, But Don't Ignore The Cash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(autor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https://seekingalpha.com/article/4940665-adyen-stock-fairly-valued-on-fcf-but-dont-ignore-the-cash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A 20% Compounder Is Finally Cheap Enough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(autor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https://seekingalpha.com/article/4939731-adyen-a-20-percent-compounder-is-finally-cheap-enough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 (ADYEY): canal de noticias y análisis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https://seekingalpha.com/api/sa/combined/ADYEY.xml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«Adyen 2026», páginas de julio y agosto de 2026 (pp. 600-770)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Beursduivel / IEX.nl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https://www.beursduivel.be/Forum/Topic/1406198/Adyen_Adyen-2026.aspx?page=755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«Adyen 2026», páginas de finales de agosto a octubre de 2026 (pp. 810-1074)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Beursduivel / IEX.nl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https://www.beursduivel.be/Forum/Topic/1406198/Adyen_Adyen-2026.aspx?page=Last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90,6 %</w:t>
      </w:r>
      <w:r>
        <w:t xml:space="preserve"> · Secciones con menos del 60 % de campos cubiertos: </w:t>
      </w:r>
      <w:r>
        <w:rPr>
          <w:b/>
          <w:bCs/>
        </w:rPr>
        <w:t xml:space="preserve">ninguna</w:t>
      </w:r>
      <w:r>
        <w:t xml:space="preserve"> · Generado el 12 oct 2026.</w:t>
      </w:r>
    </w:p>
    <w:p>
      <w:pPr>
        <w:pStyle w:val="Nota"/>
        <w:spacing w:after="100"/>
      </w:pPr>
      <w:r>
        <w:t xml:space="preserve">Línea cotizada: la acción ordinaria de Euronext Ámsterdam (ADYEN); el ADR ADYEY no se usa. Precio: cierre del viernes 9-oct-2026 (886,10 EUR), porque la sesión del 12-oct no había cerrado al fijar el corte. Ingresos = ingresos netos (net revenue), la cifra que usa la dirección y la única comparable en toda la serie: hasta 2023 los ingresos NIIF incluían el interchange y las tasas de esquema. 2019 está reexpresado por la corrección de comisiones duplicadas de 2020. Balance histórico con caja propia (caja menos saldos netos de comerciantes y entidades financieras); activo y pasivo totales tal cual. El flujo operativo excluye la variación de los saldos de comerciantes. Los segmentos por región y por pilar solo se publican con el criterio vigente para 2024-2025 y 1S26. El valor del flotante de comerciantes (1.100 M) es estimación propia. Parte de la caja propia está sujeta a requisitos de capital y liquidez de la licencia bancaria; no se descuenta en el puente porque la empresa no publica el exceso de capital disponible.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Adyen N.V. (ADYEN)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886,10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(772,40 – 1.600,80)</c:v>
                </c:pt>
                <c:pt idx="1">
                  <c:v>Precio objetivo de los analistas (887,00 – 1.900,00)</c:v>
                </c:pt>
                <c:pt idx="2">
                  <c:v>Comparables: EV/EBITDA NTM (495,25 – 808,52)</c:v>
                </c:pt>
                <c:pt idx="3">
                  <c:v>Comparables: PER NTM (493,09 – 1.130,28)</c:v>
                </c:pt>
                <c:pt idx="4">
                  <c:v>Transacciones precedentes (EV/EBITDA) (610,84 – 855,72)</c:v>
                </c:pt>
                <c:pt idx="5">
                  <c:v>DCF (WACC y g ± 0,5) (876,09 – 1.018,72)</c:v>
                </c:pt>
                <c:pt idx="6">
                  <c:v>Escenarios (bajista – alcista) (659,05 – 1.136,19)</c:v>
                </c:pt>
                <c:pt idx="7">
                  <c:v>DCF con la prima implícita del mercado (4,2 %)</c:v>
                </c:pt>
                <c:pt idx="8">
                  <c:v>Precio actual (886,10)</c:v>
                </c:pt>
              </c:strCache>
            </c:strRef>
          </c:cat>
          <c:val>
            <c:numRef>
              <c:f>Hoja1!$B$2:$B$10</c:f>
              <c:numCache>
                <c:formatCode>#,##0</c:formatCode>
                <c:ptCount val="9"/>
                <c:pt idx="0">
                  <c:v>772.4</c:v>
                </c:pt>
                <c:pt idx="1">
                  <c:v>887</c:v>
                </c:pt>
                <c:pt idx="2">
                  <c:v>495.25</c:v>
                </c:pt>
                <c:pt idx="3">
                  <c:v>493.09</c:v>
                </c:pt>
                <c:pt idx="4">
                  <c:v>610.84</c:v>
                </c:pt>
                <c:pt idx="5">
                  <c:v>876.09</c:v>
                </c:pt>
                <c:pt idx="6">
                  <c:v>659.05</c:v>
                </c:pt>
                <c:pt idx="7">
                  <c:v>1097.02</c:v>
                </c:pt>
                <c:pt idx="8">
                  <c:v>881.67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(772,40 – 1.600,80)</c:v>
                </c:pt>
                <c:pt idx="1">
                  <c:v>Precio objetivo de los analistas (887,00 – 1.900,00)</c:v>
                </c:pt>
                <c:pt idx="2">
                  <c:v>Comparables: EV/EBITDA NTM (495,25 – 808,52)</c:v>
                </c:pt>
                <c:pt idx="3">
                  <c:v>Comparables: PER NTM (493,09 – 1.130,28)</c:v>
                </c:pt>
                <c:pt idx="4">
                  <c:v>Transacciones precedentes (EV/EBITDA) (610,84 – 855,72)</c:v>
                </c:pt>
                <c:pt idx="5">
                  <c:v>DCF (WACC y g ± 0,5) (876,09 – 1.018,72)</c:v>
                </c:pt>
                <c:pt idx="6">
                  <c:v>Escenarios (bajista – alcista) (659,05 – 1.136,19)</c:v>
                </c:pt>
                <c:pt idx="7">
                  <c:v>DCF con la prima implícita del mercado (4,2 %)</c:v>
                </c:pt>
                <c:pt idx="8">
                  <c:v>Precio actual (886,10)</c:v>
                </c:pt>
              </c:strCache>
            </c:strRef>
          </c:cat>
          <c:val>
            <c:numRef>
              <c:f>Hoja1!$C$2:$C$10</c:f>
              <c:numCache>
                <c:formatCode>#,##0</c:formatCode>
                <c:ptCount val="9"/>
                <c:pt idx="0">
                  <c:v>828.4</c:v>
                </c:pt>
                <c:pt idx="1">
                  <c:v>1013</c:v>
                </c:pt>
                <c:pt idx="2">
                  <c:v>313.27</c:v>
                </c:pt>
                <c:pt idx="3">
                  <c:v>637.19</c:v>
                </c:pt>
                <c:pt idx="4">
                  <c:v>244.88</c:v>
                </c:pt>
                <c:pt idx="5">
                  <c:v>142.63</c:v>
                </c:pt>
                <c:pt idx="6">
                  <c:v>477.1400000000001</c:v>
                </c:pt>
                <c:pt idx="7">
                  <c:v>151.5999999999999</c:v>
                </c:pt>
                <c:pt idx="8">
                  <c:v>8.860000000000014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Digital</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1229.5</c:v>
                </c:pt>
                <c:pt idx="1">
                  <c:v>1334.9</c:v>
                </c:pt>
              </c:numCache>
            </c:numRef>
          </c:val>
        </c:ser>
        <c:ser>
          <c:idx val="1"/>
          <c:order val="1"/>
          <c:tx>
            <c:strRef>
              <c:f>Hoja1!$C$1</c:f>
              <c:strCache>
                <c:ptCount val="1"/>
                <c:pt idx="0">
                  <c:v>Unified Commerce</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590.5</c:v>
                </c:pt>
                <c:pt idx="1">
                  <c:v>765.4</c:v>
                </c:pt>
              </c:numCache>
            </c:numRef>
          </c:val>
        </c:ser>
        <c:ser>
          <c:idx val="2"/>
          <c:order val="2"/>
          <c:tx>
            <c:strRef>
              <c:f>Hoja1!$D$1</c:f>
              <c:strCache>
                <c:ptCount val="1"/>
                <c:pt idx="0">
                  <c:v>Platforms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176.1</c:v>
                </c:pt>
                <c:pt idx="1">
                  <c:v>263.8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Digital</c:v>
                </c:pt>
                <c:pt idx="1">
                  <c:v>Unified Commerce</c:v>
                </c:pt>
                <c:pt idx="2">
                  <c:v>Platforms</c:v>
                </c:pt>
              </c:strCache>
            </c:strRef>
          </c:cat>
          <c:val>
            <c:numRef>
              <c:f>Hoja1!$B$2:$B$4</c:f>
              <c:numCache>
                <c:formatCode>General</c:formatCode>
                <c:ptCount val="3"/>
                <c:pt idx="0">
                  <c:v>56.5</c:v>
                </c:pt>
                <c:pt idx="1">
                  <c:v>32.4</c:v>
                </c:pt>
                <c:pt idx="2">
                  <c:v>11.2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EMEA</c:v>
                </c:pt>
                <c:pt idx="1">
                  <c:v>Norteamérica</c:v>
                </c:pt>
                <c:pt idx="2">
                  <c:v>Asia-Pacífico</c:v>
                </c:pt>
                <c:pt idx="3">
                  <c:v>Latinoamérica</c:v>
                </c:pt>
              </c:strCache>
            </c:strRef>
          </c:cat>
          <c:val>
            <c:numRef>
              <c:f>Hoja1!$B$2:$B$5</c:f>
              <c:numCache>
                <c:formatCode>0"%"</c:formatCode>
                <c:ptCount val="4"/>
                <c:pt idx="0">
                  <c:v>57.5</c:v>
                </c:pt>
                <c:pt idx="1">
                  <c:v>26.8</c:v>
                </c:pt>
                <c:pt idx="2">
                  <c:v>10</c:v>
                </c:pt>
                <c:pt idx="3">
                  <c:v>5.7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(volumen de pagos de Visa, Mastercard, American Express, JCB y Diners/Discover, año natural))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2019</c:v>
                </c:pt>
                <c:pt idx="1">
                  <c:v>2020</c:v>
                </c:pt>
                <c:pt idx="2">
                  <c:v>2021</c:v>
                </c:pt>
                <c:pt idx="3">
                  <c:v>2022</c:v>
                </c:pt>
                <c:pt idx="4">
                  <c:v>2023</c:v>
                </c:pt>
                <c:pt idx="5">
                  <c:v>2024</c:v>
                </c:pt>
              </c:strCache>
            </c:strRef>
          </c:cat>
          <c:val>
            <c:numRef>
              <c:f>Hoja1!$B$2:$B$7</c:f>
              <c:numCache>
                <c:formatCode>#,##0</c:formatCode>
                <c:ptCount val="6"/>
                <c:pt idx="0">
                  <c:v>15425</c:v>
                </c:pt>
                <c:pt idx="1">
                  <c:v>15133</c:v>
                </c:pt>
                <c:pt idx="2">
                  <c:v>18675</c:v>
                </c:pt>
                <c:pt idx="3">
                  <c:v>20331</c:v>
                </c:pt>
                <c:pt idx="4">
                  <c:v>22206</c:v>
                </c:pt>
                <c:pt idx="5">
                  <c:v>23769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Adyen</c:v>
                </c:pt>
                <c:pt idx="1">
                  <c:v>Stripe</c:v>
                </c:pt>
                <c:pt idx="2">
                  <c:v>Fiserv (Clover, adquirencia)</c:v>
                </c:pt>
                <c:pt idx="3">
                  <c:v>PayPal (incl. Braintree)</c:v>
                </c:pt>
                <c:pt idx="4">
                  <c:v>Block (Square)</c:v>
                </c:pt>
                <c:pt idx="5">
                  <c:v>Global Payments (con Worldpay desde ene-2026)</c:v>
                </c:pt>
                <c:pt idx="6">
                  <c:v>Worldline</c:v>
                </c:pt>
                <c:pt idx="7">
                  <c:v>Nexi</c:v>
                </c:pt>
                <c:pt idx="8">
                  <c:v>Visa (red, no competidor directo)</c:v>
                </c:pt>
                <c:pt idx="9">
                  <c:v>Mastercard (red, no competidor directo)</c:v>
                </c:pt>
              </c:strCache>
            </c:strRef>
          </c:cat>
          <c:val>
            <c:numRef>
              <c:f>Hoja1!$B$2:$B$11</c:f>
              <c:numCache>
                <c:formatCode>0.0"%"</c:formatCode>
                <c:ptCount val="10"/>
                <c:pt idx="0">
                  <c:v>46.9</c:v>
                </c:pt>
                <c:pt idx="2">
                  <c:v>27.5</c:v>
                </c:pt>
                <c:pt idx="3">
                  <c:v>18.3</c:v>
                </c:pt>
                <c:pt idx="4">
                  <c:v>7.1</c:v>
                </c:pt>
                <c:pt idx="5">
                  <c:v>22.8</c:v>
                </c:pt>
                <c:pt idx="7">
                  <c:v>26.4</c:v>
                </c:pt>
                <c:pt idx="8">
                  <c:v>60</c:v>
                </c:pt>
                <c:pt idx="9">
                  <c:v>57.6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3</c:v>
                </c:pt>
                <c:pt idx="2">
                  <c:v>4</c:v>
                </c:pt>
                <c:pt idx="3">
                  <c:v>4</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Hoja1!$B$2:$B$18</c:f>
              <c:numCache>
                <c:formatCode>#,##0</c:formatCode>
                <c:ptCount val="17"/>
                <c:pt idx="0">
                  <c:v>534.3</c:v>
                </c:pt>
                <c:pt idx="1">
                  <c:v>684.2</c:v>
                </c:pt>
                <c:pt idx="2">
                  <c:v>1001.5</c:v>
                </c:pt>
                <c:pt idx="3">
                  <c:v>1330.2</c:v>
                </c:pt>
                <c:pt idx="4">
                  <c:v>1626.1</c:v>
                </c:pt>
                <c:pt idx="5">
                  <c:v>1996.1</c:v>
                </c:pt>
                <c:pt idx="6">
                  <c:v>2364.2</c:v>
                </c:pt>
                <c:pt idx="7">
                  <c:v>2861</c:v>
                </c:pt>
                <c:pt idx="8">
                  <c:v>3433</c:v>
                </c:pt>
                <c:pt idx="9">
                  <c:v>4085</c:v>
                </c:pt>
                <c:pt idx="10">
                  <c:v>4780</c:v>
                </c:pt>
                <c:pt idx="11">
                  <c:v>5496</c:v>
                </c:pt>
                <c:pt idx="12">
                  <c:v>6211</c:v>
                </c:pt>
                <c:pt idx="13">
                  <c:v>6894</c:v>
                </c:pt>
                <c:pt idx="14">
                  <c:v>7515</c:v>
                </c:pt>
                <c:pt idx="15">
                  <c:v>8041</c:v>
                </c:pt>
                <c:pt idx="16">
                  <c:v>8443</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Hoja1!$C$2:$C$18</c:f>
              <c:numCache>
                <c:formatCode>#,##0</c:formatCode>
                <c:ptCount val="17"/>
                <c:pt idx="0">
                  <c:v>316.9</c:v>
                </c:pt>
                <c:pt idx="1">
                  <c:v>402.5</c:v>
                </c:pt>
                <c:pt idx="2">
                  <c:v>630</c:v>
                </c:pt>
                <c:pt idx="3">
                  <c:v>728.3</c:v>
                </c:pt>
                <c:pt idx="4">
                  <c:v>743</c:v>
                </c:pt>
                <c:pt idx="5">
                  <c:v>992.3</c:v>
                </c:pt>
                <c:pt idx="6">
                  <c:v>1245.7</c:v>
                </c:pt>
                <c:pt idx="7">
                  <c:v>1482</c:v>
                </c:pt>
                <c:pt idx="8">
                  <c:v>1830</c:v>
                </c:pt>
                <c:pt idx="9">
                  <c:v>2247</c:v>
                </c:pt>
                <c:pt idx="10">
                  <c:v>2653</c:v>
                </c:pt>
                <c:pt idx="11">
                  <c:v>3078</c:v>
                </c:pt>
                <c:pt idx="12">
                  <c:v>3478</c:v>
                </c:pt>
                <c:pt idx="13">
                  <c:v>3861</c:v>
                </c:pt>
                <c:pt idx="14">
                  <c:v>4208</c:v>
                </c:pt>
                <c:pt idx="15">
                  <c:v>4503</c:v>
                </c:pt>
                <c:pt idx="16">
                  <c:v>4728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59.3</c:v>
                </c:pt>
                <c:pt idx="1">
                  <c:v>58.8</c:v>
                </c:pt>
                <c:pt idx="2">
                  <c:v>62.9</c:v>
                </c:pt>
                <c:pt idx="3">
                  <c:v>54.8</c:v>
                </c:pt>
                <c:pt idx="4">
                  <c:v>45.7</c:v>
                </c:pt>
                <c:pt idx="5">
                  <c:v>49.7</c:v>
                </c:pt>
                <c:pt idx="6">
                  <c:v>52.7</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55.1</c:v>
                </c:pt>
                <c:pt idx="1">
                  <c:v>54.6</c:v>
                </c:pt>
                <c:pt idx="2">
                  <c:v>59.4</c:v>
                </c:pt>
                <c:pt idx="3">
                  <c:v>50</c:v>
                </c:pt>
                <c:pt idx="4">
                  <c:v>40.4</c:v>
                </c:pt>
                <c:pt idx="5">
                  <c:v>44.5</c:v>
                </c:pt>
                <c:pt idx="6">
                  <c:v>46.9</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43.9</c:v>
                </c:pt>
                <c:pt idx="1">
                  <c:v>38.1</c:v>
                </c:pt>
                <c:pt idx="2">
                  <c:v>46.9</c:v>
                </c:pt>
                <c:pt idx="3">
                  <c:v>42.4</c:v>
                </c:pt>
                <c:pt idx="4">
                  <c:v>42.9</c:v>
                </c:pt>
                <c:pt idx="5">
                  <c:v>46.4</c:v>
                </c:pt>
                <c:pt idx="6">
                  <c:v>44.9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Hoja1!$B$2:$B$8</c:f>
              <c:numCache>
                <c:formatCode>0.0"%"</c:formatCode>
                <c:ptCount val="7"/>
                <c:pt idx="0">
                  <c:v>21.5</c:v>
                </c:pt>
                <c:pt idx="1">
                  <c:v>22.9</c:v>
                </c:pt>
                <c:pt idx="2">
                  <c:v>23.6</c:v>
                </c:pt>
                <c:pt idx="3">
                  <c:v>22.1</c:v>
                </c:pt>
                <c:pt idx="4">
                  <c:v>19.7</c:v>
                </c:pt>
                <c:pt idx="5">
                  <c:v>17.4</c:v>
                </c:pt>
                <c:pt idx="6">
                  <c:v>19.1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Hoja1!$C$2:$C$8</c:f>
              <c:numCache>
                <c:formatCode>0.0"%"</c:formatCode>
                <c:ptCount val="7"/>
                <c:pt idx="2">
                  <c:v>24</c:v>
                </c:pt>
                <c:pt idx="3">
                  <c:v>22</c:v>
                </c:pt>
                <c:pt idx="4">
                  <c:v>21</c:v>
                </c:pt>
                <c:pt idx="5">
                  <c:v>21</c:v>
                </c:pt>
                <c:pt idx="6">
                  <c:v>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32</c:v>
                </c:pt>
                <c:pt idx="1">
                  <c:v>40</c:v>
                </c:pt>
                <c:pt idx="2">
                  <c:v>21</c:v>
                </c:pt>
                <c:pt idx="3">
                  <c:v>25</c:v>
                </c:pt>
                <c:pt idx="4">
                  <c:v>30</c:v>
                </c:pt>
                <c:pt idx="5">
                  <c:v>24</c:v>
                </c:pt>
                <c:pt idx="6">
                  <c:v>34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12</c:v>
                </c:pt>
                <c:pt idx="1">
                  <c:v>25</c:v>
                </c:pt>
                <c:pt idx="2">
                  <c:v>22</c:v>
                </c:pt>
                <c:pt idx="3">
                  <c:v>53</c:v>
                </c:pt>
                <c:pt idx="4">
                  <c:v>43</c:v>
                </c:pt>
                <c:pt idx="5">
                  <c:v>36</c:v>
                </c:pt>
                <c:pt idx="6">
                  <c:v>25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148</c:v>
                </c:pt>
                <c:pt idx="1">
                  <c:v>144</c:v>
                </c:pt>
                <c:pt idx="2">
                  <c:v>98</c:v>
                </c:pt>
                <c:pt idx="3">
                  <c:v>90</c:v>
                </c:pt>
                <c:pt idx="4">
                  <c:v>70</c:v>
                </c:pt>
                <c:pt idx="5">
                  <c:v>92</c:v>
                </c:pt>
                <c:pt idx="6">
                  <c:v>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290.40000000000003</c:v>
                </c:pt>
                <c:pt idx="1">
                  <c:v>296.30000000000007</c:v>
                </c:pt>
                <c:pt idx="2">
                  <c:v>486.49999999999994</c:v>
                </c:pt>
                <c:pt idx="3">
                  <c:v>448.5</c:v>
                </c:pt>
                <c:pt idx="4">
                  <c:v>731.1</c:v>
                </c:pt>
                <c:pt idx="5">
                  <c:v>1011.9</c:v>
                </c:pt>
                <c:pt idx="6">
                  <c:v>1072.8000000000002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234.3</c:v>
                </c:pt>
                <c:pt idx="1">
                  <c:v>261</c:v>
                </c:pt>
                <c:pt idx="2">
                  <c:v>469.7</c:v>
                </c:pt>
                <c:pt idx="3">
                  <c:v>564.1</c:v>
                </c:pt>
                <c:pt idx="4">
                  <c:v>698.3</c:v>
                </c:pt>
                <c:pt idx="5">
                  <c:v>925.2</c:v>
                </c:pt>
                <c:pt idx="6">
                  <c:v>1062.5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93.4</c:v>
                </c:pt>
                <c:pt idx="1">
                  <c:v>106.4</c:v>
                </c:pt>
                <c:pt idx="2">
                  <c:v>152.9</c:v>
                </c:pt>
                <c:pt idx="3">
                  <c:v>124.6</c:v>
                </c:pt>
                <c:pt idx="4">
                  <c:v>92.4</c:v>
                </c:pt>
                <c:pt idx="5">
                  <c:v>127.4</c:v>
                </c:pt>
                <c:pt idx="6">
                  <c:v>158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11.6</c:v>
                </c:pt>
                <c:pt idx="1">
                  <c:v>11.6</c:v>
                </c:pt>
                <c:pt idx="2">
                  <c:v>11.6</c:v>
                </c:pt>
                <c:pt idx="3">
                  <c:v>11.6</c:v>
                </c:pt>
                <c:pt idx="4">
                  <c:v>11.6</c:v>
                </c:pt>
                <c:pt idx="5">
                  <c:v>11.6</c:v>
                </c:pt>
                <c:pt idx="6">
                  <c:v>11.6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25.5</c:v>
                </c:pt>
                <c:pt idx="1">
                  <c:v>24.4</c:v>
                </c:pt>
                <c:pt idx="2">
                  <c:v>31</c:v>
                </c:pt>
                <c:pt idx="3">
                  <c:v>26.7</c:v>
                </c:pt>
                <c:pt idx="4">
                  <c:v>25.1</c:v>
                </c:pt>
                <c:pt idx="5">
                  <c:v>25.1</c:v>
                </c:pt>
                <c:pt idx="6">
                  <c:v>22.3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-2.11</c:v>
                </c:pt>
                <c:pt idx="1">
                  <c:v>-2.24</c:v>
                </c:pt>
                <c:pt idx="2">
                  <c:v>-2.38</c:v>
                </c:pt>
                <c:pt idx="3">
                  <c:v>-2.6</c:v>
                </c:pt>
                <c:pt idx="4">
                  <c:v>-3.53</c:v>
                </c:pt>
                <c:pt idx="5">
                  <c:v>-3.74</c:v>
                </c:pt>
                <c:pt idx="6">
                  <c:v>-3.8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0</c:v>
                </c:pt>
                <c:pt idx="1">
                  <c:v>0</c:v>
                </c:pt>
                <c:pt idx="2">
                  <c:v>0</c:v>
                </c:pt>
                <c:pt idx="3">
                  <c:v>0</c:v>
                </c:pt>
                <c:pt idx="4">
                  <c:v>0</c:v>
                </c:pt>
                <c:pt idx="5">
                  <c:v>0</c:v>
                </c:pt>
                <c:pt idx="6">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0</c:v>
                </c:pt>
                <c:pt idx="1">
                  <c:v>0</c:v>
                </c:pt>
                <c:pt idx="2">
                  <c:v>0</c:v>
                </c:pt>
                <c:pt idx="3">
                  <c:v>0</c:v>
                </c:pt>
                <c:pt idx="4">
                  <c:v>0</c:v>
                </c:pt>
                <c:pt idx="5">
                  <c:v>0</c:v>
                </c:pt>
                <c:pt idx="6">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18.3</c:v>
                </c:pt>
                <c:pt idx="1">
                  <c:v>0</c:v>
                </c:pt>
                <c:pt idx="2">
                  <c:v>0</c:v>
                </c:pt>
                <c:pt idx="3">
                  <c:v>0</c:v>
                </c:pt>
                <c:pt idx="4">
                  <c:v>0</c:v>
                </c:pt>
                <c:pt idx="5">
                  <c:v>0</c:v>
                </c:pt>
                <c:pt idx="6">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7</c:v>
                </c:pt>
                <c:pt idx="1">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Temasek Holdings</c:v>
                </c:pt>
                <c:pt idx="1">
                  <c:v>BlackRock Inc.</c:v>
                </c:pt>
                <c:pt idx="2">
                  <c:v>T. Rowe Price Group</c:v>
                </c:pt>
                <c:pt idx="3">
                  <c:v>Capital Research and Management Company</c:v>
                </c:pt>
                <c:pt idx="4">
                  <c:v>Pieter van der Does (cofundador y co-CEO)</c:v>
                </c:pt>
                <c:pt idx="5">
                  <c:v>Roelant Prins (CCO)</c:v>
                </c:pt>
                <c:pt idx="6">
                  <c:v>Ingo Uytdehaage (co-CEO)</c:v>
                </c:pt>
                <c:pt idx="7">
                  <c:v>WCM Investment Management</c:v>
                </c:pt>
                <c:pt idx="8">
                  <c:v>Goldman Sachs Group</c:v>
                </c:pt>
              </c:strCache>
            </c:strRef>
          </c:cat>
          <c:val>
            <c:numRef>
              <c:f>Hoja1!$B$2:$B$10</c:f>
              <c:numCache>
                <c:formatCode>0.0"%"</c:formatCode>
                <c:ptCount val="9"/>
                <c:pt idx="0">
                  <c:v>6.39</c:v>
                </c:pt>
                <c:pt idx="1">
                  <c:v>4.75</c:v>
                </c:pt>
                <c:pt idx="2">
                  <c:v>4.93</c:v>
                </c:pt>
                <c:pt idx="3">
                  <c:v>5.04</c:v>
                </c:pt>
                <c:pt idx="4">
                  <c:v>2.92</c:v>
                </c:pt>
                <c:pt idx="5">
                  <c:v>0.91</c:v>
                </c:pt>
                <c:pt idx="6">
                  <c:v>0.62</c:v>
                </c:pt>
                <c:pt idx="7">
                  <c:v>2.98</c:v>
                </c:pt>
                <c:pt idx="8">
                  <c:v>2.11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53.9</c:v>
                </c:pt>
                <c:pt idx="1">
                  <c:v>160.6</c:v>
                </c:pt>
                <c:pt idx="2">
                  <c:v>21.3</c:v>
                </c:pt>
                <c:pt idx="3">
                  <c:v>-44.3</c:v>
                </c:pt>
                <c:pt idx="4">
                  <c:v>-9.5</c:v>
                </c:pt>
                <c:pt idx="5">
                  <c:v>23.2</c:v>
                </c:pt>
                <c:pt idx="6">
                  <c:v>-4.3</c:v>
                </c:pt>
              </c:numCache>
            </c:numRef>
          </c:val>
        </c:ser>
        <c:ser>
          <c:idx val="1"/>
          <c:order val="1"/>
          <c:tx>
            <c:strRef>
              <c:f>Hoja1!$C$1</c:f>
              <c:strCache>
                <c:ptCount val="1"/>
                <c:pt idx="0">
                  <c:v>Índice</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28.4</c:v>
                </c:pt>
                <c:pt idx="1">
                  <c:v>-1.8</c:v>
                </c:pt>
                <c:pt idx="2">
                  <c:v>24.6</c:v>
                </c:pt>
                <c:pt idx="3">
                  <c:v>-10.3</c:v>
                </c:pt>
                <c:pt idx="4">
                  <c:v>15.5</c:v>
                </c:pt>
                <c:pt idx="5">
                  <c:v>8.5</c:v>
                </c:pt>
                <c:pt idx="6">
                  <c:v>20.5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1">
                  <c:v>68.3</c:v>
                </c:pt>
                <c:pt idx="2">
                  <c:v>142.9</c:v>
                </c:pt>
                <c:pt idx="3">
                  <c:v>110.2</c:v>
                </c:pt>
                <c:pt idx="4">
                  <c:v>52.3</c:v>
                </c:pt>
                <c:pt idx="5">
                  <c:v>45.4</c:v>
                </c:pt>
                <c:pt idx="6">
                  <c:v>41.5</c:v>
                </c:pt>
                <c:pt idx="7">
                  <c:v>31.1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52.3</c:v>
                </c:pt>
                <c:pt idx="1">
                  <c:v>52.3</c:v>
                </c:pt>
                <c:pt idx="2">
                  <c:v>52.3</c:v>
                </c:pt>
                <c:pt idx="3">
                  <c:v>52.3</c:v>
                </c:pt>
                <c:pt idx="4">
                  <c:v>52.3</c:v>
                </c:pt>
                <c:pt idx="5">
                  <c:v>52.3</c:v>
                </c:pt>
                <c:pt idx="6">
                  <c:v>52.3</c:v>
                </c:pt>
                <c:pt idx="7">
                  <c:v>52.3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Adyen</c:v>
                </c:pt>
                <c:pt idx="1">
                  <c:v>Visa</c:v>
                </c:pt>
                <c:pt idx="2">
                  <c:v>Mastercard</c:v>
                </c:pt>
                <c:pt idx="3">
                  <c:v>PayPal</c:v>
                </c:pt>
                <c:pt idx="4">
                  <c:v>Block</c:v>
                </c:pt>
                <c:pt idx="5">
                  <c:v>Fiserv</c:v>
                </c:pt>
                <c:pt idx="6">
                  <c:v>Global Payments</c:v>
                </c:pt>
                <c:pt idx="7">
                  <c:v>Nexi</c:v>
                </c:pt>
                <c:pt idx="8">
                  <c:v>Worldline</c:v>
                </c:pt>
              </c:strCache>
            </c:strRef>
          </c:cat>
          <c:val>
            <c:numRef>
              <c:f>Hoja1!$B$2:$B$10</c:f>
              <c:numCache>
                <c:formatCode>0.0"x"</c:formatCode>
                <c:ptCount val="9"/>
                <c:pt idx="0">
                  <c:v>12.8</c:v>
                </c:pt>
                <c:pt idx="1">
                  <c:v>19.8</c:v>
                </c:pt>
                <c:pt idx="2">
                  <c:v>20.4</c:v>
                </c:pt>
                <c:pt idx="3">
                  <c:v>7.5</c:v>
                </c:pt>
                <c:pt idx="4">
                  <c:v>8.6</c:v>
                </c:pt>
                <c:pt idx="5">
                  <c:v>6.2</c:v>
                </c:pt>
                <c:pt idx="6">
                  <c:v>6.5</c:v>
                </c:pt>
                <c:pt idx="7">
                  <c:v>4.7</c:v>
                </c:pt>
                <c:pt idx="8">
                  <c:v>3.8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Adyen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22.8</c:v>
                </c:pt>
              </c:numCache>
            </c:numRef>
          </c:xVal>
          <c:yVal>
            <c:numRef>
              <c:f>Hoja1!$C$2</c:f>
              <c:numCache>
                <c:formatCode>0.0"x"</c:formatCode>
                <c:ptCount val="1"/>
                <c:pt idx="0">
                  <c:v>12.8</c:v>
                </c:pt>
              </c:numCache>
            </c:numRef>
          </c:yVal>
          <c:smooth val="0"/>
        </c:ser>
        <c:ser>
          <c:idx val="1"/>
          <c:order val="1"/>
          <c:tx>
            <c:strRef>
              <c:f>Hoja1!$A$3</c:f>
              <c:strCache>
                <c:ptCount val="1"/>
                <c:pt idx="0">
                  <c:v>Visa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12.3</c:v>
                </c:pt>
              </c:numCache>
            </c:numRef>
          </c:xVal>
          <c:yVal>
            <c:numRef>
              <c:f>Hoja1!$C$3</c:f>
              <c:numCache>
                <c:formatCode>0.0"x"</c:formatCode>
                <c:ptCount val="1"/>
                <c:pt idx="0">
                  <c:v>19.8</c:v>
                </c:pt>
              </c:numCache>
            </c:numRef>
          </c:yVal>
          <c:smooth val="0"/>
        </c:ser>
        <c:ser>
          <c:idx val="2"/>
          <c:order val="2"/>
          <c:tx>
            <c:strRef>
              <c:f>Hoja1!$A$4</c:f>
              <c:strCache>
                <c:ptCount val="1"/>
                <c:pt idx="0">
                  <c:v>Mastercard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13.3</c:v>
                </c:pt>
              </c:numCache>
            </c:numRef>
          </c:xVal>
          <c:yVal>
            <c:numRef>
              <c:f>Hoja1!$C$4</c:f>
              <c:numCache>
                <c:formatCode>0.0"x"</c:formatCode>
                <c:ptCount val="1"/>
                <c:pt idx="0">
                  <c:v>20.4</c:v>
                </c:pt>
              </c:numCache>
            </c:numRef>
          </c:yVal>
          <c:smooth val="0"/>
        </c:ser>
        <c:ser>
          <c:idx val="3"/>
          <c:order val="3"/>
          <c:tx>
            <c:strRef>
              <c:f>Hoja1!$A$5</c:f>
              <c:strCache>
                <c:ptCount val="1"/>
                <c:pt idx="0">
                  <c:v>PayPal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4.5</c:v>
                </c:pt>
              </c:numCache>
            </c:numRef>
          </c:xVal>
          <c:yVal>
            <c:numRef>
              <c:f>Hoja1!$C$5</c:f>
              <c:numCache>
                <c:formatCode>0.0"x"</c:formatCode>
                <c:ptCount val="1"/>
                <c:pt idx="0">
                  <c:v>7.5</c:v>
                </c:pt>
              </c:numCache>
            </c:numRef>
          </c:yVal>
          <c:smooth val="0"/>
        </c:ser>
        <c:ser>
          <c:idx val="4"/>
          <c:order val="4"/>
          <c:tx>
            <c:strRef>
              <c:f>Hoja1!$A$6</c:f>
              <c:strCache>
                <c:ptCount val="1"/>
                <c:pt idx="0">
                  <c:v>Block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10.2</c:v>
                </c:pt>
              </c:numCache>
            </c:numRef>
          </c:xVal>
          <c:yVal>
            <c:numRef>
              <c:f>Hoja1!$C$6</c:f>
              <c:numCache>
                <c:formatCode>0.0"x"</c:formatCode>
                <c:ptCount val="1"/>
                <c:pt idx="0">
                  <c:v>8.6</c:v>
                </c:pt>
              </c:numCache>
            </c:numRef>
          </c:yVal>
          <c:smooth val="0"/>
        </c:ser>
        <c:ser>
          <c:idx val="5"/>
          <c:order val="5"/>
          <c:tx>
            <c:strRef>
              <c:f>Hoja1!$A$7</c:f>
              <c:strCache>
                <c:ptCount val="1"/>
                <c:pt idx="0">
                  <c:v>Fiserv</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1.7</c:v>
                </c:pt>
              </c:numCache>
            </c:numRef>
          </c:xVal>
          <c:yVal>
            <c:numRef>
              <c:f>Hoja1!$C$7</c:f>
              <c:numCache>
                <c:formatCode>0.0"x"</c:formatCode>
                <c:ptCount val="1"/>
                <c:pt idx="0">
                  <c:v>6.2</c:v>
                </c:pt>
              </c:numCache>
            </c:numRef>
          </c:yVal>
          <c:smooth val="0"/>
        </c:ser>
        <c:ser>
          <c:idx val="6"/>
          <c:order val="6"/>
          <c:tx>
            <c:strRef>
              <c:f>Hoja1!$A$8</c:f>
              <c:strCache>
                <c:ptCount val="1"/>
                <c:pt idx="0">
                  <c:v>Nexi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2.1</c:v>
                </c:pt>
              </c:numCache>
            </c:numRef>
          </c:xVal>
          <c:yVal>
            <c:numRef>
              <c:f>Hoja1!$C$8</c:f>
              <c:numCache>
                <c:formatCode>0.0"x"</c:formatCode>
                <c:ptCount val="1"/>
                <c:pt idx="0">
                  <c:v>4.7</c:v>
                </c:pt>
              </c:numCache>
            </c:numRef>
          </c:yVal>
          <c:smooth val="0"/>
        </c:ser>
        <c:ser>
          <c:idx val="7"/>
          <c:order val="7"/>
          <c:tx>
            <c:strRef>
              <c:f>Hoja1!$A$9</c:f>
              <c:strCache>
                <c:ptCount val="1"/>
                <c:pt idx="0">
                  <c:v>Worldline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-3.4</c:v>
                </c:pt>
              </c:numCache>
            </c:numRef>
          </c:xVal>
          <c:yVal>
            <c:numRef>
              <c:f>Hoja1!$C$9</c:f>
              <c:numCache>
                <c:formatCode>0.0"x"</c:formatCode>
                <c:ptCount val="1"/>
                <c:pt idx="0">
                  <c:v>3.8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First Data</c:v>
                </c:pt>
                <c:pt idx="1">
                  <c:v>Worldpay (Vantiv)</c:v>
                </c:pt>
                <c:pt idx="2">
                  <c:v>TSYS</c:v>
                </c:pt>
                <c:pt idx="3">
                  <c:v>Nets</c:v>
                </c:pt>
                <c:pt idx="4">
                  <c:v>Worldpay</c:v>
                </c:pt>
                <c:pt idx="5">
                  <c:v>Issuer Solutions (de Global Payments)</c:v>
                </c:pt>
              </c:strCache>
            </c:strRef>
          </c:cat>
          <c:val>
            <c:numRef>
              <c:f>Hoja1!$B$2:$B$7</c:f>
              <c:numCache>
                <c:formatCode>0.0"x"</c:formatCode>
                <c:ptCount val="6"/>
                <c:pt idx="3">
                  <c:v>20</c:v>
                </c:pt>
                <c:pt idx="4">
                  <c:v>8.5</c:v>
                </c:pt>
                <c:pt idx="5">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884</c:v>
                </c:pt>
                <c:pt idx="1">
                  <c:v>1174</c:v>
                </c:pt>
                <c:pt idx="2">
                  <c:v>1471</c:v>
                </c:pt>
                <c:pt idx="3">
                  <c:v>1740</c:v>
                </c:pt>
                <c:pt idx="4">
                  <c:v>2033</c:v>
                </c:pt>
                <c:pt idx="5">
                  <c:v>2297</c:v>
                </c:pt>
                <c:pt idx="6">
                  <c:v>2565</c:v>
                </c:pt>
                <c:pt idx="7">
                  <c:v>2796</c:v>
                </c:pt>
                <c:pt idx="8">
                  <c:v>3000</c:v>
                </c:pt>
                <c:pt idx="9">
                  <c:v>3151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11678</c:v>
                </c:pt>
                <c:pt idx="1">
                  <c:v>12785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886,10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659.05</c:v>
                </c:pt>
                <c:pt idx="1">
                  <c:v>939.87</c:v>
                </c:pt>
                <c:pt idx="2">
                  <c:v>1136.19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886,10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(772,40 – 1.600,80)</c:v>
                </c:pt>
                <c:pt idx="1">
                  <c:v>Precio objetivo de los analistas (887,00 – 1.900,00)</c:v>
                </c:pt>
                <c:pt idx="2">
                  <c:v>Comparables: EV/EBITDA NTM (495,25 – 808,52)</c:v>
                </c:pt>
                <c:pt idx="3">
                  <c:v>Comparables: PER NTM (493,09 – 1.130,28)</c:v>
                </c:pt>
                <c:pt idx="4">
                  <c:v>Transacciones precedentes (EV/EBITDA) (610,84 – 855,72)</c:v>
                </c:pt>
                <c:pt idx="5">
                  <c:v>DCF (WACC y g ± 0,5) (876,09 – 1.018,72)</c:v>
                </c:pt>
                <c:pt idx="6">
                  <c:v>Escenarios (bajista – alcista) (659,05 – 1.136,19)</c:v>
                </c:pt>
                <c:pt idx="7">
                  <c:v>DCF con la prima implícita del mercado (4,2 %)</c:v>
                </c:pt>
                <c:pt idx="8">
                  <c:v>Precio actual (886,10)</c:v>
                </c:pt>
              </c:strCache>
            </c:strRef>
          </c:cat>
          <c:val>
            <c:numRef>
              <c:f>Hoja1!$B$2:$B$10</c:f>
              <c:numCache>
                <c:formatCode>#,##0</c:formatCode>
                <c:ptCount val="9"/>
                <c:pt idx="0">
                  <c:v>772.4</c:v>
                </c:pt>
                <c:pt idx="1">
                  <c:v>887</c:v>
                </c:pt>
                <c:pt idx="2">
                  <c:v>495.25</c:v>
                </c:pt>
                <c:pt idx="3">
                  <c:v>493.09</c:v>
                </c:pt>
                <c:pt idx="4">
                  <c:v>610.84</c:v>
                </c:pt>
                <c:pt idx="5">
                  <c:v>876.09</c:v>
                </c:pt>
                <c:pt idx="6">
                  <c:v>659.05</c:v>
                </c:pt>
                <c:pt idx="7">
                  <c:v>1097.02</c:v>
                </c:pt>
                <c:pt idx="8">
                  <c:v>881.67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(772,40 – 1.600,80)</c:v>
                </c:pt>
                <c:pt idx="1">
                  <c:v>Precio objetivo de los analistas (887,00 – 1.900,00)</c:v>
                </c:pt>
                <c:pt idx="2">
                  <c:v>Comparables: EV/EBITDA NTM (495,25 – 808,52)</c:v>
                </c:pt>
                <c:pt idx="3">
                  <c:v>Comparables: PER NTM (493,09 – 1.130,28)</c:v>
                </c:pt>
                <c:pt idx="4">
                  <c:v>Transacciones precedentes (EV/EBITDA) (610,84 – 855,72)</c:v>
                </c:pt>
                <c:pt idx="5">
                  <c:v>DCF (WACC y g ± 0,5) (876,09 – 1.018,72)</c:v>
                </c:pt>
                <c:pt idx="6">
                  <c:v>Escenarios (bajista – alcista) (659,05 – 1.136,19)</c:v>
                </c:pt>
                <c:pt idx="7">
                  <c:v>DCF con la prima implícita del mercado (4,2 %)</c:v>
                </c:pt>
                <c:pt idx="8">
                  <c:v>Precio actual (886,10)</c:v>
                </c:pt>
              </c:strCache>
            </c:strRef>
          </c:cat>
          <c:val>
            <c:numRef>
              <c:f>Hoja1!$C$2:$C$10</c:f>
              <c:numCache>
                <c:formatCode>#,##0</c:formatCode>
                <c:ptCount val="9"/>
                <c:pt idx="0">
                  <c:v>828.4</c:v>
                </c:pt>
                <c:pt idx="1">
                  <c:v>1013</c:v>
                </c:pt>
                <c:pt idx="2">
                  <c:v>313.27</c:v>
                </c:pt>
                <c:pt idx="3">
                  <c:v>637.19</c:v>
                </c:pt>
                <c:pt idx="4">
                  <c:v>244.88</c:v>
                </c:pt>
                <c:pt idx="5">
                  <c:v>142.63</c:v>
                </c:pt>
                <c:pt idx="6">
                  <c:v>477.1400000000001</c:v>
                </c:pt>
                <c:pt idx="7">
                  <c:v>151.5999999999999</c:v>
                </c:pt>
                <c:pt idx="8">
                  <c:v>8.860000000000014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