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Banco Santander (Brasil) S.A.</w:t>
      </w:r>
    </w:p>
    <w:p>
      <w:pPr>
        <w:spacing w:after="60"/>
        <w:rPr>
          <w:color w:val="52514E"/>
          <w:sz w:val="22"/>
          <w:szCs w:val="22"/>
        </w:rPr>
      </w:pPr>
      <w:r>
        <w:rPr>
          <w:color w:val="52514E"/>
          <w:sz w:val="22"/>
          <w:szCs w:val="22"/>
        </w:rPr>
        <w:t xml:space="preserve">SANB11 · B3 (unit SANB11 = 1 ON + 1 PN); también ADR BSBR en la NYSE (1 ADR = 1 unit) · ISIN BRSANBCDAM13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BRL</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26,30 BRL</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31,95 BRL</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+29,2 % (base +30,2 %)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17,76 BRL · mercado 17,76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98.467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Banco Santander (Brasil)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SANB11 / BRSANBCDAM13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 (unit SANB11 = 1 ON + 1 PN); también ADR BSBR en la NYSE (1 ADR = 1 unit)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Ibovespa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Banks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São Paulo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https://www.santander.com.br/ri/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26,30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25,18 – 37,83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98.467 M BRL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98.467 M BRL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BRL/día en SANB11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31,95 BRL</w:t>
      </w:r>
      <w:r>
        <w:t xml:space="preserve"> frente a 26,30 · Rentabilidad a 12 meses </w:t>
      </w:r>
      <w:r>
        <w:rPr>
          <w:b/>
          <w:bCs/>
        </w:rPr>
        <w:t xml:space="preserve">+29,2 % (base +30,2 %)</w:t>
      </w:r>
      <w:r>
        <w:t xml:space="preserve"> · Valor intrínseco 17,76 BRL · con la prima implícita del mercado: 17,76 (-32,5 %) · Alcista / bajista -2,7 % / -48,1 %</w:t>
      </w:r>
    </w:p>
    <w:p>
      <w:pPr>
        <w:spacing w:after="100"/>
      </w:pPr>
      <w:r>
        <w:rPr>
          <w:b/>
        </w:rPr>
        <w:t xml:space="preserve">La recomendación y por qué.</w:t>
      </w:r>
      <w:r>
        <w:t xml:space="preserve"> Mantener con convicción baja según la regla a 12 meses, pero el método no da una señal fiable: desde el 30-jul el precio lo fija la oferta de canje de Banco Santander (0,40 acciones de la matriz por unit, 26,9-27,4 BRL el 26-oct), no el beneficio. La regla (v3, BPA recurrente) da un objetivo de 31,95 BRL, un +29,2 % ponderado y un +30,2 % en el base con el dividendo, pero falla la tercera condición: el valor intrínseco del modelo de exceso de rentabilidad es de 17,76 BRL, un 32,5 % por debajo del precio de 26,30 BRL (cierre del 26-oct-2026). Y la calidad tampoco pasa. El motor sugiere convicción media; la bajamos por la oferta.</w:t>
      </w:r>
    </w:p>
    <w:p>
      <w:pPr>
        <w:spacing w:after="100"/>
      </w:pPr>
      <w:r>
        <w:rPr>
          <w:b/>
        </w:rPr>
        <w:t xml:space="preserve">El negocio.</w:t>
      </w:r>
      <w:r>
        <w:t xml:space="preserve"> Tercer banco privado de Brasil, en mal momento: ROE recurrente del 12,5 % en el 2T26 (17,3 % en 2025), coste del crédito del 3,81 % de la cartera, morosidad a más de 90 días del 3,3 % (2,6 % un año antes), eficiencia del 39,3 % y CET1 del 11,2 % [1]. La calidad, medida como ROE − Ke, falla de lleno: con un Ke en reales del 20,94 % (bono a 10 años 15,435 % + 1,0 × 5,5 %), el exceso es de −3,6 puntos en 2025 y de −6,6 en el 1S26; ni con el bono de antes de las elecciones llega a cero. No es comprable en ningún nivel. Sostenibilidad: «En parte»; el crecimiento se financia, pero con este Ke crecer destruye valor.</w:t>
      </w:r>
    </w:p>
    <w:p>
      <w:pPr>
        <w:spacing w:after="100"/>
      </w:pPr>
      <w:r>
        <w:rPr>
          <w:b/>
        </w:rPr>
        <w:t xml:space="preserve">Valoración.</w:t>
      </w:r>
      <w:r>
        <w:t xml:space="preserve"> El modelo de exceso de rentabilidad da 18,05 BRL en el base (13,48 bajista, 21,47 alcista) y el P/VC justificado 0,69 veces (17,78 BRL), frente a 1,02 veces en bolsa. El DCF adaptado cuadra (20,36). El precio pide un Ke del 16,4 %, igual a la tasa libre sin prima de riesgo: lo sostiene la oferta, no el negocio.</w:t>
      </w:r>
    </w:p>
    <w:p>
      <w:pPr>
        <w:spacing w:after="100"/>
      </w:pPr>
      <w:r>
        <w:rPr>
          <w:b/>
        </w:rPr>
        <w:t xml:space="preserve">El efecto Lula.</w:t>
      </w:r>
      <w:r>
        <w:t xml:space="preserve"> La reelección del 25-oct hundió la banca brasileña el 26-oct (Itaú −13 %, Bradesco ≈ −21 %) y subió el bono a 10 años 2,46 puntos [23, 25], pero SANB11 cayó solo un 4,5 %: el real se depreció frente al euro y eso subió el valor en reales de la contraprestación, que compensó la caída de Banco Santander en Madrid (−3,1 %). La subida del Ke quita un 17 % al valor intrínseco (21,76 → 18,05 BRL en el base).</w:t>
      </w:r>
    </w:p>
    <w:p>
      <w:pPr>
        <w:spacing w:after="100"/>
      </w:pPr>
      <w:r>
        <w:rPr>
          <w:b/>
        </w:rPr>
        <w:t xml:space="preserve">Riesgos y catalizadores.</w:t>
      </w:r>
      <w:r>
        <w:t xml:space="preserve"> El mayor riesgo para el minoritario es quedarse fuera de la oferta con una acción poco líquida y quizá sin ADR [17]. Después, el ciclo de crédito (bajista −20 % a 12 meses) y la Selic alta en un balance pasivo-sensible. Catalizadores: el 3T26 el 28-oct, el marco fiscal del nuevo Gobierno y el cierre de la oferta en el 1S27.</w:t>
      </w:r>
    </w:p>
    <w:p>
      <w:pPr>
        <w:spacing w:after="100"/>
      </w:pPr>
      <w:r>
        <w:rPr>
          <w:b/>
        </w:rPr>
        <w:t xml:space="preserve">Qué cambiaría la decisión.</w:t>
      </w:r>
      <w:r>
        <w:t xml:space="preserve"> La regla daría Vender por encima de 37,77 BRL (ponderada ≤ −10 %), lejos del valor de canje. Comprar exigiría un precio por debajo de 17,76 BRL y un ROE − Ke de al menos 4,5 puntos (un ROE recurrente por encima del 25 % con el Ke de hoy): no ocurrirá a 12 meses. Para quien tenga la unit, la decisión práctica no es de este método sino de la oferta: acudir equivale a cambiarla por acciones de Banco Santander, una tesis distinta que este informe no analiza.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31,95 BRL</w:t>
      </w:r>
      <w:r>
        <w:t xml:space="preserve"> (rentabilidad +29,2 % (base +30,2 %)) · Valor intrínseco: 17,76 BRL (-32,5 % sobre 26,30) · con la prima implícita del mercado: 17,76 (-32,5 %)</w:t>
      </w:r>
    </w:p>
    <w:p>
      <w:pPr>
        <w:spacing w:after="100"/>
      </w:pPr>
      <w:r>
        <w:t xml:space="preserve">Santander Brasil es un banco grande que hoy no cubre su coste del capital en reales: ROE recurrente del 12,5 % en el 2T26 frente a un Ke del 20,9 % [1, 33]. La morosidad y el coste del crédito suben y el balance sufre con la Selic alta.</w:t>
      </w:r>
    </w:p>
    <w:p>
      <w:pPr>
        <w:spacing w:after="100"/>
      </w:pPr>
      <w:r>
        <w:t xml:space="preserve">El precio (26,30 BRL, 1,02 veces su valor contable) no lo fija el negocio sino la oferta de canje de la matriz, que tiene el 89,53 % y ofrece 0,40 acciones de Banco Santander por unit (26,9-27,4 BRL el 26-oct) [16, 33]. Sin la oferta, el valor del negocio estaría en ≈ 18 BRL.</w:t>
      </w:r>
    </w:p>
    <w:p>
      <w:pPr>
        <w:spacing w:after="100"/>
      </w:pPr>
      <w:r>
        <w:t xml:space="preserve">En esta situación no hay tesis value: la unit es, hasta el cierre de la oferta (1S27), un derivado de la acción de Banco Santander por el tipo de cambio euro/real.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 × 3,31 = 18,87 · 7,4x × 4,35 = 32,19 · 9,0x × 4,95 = 44,55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 / 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31,18 (nuestro base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frente a 20,9 % y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(5,9 % anual proyectado; financiable al ROIC actual: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17,76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17,76 y 37,77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37,77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37,77 BRL: Vender (ponderada a 12 meses ≤ −10 %).</w:t>
      </w:r>
    </w:p>
    <w:p>
      <w:pPr>
        <w:pStyle w:val="ListParagraph"/>
        <w:numPr>
          <w:ilvl w:val="0"/>
          <w:numId w:val="2"/>
        </w:numPr>
        <w:spacing w:after="60"/>
      </w:pPr>
      <w:r>
        <w:t xml:space="preserve">Retirada o fracaso de la oferta: rehacer el análisis; el precio iría hacia el valor del negocio.</w:t>
      </w:r>
    </w:p>
    <w:p>
      <w:pPr>
        <w:pStyle w:val="ListParagraph"/>
        <w:numPr>
          <w:ilvl w:val="0"/>
          <w:numId w:val="2"/>
        </w:numPr>
        <w:spacing w:after="60"/>
      </w:pPr>
      <w:r>
        <w:t xml:space="preserve">Precio por debajo de 17,76 BRL y ROE − Ke ≥ 4,5 a la vez: Comprar (no ocurrirá a 12 meses).</w:t>
      </w:r>
    </w:p>
    <w:p>
      <w:pPr>
        <w:pStyle w:val="ListParagraph"/>
        <w:numPr>
          <w:ilvl w:val="0"/>
          <w:numId w:val="2"/>
        </w:numPr>
        <w:spacing w:after="60"/>
      </w:pPr>
      <w:r>
        <w:t xml:space="preserve">Coste del crédito por encima del 4,2 % en el 3T26 o el 4T26: revisar el BPA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oferta se cierra: la unit cotiza un 2-4 % por debajo del valor de canje, el descuento normal por plazo y riesgo; los analistas, casi todos en mantener, ponen un objetivo medio de 31,18 BRL [22].</w:t>
      </w:r>
    </w:p>
    <w:p>
      <w:pPr>
        <w:keepNext/>
        <w:spacing w:after="100"/>
      </w:pPr>
      <w:r>
        <w:rPr>
          <w:b/>
          <w:bCs/>
        </w:rPr>
        <w:t xml:space="preserve">Lo que creemos nosotros.</w:t>
      </w:r>
    </w:p>
    <w:p>
      <w:pPr>
        <w:spacing w:after="100"/>
      </w:pPr>
      <w:r>
        <w:t xml:space="preserve">El negocio vale menos que la oferta (17,76 BRL de valor intrínseco frente a 26,9-27,4 de canje): la oferta es generosa para el minoritario con el Ke de hoy, y quedarse fuera tiene más riesgo que acudir.</w:t>
      </w:r>
    </w:p>
    <w:p>
      <w:pPr>
        <w:keepNext/>
        <w:spacing w:after="100"/>
      </w:pPr>
      <w:r>
        <w:rPr>
          <w:b/>
          <w:bCs/>
        </w:rPr>
        <w:t xml:space="preserve">Por qué podemos tener razón.</w:t>
      </w:r>
    </w:p>
    <w:p>
      <w:pPr>
        <w:spacing w:after="100"/>
      </w:pPr>
      <w:r>
        <w:t xml:space="preserve">Con un ROE del 12,5-17 % y un Ke del 21 %, el banco destruye valor; el mercado lo pagaría por debajo de su valor contable, como a Bradesco o Banco do Brasil (0,55-0,86 veces) [13].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BRL) · precio actual 2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pStyle w:val="Heading2"/>
      </w:pPr>
      <w:r>
        <w:t xml:space="preserve">A favor</w:t>
      </w:r>
    </w:p>
    <w:p>
      <w:pPr>
        <w:pStyle w:val="ListParagraph"/>
        <w:numPr>
          <w:ilvl w:val="0"/>
          <w:numId w:val="2"/>
        </w:numPr>
        <w:spacing w:after="60"/>
      </w:pPr>
      <w:r>
        <w:rPr>
          <w:b/>
        </w:rPr>
        <w:t xml:space="preserve">Oferta de canje de la matriz</w:t>
      </w:r>
      <w:r>
        <w:t xml:space="preserve"> que sostiene el precio: 0,40 acciones de Banco Santander por unit.</w:t>
      </w:r>
    </w:p>
    <w:p>
      <w:pPr>
        <w:pStyle w:val="ListParagraph"/>
        <w:numPr>
          <w:ilvl w:val="0"/>
          <w:numId w:val="2"/>
        </w:numPr>
        <w:spacing w:after="60"/>
      </w:pPr>
      <w:r>
        <w:rPr>
          <w:b/>
        </w:rPr>
        <w:t xml:space="preserve">Dividendo alto</w:t>
      </w:r>
      <w:r>
        <w:t xml:space="preserve">: 7,8 % con el reparto de 2025.</w:t>
      </w:r>
    </w:p>
    <w:p>
      <w:pPr>
        <w:pStyle w:val="ListParagraph"/>
        <w:numPr>
          <w:ilvl w:val="0"/>
          <w:numId w:val="2"/>
        </w:numPr>
        <w:spacing w:after="60"/>
      </w:pPr>
      <w:r>
        <w:rPr>
          <w:b/>
        </w:rPr>
        <w:t xml:space="preserve">PER de 6,7 veces</w:t>
      </w:r>
      <w:r>
        <w:t xml:space="preserve"> el BPA de 2027e.</w:t>
      </w:r>
    </w:p>
    <w:p>
      <w:pPr>
        <w:pStyle w:val="ListParagraph"/>
        <w:numPr>
          <w:ilvl w:val="0"/>
          <w:numId w:val="2"/>
        </w:numPr>
        <w:spacing w:after="60"/>
      </w:pPr>
      <w:r>
        <w:rPr>
          <w:b/>
        </w:rPr>
        <w:t xml:space="preserve">Nuevo equipo directivo</w:t>
      </w:r>
      <w:r>
        <w:t xml:space="preserve"> (consejero delegado desde el 2S26).</w:t>
      </w:r>
    </w:p>
    <w:p>
      <w:pPr>
        <w:pStyle w:val="Heading2"/>
      </w:pPr>
      <w:r>
        <w:t xml:space="preserve">En contra</w:t>
      </w:r>
    </w:p>
    <w:p>
      <w:pPr>
        <w:pStyle w:val="ListParagraph"/>
        <w:numPr>
          <w:ilvl w:val="0"/>
          <w:numId w:val="2"/>
        </w:numPr>
        <w:spacing w:after="60"/>
      </w:pPr>
      <w:r>
        <w:rPr>
          <w:b/>
        </w:rPr>
        <w:t xml:space="preserve">ROE − Ke de −3,6 a −6,6 puntos</w:t>
      </w:r>
      <w:r>
        <w:t xml:space="preserve"> con el Ke en reales del 20,94 %: muy lejos del suelo de 4,5.</w:t>
      </w:r>
    </w:p>
    <w:p>
      <w:pPr>
        <w:pStyle w:val="ListParagraph"/>
        <w:numPr>
          <w:ilvl w:val="0"/>
          <w:numId w:val="2"/>
        </w:numPr>
        <w:spacing w:after="60"/>
      </w:pPr>
      <w:r>
        <w:rPr>
          <w:b/>
        </w:rPr>
        <w:t xml:space="preserve">Valor intrínseco de 17,76 BRL</w:t>
      </w:r>
      <w:r>
        <w:t xml:space="preserve">, un 32,5 % por debajo del precio.</w:t>
      </w:r>
    </w:p>
    <w:p>
      <w:pPr>
        <w:pStyle w:val="ListParagraph"/>
        <w:numPr>
          <w:ilvl w:val="0"/>
          <w:numId w:val="2"/>
        </w:numPr>
        <w:spacing w:after="60"/>
      </w:pPr>
      <w:r>
        <w:rPr>
          <w:b/>
        </w:rPr>
        <w:t xml:space="preserve">Morosidad del 3,3 %</w:t>
      </w:r>
      <w:r>
        <w:t xml:space="preserve"> y coste del crédito del 3,81 %, subiendo.</w:t>
      </w:r>
    </w:p>
    <w:p>
      <w:pPr>
        <w:pStyle w:val="ListParagraph"/>
        <w:numPr>
          <w:ilvl w:val="0"/>
          <w:numId w:val="2"/>
        </w:numPr>
        <w:spacing w:after="60"/>
      </w:pPr>
      <w:r>
        <w:rPr>
          <w:b/>
        </w:rPr>
        <w:t xml:space="preserve">Balance pasivo-sensible</w:t>
      </w:r>
      <w:r>
        <w:t xml:space="preserve">: la Selic alta tras las elecciones le resta margen.</w:t>
      </w:r>
    </w:p>
    <w:p>
      <w:pPr>
        <w:pStyle w:val="ListParagraph"/>
        <w:numPr>
          <w:ilvl w:val="0"/>
          <w:numId w:val="2"/>
        </w:numPr>
        <w:spacing w:after="60"/>
      </w:pPr>
      <w:r>
        <w:rPr>
          <w:b/>
        </w:rPr>
        <w:t xml:space="preserve">Minoritario en desventaja</w:t>
      </w:r>
      <w:r>
        <w:t xml:space="preserve">: tras la oferta, menos liquidez y posible salida del ADR.</w:t>
      </w:r>
    </w:p>
    <w:p>
      <w:pPr>
        <w:pStyle w:val="Heading2"/>
      </w:pPr>
      <w:r>
        <w:t xml:space="preserve">Qué tiene que pasar para que la tesis funcione</w:t>
      </w:r>
    </w:p>
    <w:p>
      <w:pPr>
        <w:spacing w:after="100"/>
      </w:pPr>
      <w:r>
        <w:t xml:space="preserve">La oferta: el valor de canje (ratio × Banco Santander × EUR/BRL) y el calendario de la subasta. En el banco, el coste del crédito del 3T26 (28-oct): por encima del 4 % de la cartera, el ROE se queda en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canje por unit (ratio × SAN × EUR/BRL)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 BRL (26-oct-2026)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Descuento de la unit &gt;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que el mercado ve en la oferta.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el banco gana sobre su 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 sobre cartera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a más de 90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crédito.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brasileño a 10 años (BRL)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15,435 % (26-oct-2026)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13 % o &gt;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Ke.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Banco Santander, S.A. entró en Brasil en 1982 y creció por compras: Banco Geral do Comércio y Noroeste (1997), Meridional (1998), Banespa (2000, privatización) y, en 2008, Banco Real (parte del reparto de ABN AMRO), cuyo fondo de comercio sigue en el balance NIIF [4]. Salió a bolsa en octubre de 2009 (units en B3 y ADR en la NYSE, a 23,50 BRL por unit) [4]. En 2014 la matriz hizo una oferta de canje por acciones propias y pasó del 75 % al 88,3 %; las units salieron del Nivel 2 de B3 al segmento básico [4]. En 2021 escindió Getnet (adquirencia) [4]. Sergio Rial (2016-2021) llevó el ROE al 21 %; Mario Leão (2022-jul-2026) gestionó la caída de 2022-2023 y la vuelta al 17 %; desde el 2S26 el consejero delegado es Gilson Finkelsztain, que venía de presidir B3 [4, 15]. El 30-jul-2026 la matriz anunció una segunda oferta de canje por el ≈ 10 % restante.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abre en Brasil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Banespa en la privatización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Banco Real (ABN AMRO): origen del fondo de comercio NIIF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B3 y NYSE (units y ADR)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oferta de canje de la matriz: del 75 % al 88,3 % del capital; salida del Nivel 2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Getnet; ROAE récord del 21,2 %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recurrente de ≈ 9.240 M (mínimo del ciclo) por la morosidad de particulares y Americanas.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Gilson Finkelsztain, consejero delegado; ROAE del 12,5 % en el 2T26; oferta de canje de la matriz (30-jul) [1, 15].</w:t>
            </w:r>
          </w:p>
        </w:tc>
      </w:tr>
    </w:tbl>
    <w:p>
      <w:pPr>
        <w:spacing w:after="160" w:before="0"/>
      </w:pPr>
    </w:p>
    <w:p>
      <w:pPr>
        <w:pStyle w:val="Heading1"/>
      </w:pPr>
      <w:r>
        <w:t xml:space="preserve">2. Modelo de negocio</w:t>
      </w:r>
    </w:p>
    <w:p>
      <w:pPr>
        <w:spacing w:after="100"/>
      </w:pPr>
      <w:r>
        <w:t xml:space="preserve">Tercer banco privado de Brasil por activos (1,29 billones BRL a jun-2026) y filial de Banco Santander, S.A. (89,53 %) [1, 4]. Cartera ampliada de 714.769 M: particulares 263.424 M (tarjetas 65.198 M, vivienda 77.214 M, consignado 56.131 M), financiación al consumo 100.766 M (sobre todo vehículos, con el 20 % de cuota), pymes 95.957 M y grandes empresas 254.623 M (con avales y títulos privados) [1]. 76,2 M de clientes (34,4 M activos), 47.327 empleados (−6.591 en un año), 858 oficinas y 731 puntos de atención [1].</w:t>
      </w:r>
    </w:p>
    <w:p>
      <w:pPr>
        <w:pStyle w:val="Heading2"/>
      </w:pPr>
      <w:r>
        <w:t xml:space="preserve">Cómo gana dinero</w:t>
      </w:r>
    </w:p>
    <w:p>
      <w:pPr>
        <w:spacing w:after="100"/>
      </w:pPr>
      <w:r>
        <w:t xml:space="preserve">De una receita total de 20.675 M en el 2T26, el 74 % es margen financiero (15.341 M: 16.058 M con clientes, con un diferencial del 10,03 % sobre 627.000 M de volumen medio, y −718 M con el mercado) y el 26 % comisiones (5.334 M: tarjetas 1.638 M, seguros 1.063 M, cuentas 825 M) [1]. De ahí salen el coste del crédito (7.654 M, el 37 % de la receita total), los gastos (6.578 M; eficiencia del 39,3 %), impuestos sobre ingresos (1.453 M) y otros gastos operativos (2.534 M, con 1.199 M de contingencias) [1]. Es pasivo-sensible: el margen con el mercado sufre con la Selic alta, y el coste del crédito también sube con ella [1].</w:t>
      </w:r>
    </w:p>
    <w:p>
      <w:pPr>
        <w:pStyle w:val="Heading2"/>
      </w:pPr>
      <w:r>
        <w:t xml:space="preserve">Segmentos (2T26)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Pessoa física (particulares)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Financiamento ao consumo (financiera)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Pequenas e médias empresas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Grandes empresas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254.623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T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2T25</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1T26</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2T26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Pessoa física (particulares)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Financiamento ao consumo (financiera)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Pequenas e médias empresas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Grandes empresas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dispersa: los 100 mayores deudores son el 17,5 % de la exposición y el mayor, el 0,8 % [1]. Poder de precio limitado: el diferencial baja (10,55 % → 10,03 % en un año) al salir del segmento masivo, y el ROE (12,5 %) queda por debajo de Itaú (≈ 24 %) y de BTG (≈ 26 %); compite con Itaú, Bradesco, Banco do Brasil, Caixa y los digitales (Nubank, Inter) [1,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crédito ampliada (miles de millones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cambiario, +6,3 %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ROAE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 en el 1T26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&gt; 90 días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5,3 %; pymes 5,3 %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 puntos en el trimestre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de la cartera (spread)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segmento masivo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eficiencia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+2,6 %, ingresos +0,4 %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CET1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Basilea 15,3 %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crédito del sistema financiero de Brasil (saldo total de las operaciones de crédito, recursos libres y dirigidos), donde Santander Brasil genera todo su resultado [1, 12]. Misma serie del BCB que en el informe de Itaú. La cuota no se calcula con el mismo perímetro: la cartera ampliada del banco incluye avales y títulos privados.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7,40 billones BRL de crédito en ago-2026 (7,14 billones a dic-2025)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BR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interés (Selic)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Selic del 13,75 %; el Focus del 23-oct la veía en 13,25 % a fin de 2026 y 11,75 % en 2027, antes del giro del mercado tras las elecciones; para un banco pasivo-sensible como Santander, tipos altos más tiempo restan margen con el mercado [1,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fiscal y prima de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bono a 10 años subió del 12,98 % al 15,44 % el 26-oct tras la reelección de Lula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Endeudamiento de las familias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Morosidad a más de 90 días de particulares del 5,3 % en Santander (+1,1 puntos en un año)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crédito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crédito del sistema crece un 12,2 % anual desde 2020; Santander, un 5,8 % en el último año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global Gravity e IA en procesos; −6.591 empleados y −178 oficinas en un año; Nubank e Inter compiten en particulares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más Nubank, BTG e Inter; Santander gana menos que Itaú (ROE 12,5 % frente al 24 %) y pierde diferencial en particulares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Pix, open finance y portabilidad bajan los costes de cambio; la renegociación crece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de clientes de 688.514 M, 51 % de particulares, con coste ligado al CDI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digitales con licencia (Nubank, ROE del 32 %) y fintech de pagos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capitales para grandes empresas; crédito de fintech para particulares.</w:t>
            </w:r>
          </w:p>
        </w:tc>
      </w:tr>
    </w:tbl>
    <w:p>
      <w:pPr>
        <w:spacing w:after="160" w:before="0"/>
      </w:pPr>
    </w:p>
    <w:p>
      <w:pPr>
        <w:pStyle w:val="Heading2"/>
      </w:pPr>
      <w:r>
        <w:t xml:space="preserve">Ciclo</w:t>
      </w:r>
    </w:p>
    <w:p>
      <w:pPr>
        <w:spacing w:after="100"/>
      </w:pPr>
      <w:r>
        <w:t xml:space="preserve">Para Santander el ciclo de crédito ya se ha girado: morosidad a más de 90 días del 3,3 % (+0,7 puntos), PDD +11,5 % interanual y ROAE del 12,5 % con la Selic al 13,75 % [1]. En 2022-2023, con la misma Selic, el ROE bajó del 21 % al ≈ 12 % (Americanas, particulares) y tardó dos años en volver al 17 % [A].</w:t>
      </w:r>
    </w:p>
    <w:p>
      <w:pPr>
        <w:pStyle w:val="Heading2"/>
      </w:pPr>
      <w:r>
        <w:t xml:space="preserve">Regulación</w:t>
      </w:r>
    </w:p>
    <w:p>
      <w:pPr>
        <w:spacing w:after="100"/>
      </w:pPr>
      <w:r>
        <w:t xml:space="preserve">Banco Central y Consejo Monetario Nacional fijan capital (Basilea III; CET1 mínimo con colchones del 8,0 %), encajes y la contabilidad de pérdidas esperadas (Resolución 4.966, desde 2025), que cambió la regla de baja a fallidos [1, 4]. Abiertos con efecto en cifras: la deducibilidad del JCP, los topes al rotativo de tarjetas y la posible subida de impuestos a la banca tras las elecciones de 2026 [4]. La oferta de canje de la matriz está sujeta a la CVM (Resolución 215/2024, laudo de valoración) y a la SEC (Form F-4) [D].</w:t>
      </w:r>
    </w:p>
    <w:p>
      <w:pPr>
        <w:pStyle w:val="Heading2"/>
      </w:pPr>
      <w:r>
        <w:t xml:space="preserve">Tendencias y disrupción</w:t>
      </w:r>
    </w:p>
    <w:p>
      <w:pPr>
        <w:spacing w:after="100"/>
      </w:pPr>
      <w:r>
        <w:t xml:space="preserve">Tres cambios: (1) Pix y open finance bajan tarifas (comisiones de cuentas −12,2 % en un año); (2) la IA y la plataforma global del grupo bajan costes (gastos +2,6 % frente a una inflación del 4-5 %); (3) los digitales ganan el segmento masivo, del que Santander se está retirando (consignado −14,7 %, crédito personal −8,6 %) para centrarse en alta renta, pymes y vehículos [1]. Gana con (2); pierde volumen y margen con (1) y (3).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3.er banco privado de Brasil por activos tras Itaú y Bradesco (5.º del sistema con Banco do Brasil y Caixa); 1.º en financiación de vehículos a particulares (20 % de cuota)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 Unibanco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ITUB4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privado; ROE 21.5 %, P/VC 2.11x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BBDC4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ROE 14.2 %, P/VC 0.86x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do Brasil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BBAS3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Público, líder en agro; ROE 10.5 %, P/VC 0.55x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BPAC11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y patrimonios; ROE 24.4 %, P/VC 3.6x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Nubank (Nu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Brasil/Islas Caimán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digital; ROE 31.6 %, P/VC 4.59x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Inter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Digital; ROE 16.2 %, P/VC 0.99x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Caixa Econômica Federal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Pública, no cotiza; líder en vivienda.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adquirencia propia desde la escisión de Getnet (2021); el Pix reduce la ventaja de las redes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 y crédito vinculados, pero el diferencial baja y las comisiones de cuentas caen un 12,2 %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global y licencia bancaria; acceso a la plataforma tecnológica del grupo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del 39,3 %, peor que Itaú (37,4 %) y al alza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715.000 M y 20 % de cuota en vehículos; ROE por debajo del Ke desde 2022 [2].</w:t>
            </w:r>
          </w:p>
        </w:tc>
      </w:tr>
    </w:tbl>
    <w:p>
      <w:pPr>
        <w:spacing w:after="160" w:before="0"/>
      </w:pPr>
    </w:p>
    <w:p>
      <w:pPr>
        <w:pStyle w:val="Heading2"/>
      </w:pPr>
      <w:r>
        <w:t xml:space="preserve">Amenazas</w:t>
      </w:r>
    </w:p>
    <w:p>
      <w:pPr>
        <w:spacing w:after="100"/>
      </w:pPr>
      <w:r>
        <w:t xml:space="preserve">Lo que más erosiona: los digitales en particulares (alta, ya visible en el diferencial), un ciclo de crédito largo con la Selic alta tras las elecciones (alta) y la subida de impuestos a la banca (media). Ninguna es exclusiva de Santander, pero con un ROE del 12,5 % tiene menos margen que Itaú para absorberlas.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-2,7 %</w:t>
      </w:r>
      <w:r>
        <w:t xml:space="preserve">, EBITDA </w:t>
      </w:r>
      <w:r>
        <w:rPr>
          <w:b/>
          <w:bCs/>
        </w:rPr>
        <w:t xml:space="preserve">-9,8 %</w:t>
      </w:r>
      <w:r>
        <w:t xml:space="preserve">, BPA </w:t>
      </w:r>
      <w:r>
        <w:rPr>
          <w:b/>
          <w:bCs/>
        </w:rPr>
        <w:t xml:space="preserve">-4,8 %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BRL,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 NIIF (CVM) el beneficio atribuido fue de 15.528 M BRL en 2021, 14.287 M en 2022, 9.449 M en 2023, 13.366 M en 2024 y 12.766 M en 2025: cuatro años sin crecer [3]. Los ingresos operativos netos de pérdidas por deterioro bajaron de 44.357 M a 39.835 M, porque las pérdidas por deterioro de activos financieros subieron de 17.113 M a 29.540 M (+73 %) mientras el margen bruto de intermediación pasaba de 51.318 M a 57.634 M [3]. Los gastos de personal, administrativos y amortización crecieron un 4,5 % anual (19.751 M → 23.564 M) [3]. En la base gerencial que sigue el mercado (BR GAAP), el resultado recurrente fue de 16.347 M en 2021, ≈ 12.900 M en 2022, ≈ 9.240 M en 2023, 13.872 M en 2024 y 15.615 M en 2025, con ROAE del 21,2 %, 16,3 %, ≈ 12 %, ≈ 17 % y ≈ 17,3 % [5, 6, 7, 8, 9]. </w:t>
      </w:r>
      <w:r>
        <w:rPr>
          <w:b/>
        </w:rPr>
        <w:t xml:space="preserve">2026 se ha torcido</w:t>
      </w:r>
      <w:r>
        <w:t xml:space="preserve">: 3.788 M en el 1T26 y 3.014 M en el 2T26 (−17,6 % interanual, ROAE del 12,5 %), por un resultado de PDD de 7.654 M (+20,6 % en el trimestre: pymes, agro, segmento masivo, casos de mayorista y el cambio de la regla de baja a fallidos) y una eficiencia que empeora al 39,3 % [1].</w:t>
      </w:r>
    </w:p>
    <w:p>
      <w:pPr>
        <w:pStyle w:val="Heading2"/>
      </w:pPr>
      <w:r>
        <w:t xml:space="preserve">Ajustes y partidas no recurrentes</w:t>
      </w:r>
    </w:p>
    <w:p>
      <w:pPr>
        <w:spacing w:after="100"/>
      </w:pPr>
      <w:r>
        <w:t xml:space="preserve">Dos bases. Las cuentas oficiales (CVM, 20-F) son NIIF; el banco gestiona y el mercado sigue el resultado gerencial recurrente en BR GAAP, que (i) reclasifica la cobertura cambiaria de las inversiones en el exterior desde impuestos al margen, (ii) mueve recuperaciones y descuentos entre margen y PDD, (iii) devuelve la amortización del fondo de comercio (56 M en el 2T26) y (iv) quita extraordinarios: en el 2T26, 291 M de provisión laboral no recurrente (contable 2.667 M, gerencial 2.723 M, recurrente 3.014 M) [1]. El patrimonio NIIF (125.174 M a dic-2025) es ≈ 27.000 M mayor que el BR GAAP (98.210 M a jun-2026) sobre todo por el fondo de comercio de la compra de Banco Real (2008), que en NIIF sigue en el intangible (33.227 M) [1, 3]. El BPA y el ROE de la regla a 12 meses y del modelo bancario son gerenciales recurrentes, por unit (1 ON + 1 PN; 3.744 M de units equivalentes) [1,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(29-jul-2026, primer resultado presentado ya con Gilson Finkelsztain como consejero delegado) el resultado recurrente fue de 3.014 M BRL (−20,4 % en el trimestre y −17,6 % en el año) y el ROAE del 12,5 %, muy por debajo de lo esperado; la unit cayó un 7,4 % ese día [1]. Causas: PDD de 7.654 M (+20,6 %; coste del crédito a 12 meses del 3,81 %) por pymes, agro y segmento masivo, refuerzos de provisión en casos de mayorista y el cambio de criterio de baja a fallidos; margen con clientes −3,2 % por la retirada del segmento masivo (diferencial del 10,03 %, −0,39 puntos); comisiones −1,9 %; eficiencia del 39,3 % [1]. La cartera ampliada crece un 5,8 % interanual (715.000 M) con financiación al consumo +15,3 % y pymes +11,5 %, y cae en consignado (−14,7 %) y crédito personal (−8,6 %) [1]. En el 1T26 (29-abr) el resultado ya había quedado por debajo del consenso (3.788 M, ROAE del 16,0 %) [2]. El 30-jul, un día después, la matriz anunció la oferta de canje por los minoritarios, y el debate de los analistas pasó del ROE a la oferta [D].</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985.451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1.270.029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0"/>
        <w:gridCol w:w="1472"/>
        <w:gridCol w:w="1338"/>
        <w:gridCol w:w="1338"/>
        <w:gridCol w:w="1338"/>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Para un banco el motor no tiene sentido en deuda neta, circulante ni capital invertido: caja y deuda a 0, y el «capital invertido» queda igual al patrimonio NIIF. El activo NIIF pasó de 931.208 M (2021) a 1.270.029 M (2025), +8,1 % anual, y el patrimonio atribuido de 105.640 M a 125.174 M, +4,3 % anual: el banco crece más en balance que en capital y el CET1 ha bajado al 11,2 % [1, 3]. El patrimonio NIIF incluye ≈ 27.000 M de fondo de comercio e intangibles de compras que no existen en BR GAAP: por eso el ROE NIIF del motor (≈ 10 %) es mucho menor que el gerencial (12,5-17,6 %) [1,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65.396</w:t>
      </w:r>
      <w:r>
        <w:t xml:space="preserve">, conversión </w:t>
      </w:r>
      <w:r>
        <w:rPr>
          <w:b/>
          <w:bCs/>
        </w:rPr>
        <w:t xml:space="preserve">100 %</w:t>
      </w:r>
      <w:r>
        <w:t xml:space="preserve"> del beneficio neto; adquisiciones 0, dividendos 19.820, recompras 0.</w:t>
      </w:r>
    </w:p>
    <w:p>
      <w:pPr>
        <w:spacing w:after="100"/>
      </w:pPr>
      <w:r>
        <w:t xml:space="preserve">El estado de flujos de un banco no mide la caja del accionista: el flujo de explotación NIIF fue de 6.807 M en 2021, 6.847 M en 2022, 36.627 M en 2023, −21.131 M en 2024 y 4.992 M en 2025, porque mezcla depósitos, cartera y repos [3]. Se usa el beneficio atribuido como «flujo operativo» y capex 0; el flujo para el accionista es el beneficio menos la retención que pide el capital para crecer (modelo bancario). JCP y dividendos declarados: 6.200 M (2023), 6.000 M (2024) y 7.620 M (2025, 60 % del beneficio NIIF y 49 % del recurrente); en 2026, 2.000 M (enero), 2.000 M (abril) y 1.500 M (9-oct) [4,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 Independentes Ltda.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NIIF 2023-2025)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las cuentas NIIF de 2023-2025 sin salvedades [4]. Altman Z, Piotroski F y Beneish M no se interpretan en un banco. Lo que importa es la cartera: morosidad a más de 90 días del 3,3 % (2,6 % un año antes, en parte por el cambio de criterio de baja), de 15-90 días del 3,3 %, formación de morosidad del 1,00 % trimestral, bajas a fallidos de 7.009 M en el 2T26 y cobertura de la fase 3 del 65,0 % (−2,1 puntos) [1]. Tres señales: (1) el coste del crédito sube con la cartera creciendo despacio (3,81 % a 12 meses); (2) la cartera renegociada crece (+6,7 %) con menos cobertura (43,3 %); (3) el tipo efectivo NIIF muy bajo (22,5 % en 2025) y un crédito fiscal de 584 M en el 2T26 gerencial: parte del beneficio depende del JCP deducible y de la cobertura cambiaria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a más de 90 días del 3,3 % (+0,7 puntos en un año) y PDD +20,6 %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Pymes, agro, segmento masivo y casos de mayorista; parte es el cambio de la regla de baja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la fase 3 a la baja (65,0 %, −2,6 puntos en el trimestre)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colchón con la morosidad al alza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fiscal de 584 M en el 2T26 gerencial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resultado con un BAI que cae un 44,6 %; depende del JCP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Activos fiscales diferidos de 68.148 M (53 % del patrimonio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Habitual en la banca brasileña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112.768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-16,6 % · </w:t>
      </w:r>
      <w:r>
        <w:rPr>
          <w:b/>
          <w:bCs/>
        </w:rPr>
        <w:t xml:space="preserve">WACC</w:t>
      </w:r>
      <w:r>
        <w:t xml:space="preserve">: 20,9 %.</w:t>
      </w:r>
    </w:p>
    <w:p>
      <w:pPr>
        <w:spacing w:after="100"/>
      </w:pPr>
      <w:r>
        <w:t xml:space="preserve">En un banco el ROIC del motor (10,2 %, NIIF, con deuda y caja 0 y el fondo de comercio de Banco Real en el patrimonio) no es la cifra de calidad; la del informe es el ROE RECURRENTE − Ke. ROE recurrente gerencial (sin fondo de comercio) del 17,3 % de media en 2025 y del 14,3 % en el 1S26 (16,0 % en el 1T26 y 12,5 % en el 2T26) [1, 5], frente a un Ke en reales del 20,94 % (bono a 10 años 15,435 % + 1,0 × 5,5 % [23]): exceso de −3,6 puntos (2025), −6,6 (1S26) y −8,4 (2T26). NO PASA el suelo del método (4,5) ni con el Ke de antes de las elecciones (18,48 %: −1,2 a −4,2) [33]. No es comprable en ningún nivel (A, B1, B2 o C). Indicadores bancarios del 2T26 [1]: CET1 11,2 % (Basilea 15,3 %); morosidad a más de 90 días 3,3 % (2,6 % un año antes) y de 15-90 días 3,3 %; coste del crédito a 12 meses del 3,81 % de la cartera y provisiones (PDD) de 7.654 M en el trimestre (+20,6 %); spread de la cartera del 10,03 %; eficiencia del 39,3 %; cobertura de la fase 3 del 65 %. Sensibilidad a la Selic: el banco es pasivo-sensible (margen con el mercado de −718 M en el 2T26 y −1.486 M en el 4T25 por la financiación de la cartera a tipo fijo); una Selic alta más tiempo le resta margen, sube el coste del riesgo y además sube el Ke: cada punto de tasa libre quita ≈ 7 % del valor intrínseco [33].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Captación de clientes de 688.514 M en jun-2026 (+6,9 % interanual), 51 % de particulares; cartera de crédito sobre captación de clientes neta de encajes (C/B) del 83,3 %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especulativo, limitado por el techo soberano de Brasil (no se ha leído la nota vigente de las agencias)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Capital en jun-2026: CET1 del 11,2 % (11,6 % un año antes), Tier 1 del 12,2 % y Basilea del 15,3 %, con un mínimo regulatorio de CET1 con colchones del 8,0 % y Tier 1 del 9,5 % [1, 4]. Activos ponderados por riesgo de 773.911 M (+7,5 %), de los que 92.832 M de riesgo operacional (+26,9 %) [1]. Cobertura de la cartera en fase 3 del 65,0 % (67,1 % un año antes); cartera renegociada de 47.800 M (+6,7 %) con cobertura del 43,3 % [1]. Provisiones para procesos judiciales y administrativos de ≈ 10.300 M y provisión laboral extraordinaria de 291 M en el 2T26 [1, 3]. Activos fiscales diferidos de 68.148 M en NIIF (53 % del patrimonio), que dependen de beneficios futuros [3].</w:t>
      </w:r>
    </w:p>
    <w:p>
      <w:pPr>
        <w:pStyle w:val="Heading1"/>
      </w:pPr>
      <w:r>
        <w:t xml:space="preserve">12. Asignación de capital</w:t>
      </w:r>
    </w:p>
    <w:p>
      <w:pPr>
        <w:pStyle w:val="Confianza"/>
        <w:spacing w:after="100"/>
      </w:pPr>
      <w:r>
        <w:t xml:space="preserve">Confianza: Media</w:t>
      </w:r>
    </w:p>
    <w:p>
      <w:pPr>
        <w:spacing w:after="100"/>
      </w:pPr>
      <w:r>
        <w:t xml:space="preserve">Reparte la mayor parte del beneficio en JCP y dividendos: 6.200 M declarados en 2023, 6.000 M en 2024 y 7.620 M en 2025 [4]; en 2026, JCP de 2.000 M en enero y abril y de 1.500 M el 9-oct (0,401 BRL por unit, registro 20-oct, pago 9-nov) [11]. Sin recompras relevantes. El 89,53 % de esos pagos va a la matriz (Sterrebeeck 47,25 % y Grupo Empresarial Santander 42,25 %) [4]. CET1 del 11,2 % en jun-2026, poco margen para extraordinarios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canje de Banco Santander, S.A. por el ≈ 10 % de minoritarios (no es una compra del banco, sino de la matriz)</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nuevas de Banco Santander (0,4056 por unit)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Registrada en la CVM, B3 y SEC (F-4) el 21-sep-2026; cierre esperado en el 1S27 [16, 17, 18, 20].</w:t>
            </w:r>
          </w:p>
        </w:tc>
      </w:tr>
    </w:tbl>
    <w:p>
      <w:pPr>
        <w:spacing w:after="160" w:before="0"/>
      </w:pPr>
    </w:p>
    <w:p>
      <w:pPr>
        <w:spacing w:after="100"/>
      </w:pPr>
      <w:r>
        <w:t xml:space="preserve">Asignación floja en el ciclo: el ROE recurrente cayó del 21,2 % de 2021 al 12,5 % del 2T26 por el crédito a particulares y pymes y por un balance pasivo-sensible que sufrió con la subida de la Selic [1, 9]. El capital vuelve al accionista, pero casi todo a la matriz. El cambio de consejero delegado (Gilson Finkelsztain, ex-B3, desde el 2S26, en lugar de Mario Leão) y del director financiero (abr-2026) llega con el ROE en mínimos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Gilson Finkelsztain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B3 de 2017 a 2026; ya trabajó en Santander Brasil en 2011-2013. Anunciado el 19-mar-2026 para sustituir a Mario Leão (que se fue por decisión propia); al mando desde el 2S26 y consejero desde octubre [11, 15,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Ignacio Muñiz González-Blanch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de relación con inversores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Gustavo Alejo Viviani a finales de abril de 2026; firma los hechos relevantes de la oferta de canje [4,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Stern Vieitas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independiente; preside las reuniones del consejo de 2026 [4,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Maldonado Trinchant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a la matriz en el consejo [4,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Mario Roberto Opice Leão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(2022-2026)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banco desde 2015; con él el resultado recurrente pasó de ≈ 9.240 M (2023) a 15.615 M (2025), y el ROAE del ≈ 12 % al 17,3 % [4,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Mario Leão dijo en abril que el resultado de 2026 superaría el de 2025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de 6.802 M frente a 7.520 M en el 1S25 (−9,5 %)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numérica; objetivo declarado de volver a un ROE por encima del coste del capital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ROAE ≈ 17,3 % y resultado de 15.615 M (+12,6 %)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Cambio completo de cúpula en 2026: consejero delegado (Finkelsztain por Leão) y director financiero (Muñiz por Viviani), y el 2T26, el primer resultado del nuevo equipo, decepcionó [4, 15, 19]. El banco no publica guía numérica; la promesa de superar en 2026 el resultado de 2025 ya no se cumple al ritmo del 1S26. La dirección la nombra y la supervisa la matriz.</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Stern Vieitas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Maldonado Trinchant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Carlos Quintella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Cristiana Almeida Pipponzi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Patricia Wright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Augusto de Melo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Barriuso Rojo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Rodríguez Herrero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 Ilson Viani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Gilson Finkelsztain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Márcio de Andrade Schettini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Vanessa de Souza Lobato Barbosa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NIIF 2023-2025)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Santander, S.A. (directo y por Sterrebeeck B.V. 47,25 % y Grupo Empresarial Santander S.L. 42,25 %)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2014 (88,3 % tras la oferta de canje de ese año); oferta de canje por el resto anunciada el 30-jul-2026 [4, 16]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de acciones a 31-ene-2026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Flotante (units SANB11, ordinarias, preferentes y ADR BSBR)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y 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Objeto de la oferta de canje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fija la remuneración global de consejo y dirección; el variable de los directivos se difiere (al menos el 40 % tres años), con incentivo a largo plazo en acciones y cláusulas de «malus» y «clawback» de hasta el 100 % [4]. El 20-F no da el desglose individual del consejero delegado. Parte del incentivo a largo plazo se liga a métricas del grupo, lo que alinea a la dirección con la matriz más que con los minoritarios [4].</w:t>
      </w:r>
    </w:p>
    <w:p>
      <w:pPr>
        <w:pStyle w:val="Heading2"/>
      </w:pPr>
      <w:r>
        <w:t xml:space="preserve">Operaciones vinculadas, estructura de control y defensas</w:t>
      </w:r>
    </w:p>
    <w:p>
      <w:pPr>
        <w:spacing w:after="100"/>
      </w:pPr>
      <w:r>
        <w:t xml:space="preserve">Banco Santander, S.A. tiene el 89,53 % del capital (≈ 90 % de las ordinarias y de las preferentes) y nombra al consejo y a la dirección [4]. Las units cotizan en el segmento básico de B3 desde la oferta de 2014, sin las protecciones del Nivel 2 [4]. </w:t>
      </w:r>
      <w:r>
        <w:rPr>
          <w:b/>
        </w:rPr>
        <w:t xml:space="preserve">Riesgos para el minoritario</w:t>
      </w:r>
      <w:r>
        <w:t xml:space="preserve">: (1) la oferta de canje en curso (0,4056 acciones de la matriz por unit, ajustable por JCP) no exige aceptación mínima y no busca la exclusión, pero la matriz advierte que, si acude mucha gente, la unit perderá liquidez y peso en los índices, y que el ADR podría salir de la NYSE y del registro de la SEC [16, 17]: es una presión a aceptar; (2) el ratio se fijó con una prima del 15 % sobre un precio que estaba en mínimos de 52 semanas tras el mal 2T26, y la matriz recuerda que «no hay prima de control» porque ya controla [17]; (3) operaciones con el grupo (plataformas tecnológicas globales, servicios, financiación) que el 20-F reconoce que podrían no ser en condiciones de mercado [4]; (4) el payout (49 % del recurrente en 2025) lo decide de hecho la matriz. A favor: el consejo tiene presidenta y cinco consejeros independientes y la oferta es de canje, no en efectivo, así que el minoritario que acude sigue expuesto a Brasil a través del grupo [4, 17].</w:t>
      </w:r>
    </w:p>
    <w:p>
      <w:pPr>
        <w:pStyle w:val="Heading2"/>
      </w:pPr>
      <w:r>
        <w:t xml:space="preserve">Señales de alerta</w:t>
      </w:r>
    </w:p>
    <w:p>
      <w:pPr>
        <w:pStyle w:val="ListParagraph"/>
        <w:numPr>
          <w:ilvl w:val="0"/>
          <w:numId w:val="2"/>
        </w:numPr>
        <w:spacing w:after="60"/>
      </w:pPr>
      <w:r>
        <w:t xml:space="preserve">Oferta de canje de la matriz en curso, sin aceptación mínima y con aviso explícito de menor liquidez y posible salida de la NYSE para quien no acuda [16, 17].</w:t>
      </w:r>
    </w:p>
    <w:p>
      <w:pPr>
        <w:pStyle w:val="ListParagraph"/>
        <w:numPr>
          <w:ilvl w:val="0"/>
          <w:numId w:val="2"/>
        </w:numPr>
        <w:spacing w:after="60"/>
      </w:pPr>
      <w:r>
        <w:t xml:space="preserve">Cambio de consejero delegado y de director financiero en 2026 [4, 15].</w:t>
      </w:r>
    </w:p>
    <w:p>
      <w:pPr>
        <w:pStyle w:val="ListParagraph"/>
        <w:numPr>
          <w:ilvl w:val="0"/>
          <w:numId w:val="2"/>
        </w:numPr>
        <w:spacing w:after="60"/>
      </w:pPr>
      <w:r>
        <w:t xml:space="preserve">Units en el segmento básico de B3 (sin Nivel 2) desde 2014 [4].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Santander Brasil no publica guía numérica. En abril de 2026 el consejero delegado saliente dijo que el resultado de 2026 superaría el de 2025 (15.615 M) [27]; con 6.802 M en el 1S26 haría falta un 2S26 de 8.800 M, muy por encima del ritmo actual. Resultados del 3T26 el 28-oct antes de la apertura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5 analistas, 26-oct-2026; BPA por unit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6 analistas, 26-oct-2026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10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 – 44,00</w:t>
            </w:r>
          </w:p>
        </w:tc>
      </w:tr>
    </w:tbl>
    <w:p>
      <w:pPr>
        <w:spacing w:after="160" w:before="0"/>
      </w:pPr>
    </w:p>
    <w:p>
      <w:pPr>
        <w:pStyle w:val="Heading2"/>
      </w:pPr>
      <w:r>
        <w:t xml:space="preserve">Revisiones de estimaciones</w:t>
      </w:r>
    </w:p>
    <w:p>
      <w:pPr>
        <w:spacing w:after="100"/>
      </w:pPr>
      <w:r>
        <w:t xml:space="preserve">El BPA de 2026 del consenso baja de 4.29 BRL por unit hace 90 días a 3.7 (−14 %) y el de 2027 de 4.94 a 4.33 (−12 %): los recortes vienen del 2T26 [22, 27]. Tras el anuncio de la oferta, UBS BB bajó a neutral y recortó su objetivo en 10 BRL: con la oferta, el precio queda atado a la acción de la matriz [28]. Recomendaciones: 1 comprar y 10 mantener; objetivo medio de 31.18 BRL (9 analistas, 27-44). En el ADR, objetivo medio de 6.77 USD [22]. Las cifras de Yahoo son anteriores a la reacción de los analistas a las elecciones del 25-oct.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Con dividendos, la unit ha ganado un 1,3 % anual a 5 años frente al 14,5 % del Ibovespa (BOVA11) y al 22,1 % de Itaú [21]: el mercado ha castigado el ROE de Santander Brasil, que no cubre su coste del capital desde 2022. 2025 fue bueno (+53,2 %) por la vuelta del ROE al 17 %; 2026 va en −17,0 % con el 1T26 y el 2T26 por debajo de lo esperado (mínimo de 25,18 BRL el 30-jul, el día después del 2T26) [21, 27]. El 31-jul, tras el anuncio de la oferta de canje, la unit subió un 13 % [30]. Desde entonces cotiza pegada al valor de canje (0,40 acciones de SAN por el tipo de cambio). Las rentabilidades del índice no incluyen el 26-oct (Yahoo no tenía aún la barra de BOVA11): la comparación del último año está sesgada a favor del índice en ≈ 14 puntos.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 -0,2 % / -11,3 % / -6,8 %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 / +4,4 %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que la oferta de canje tenga fecha y ratio final (F-4 efectivo, junta de Banco Santander), y hasta conocer el marco fiscal del nuevo mandato. No cambia la conclusión de hoy, que ya es «no comprar» por calidad y por valor intrínseco.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Reelección de Lula (25-oct): el Ibovespa cae un 13,9 % y los bancos entre un 13 % y un 31 % en B3, pero SANB11 solo un 4,5 %: su precio sigue al valor de canje, y la depreciación del real frente al euro (≈ 7-9 %) subió en reales lo que vale la contraprestación en acciones de SAN, que cayó un 3,1 % en Madrid [21,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oferta de canje de Banco Santander, S.A. (0,4056 acciones SAN por unit, prima del 15 %) [16,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se conozcan el folleto definitivo (F-4 efectivo), la fecha de la subasta y la junta de Banco Santander que apruebe la ampliación.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2T26: 3.014 M (−17,6 %), ROAE del 12,5 %, PDD +20,6 %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 2026 (−16,1 % en un mes al 15-may)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1T26 por debajo de lo esperado (3.788 M, ROAE del 16,0 %) y caída de los bancos brasileños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las ofertas de canje en la CVM, B3 y SEC (F-4, aún no efectivo) y publicación del laudo de UBS BB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la oferta tenga fecha de subasta y se conozca el ratio final.</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detalla el ajuste del ratio por JCP y dividendos, avisa de menor liquidez para quien no acuda y espera cerrar en el 1S27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anterior.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BB baja a neutral y recorta el objetivo en 10 BRL por la oferta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JCP de 1.500 M (0,401 BRL por unit), registro el 20-oct, pago el 9-nov; reduce el ratio de canje a ≈ 0,4000 [1,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Mario Leão deja de ser consejero delegado; le sustituye Gilson Finkelsztain (B3) desde el 2S26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antes de la apertura de B3; conferencia el 29-oct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Lo que mueve la unit desde el 30-jul no es el banco sino la oferta: cotiza a ≈ 2-4 % por debajo del valor de canje (0,4000 × SAN × EUR/BRL) [16, 17]. La victoria de Lula del 25-oct sube el coste del capital en reales (bono del 12,98 % al 15,44 %), retrasa la bajada de la Selic (mala noticia para un banco pasivo-sensible con la morosidad al alza) y sube el riesgo de impuestos a la banca; pero el precio de SANB11 casi no lo recoge porque la contraprestación son acciones de la matriz en euros [23, 29]. Hecho pendiente con fecha que mueve el precio más de un 5 %: el cierre (o no) de la oferta en el 1S27. Resultados del 3T26 mañana (28-oct): no aplazan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 de la unit SANB11 en BRL (Yahoo) [21]. El PER del motor usa el BPA NIIF; la historia que decide la regla a 12 meses es la del PER adelantado con el BPA recurrente gerencial por unit (precio ÷ BPA del año siguiente): 9,9x (2020), 8,7x (2021), 11,4x (2022), 8,7x (2023), 5,7x (2024) y 9,3x (2025, sobre nuestro 2026e). Hoy cotiza a ≈ 6,7x el BPA de 2027e y a 1,02 veces el valor contable BR GAAP, en la parte baja de su historia, pero con el precio atado a la oferta de canje.</w:t>
      </w:r>
    </w:p>
    <w:p>
      <w:pPr>
        <w:pStyle w:val="Heading1"/>
      </w:pPr>
      <w:r>
        <w:t xml:space="preserve">18. Comparables cotizados</w:t>
      </w:r>
    </w:p>
    <w:p>
      <w:pPr>
        <w:pStyle w:val="Confianza"/>
        <w:spacing w:after="100"/>
      </w:pPr>
      <w:r>
        <w:t xml:space="preserve">Confianza: Media</w:t>
      </w:r>
    </w:p>
    <w:p>
      <w:pPr>
        <w:spacing w:after="100"/>
      </w:pPr>
      <w:r>
        <w:t xml:space="preserve">Bancos cotizados de Brasil con datos de Yahoo del 26-oct-2026: Itaú, Bradesco, Banco do Brasil, BTG Pactual, Nubank e Inter [22]. Se excluye Itaúsa (holding de Itaú) y los andinos para no repetir a Itaú y por tener otra tasa libre. Para bancos solo tienen sentido el PER, el P/VC y el ROE: EV/EBITDA, margen EBITDA, DN/EBITDA y FCF quedan vacíos; el campo «ROIC» lleva el ROE. Las capitalizaciones de los ADR se convierten a BRL a 5,4064.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Santander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 Unibanco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do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 Inter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4"/>
        <w:gridCol w:w="1056"/>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 / 7,0x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p>
      <w:pPr>
        <w:spacing w:after="100"/>
      </w:pPr>
      <w:r>
        <w:t xml:space="preserve">Santander Brasil cotiza a 6.1x el BPA adelantado de Yahoo y a 1,02x el valor contable BR GAAP (0,77x el NIIF de Yahoo), con un ROE recurrente del 12,5-16 % [22]. Está en la zona de los bancos de ROE medio (Bradesco 5.6x y 0.86x VC con ROE del 14.2 %; Banco do Brasil 4.2x y 0.55x), lejos de Itaú (8.3x, 2.11x VC, ROE 21.5 %) y de BTG y Nubank, que cotizan con prima por ROE y crecimiento. La mediana del PER de los seis es de 7,0x. Frente a sus pares no está caro ni barato para su ROE; frente a su coste del capital (ROE &lt; Ke), cualquier P/VC por encima de ≈ 0,7x es exigente, y el que fija hoy el precio es el canje.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Santander Brasil (≈ 10 %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S.A. (canje por acciones propias)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0,4056 acciones SAN por unit = 29,04 BRL al anunciarla (1,13x el VC BR GAAP de jun-2026); hasta 1.908 M € [16,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Brasil (≈ 25 %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(canje por acciones propias)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30-oct-2014; la matriz pasó al 88,3 % y las units salieron del Nivel 2 de B3 [4].</w:t>
            </w:r>
          </w:p>
        </w:tc>
      </w:tr>
    </w:tbl>
    <w:p>
      <w:pPr>
        <w:spacing w:after="160" w:before="0"/>
      </w:pPr>
    </w:p>
    <w:p>
      <w:pPr>
        <w:spacing w:after="160" w:before="0"/>
      </w:pPr>
    </w:p>
    <w:p>
      <w:pPr>
        <w:spacing w:after="100"/>
      </w:pPr>
      <w:r>
        <w:t xml:space="preserve">Las dos únicas operaciones relevantes son de la propia matriz y son canjes, no compras en efectivo: no tienen prima de control y su «precio» depende de la acción de Banco Santander. La de 2026 da ≈ 26,9-27,4 BRL por unit al cierre del 26-oct (ratio ajustado ≈ 0,4000), un 2-4 % por encima del precio. No se pondera en el valor intrínseco (peso 0): es la referencia del precio a 6-9 meses, no del valor del banco.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crecen como el patrimonio y la cartera: 6-6,5 % en 2026e-2029e (cartera ampliada +5,8 % interanual en jun-2026 [1]; crédito del sistema ≈ +10 % anual [12]; Santander Brasil por debajo por prudencia en riesgo), y bajan al 5 % en 2034e-2035e, el terminal nominal. Es la misma senda del modelo de exceso de rentabilidad [33].</w:t>
      </w:r>
    </w:p>
    <w:p>
      <w:pPr>
        <w:keepNext/>
        <w:spacing w:after="100"/>
      </w:pPr>
      <w:r>
        <w:rPr>
          <w:b/>
          <w:bCs/>
        </w:rPr>
        <w:t xml:space="preserve">Márgenes.</w:t>
      </w:r>
    </w:p>
    <w:p>
      <w:pPr>
        <w:spacing w:after="100"/>
      </w:pPr>
      <w:r>
        <w:t xml:space="preserve">«Margen EBITDA» = beneficio antes de impuestos sobre ingresos, calibrado para que el beneficio después de impuestos sea el ROE del caso base por el patrimonio: ROE del 13,5 % en 2026e que vuelve al 16-17 % en tres-cinco años (su nivel de 2024-2025), sin llegar al 21 % de 2021, porque el coste del crédito tarda en bajar con la Selic alta y la competencia digital aprieta.</w:t>
      </w:r>
    </w:p>
    <w:p>
      <w:pPr>
        <w:keepNext/>
        <w:spacing w:after="100"/>
      </w:pPr>
      <w:r>
        <w:rPr>
          <w:b/>
          <w:bCs/>
        </w:rPr>
        <w:t xml:space="preserve">Inversión y circulante.</w:t>
      </w:r>
    </w:p>
    <w:p>
      <w:pPr>
        <w:spacing w:after="100"/>
      </w:pPr>
      <w:r>
        <w:t xml:space="preserve">«Capex» = retención: lo que el banco guarda para que el patrimonio crezca con los activos ponderados por riesgo y el CET1 no baje del 11 %: g × 2,47 ÷ (1 + g) de los ingresos. Amortización y circulante 0. El flujo que queda es lo que puede repartir.</w:t>
      </w:r>
    </w:p>
    <w:p>
      <w:pPr>
        <w:keepNext/>
        <w:spacing w:after="100"/>
      </w:pPr>
      <w:r>
        <w:rPr>
          <w:b/>
          <w:bCs/>
        </w:rPr>
        <w:t xml:space="preserve">Coste del capital.</w:t>
      </w:r>
    </w:p>
    <w:p>
      <w:pPr>
        <w:spacing w:after="100"/>
      </w:pPr>
      <w:r>
        <w:t xml:space="preserve">WACC = Ke en reales: bono del Tesoro brasileño a 10 años del 15,435 % (26-oct-2026; 12,98 % el 23-oct [23]) + beta 1,0 (medida 0,97-0,99 mensual a 5 años y 0,84 semanal [21]) × 5,5 % = 20,94 %. Sin prima país: ya está dentro de la tasa libre en reales (sumarla sería contarla dos veces). Peso de la deuda 0. Antes de las elecciones, Ke del 18,48 %; con la prima de Damodaran (4,2 % [24]), 19,64 %; con una tasa libre del 13,5 %, 19,0 %.</w:t>
      </w:r>
    </w:p>
    <w:p>
      <w:pPr>
        <w:keepNext/>
        <w:spacing w:after="100"/>
      </w:pPr>
      <w:r>
        <w:rPr>
          <w:b/>
          <w:bCs/>
        </w:rPr>
        <w:t xml:space="preserve">Valor terminal.</w:t>
      </w:r>
    </w:p>
    <w:p>
      <w:pPr>
        <w:spacing w:after="100"/>
      </w:pPr>
      <w:r>
        <w:t xml:space="preserve">Gordon al 5,0 % nominal en reales: IPCA de largo plazo del Focus (3,5 % [29]) + 1,5 real. Pesa el 30 % del valor; como el ROE del año 10 (17 %) queda por debajo del Ke, el terminal resta valor en el modelo de exceso de rentabilidad.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75.177 M (36 %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(ROIC 10,2 %)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frente al 5,8 %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(5,8 %) supera con holgura el histórico de ingresos (-2,7 %)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(histórico: -16,6 %)</w:t>
            </w:r>
          </w:p>
        </w:tc>
      </w:tr>
    </w:tbl>
    <w:p>
      <w:pPr>
        <w:spacing w:after="160" w:before="0"/>
      </w:pPr>
    </w:p>
    <w:p>
      <w:pPr>
        <w:spacing w:after="100"/>
      </w:pPr>
      <w:r>
        <w:t xml:space="preserve">La proyección reinvierte el 36 % del NOPAT. Con el ROIC del último ejercicio (10,2 %), eso financia un crecimiento del 3,6 % anual, frente al 5,8 % de ingresos proyectado. Supone que el capital nuevo rinde un 20,6 %, frente a un ROIC incremental histórico del -16,6 %.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(cartera ampliada +5,8 % interanual en jun-2026 [1]); precio +0,5 % (spread estable en el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el crédito del sistema crece ≈ 10 % anual desde 2019 [12]; Santander Brasil menos por prudencia en particulares y pymes.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 con la Selic bajando hacia el 10-11 % del Focus [14];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+5,5 %: converge al crecimiento nominal de la economía.</w:t>
            </w:r>
          </w:p>
        </w:tc>
      </w:tr>
    </w:tbl>
    <w:p>
      <w:pPr>
        <w:spacing w:after="160" w:before="0"/>
      </w:pPr>
    </w:p>
    <w:p>
      <w:pPr>
        <w:spacing w:after="100"/>
      </w:pPr>
      <w:r>
        <w:t xml:space="preserve">El crecimiento del 6 % es financiable: con un ROE del 13,5-17 % el banco retiene un tercio o algo más y reparte el resto, como hace hoy [4]. El motor da «En parte» porque mide con el ROIC NIIF (10,2 %, con el fondo de comercio en el patrimonio) frente a un WACC del 20,9 %. La conclusión que importa: con el Ke de hoy, crecer DESTRUYE valor, porque cada real retenido gana menos que su coste.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58,8 % (base: 49,9 %)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(WACC: 20,9 %)</w:t>
            </w:r>
          </w:p>
        </w:tc>
      </w:tr>
    </w:tbl>
    <w:p>
      <w:pPr>
        <w:spacing w:after="160" w:before="0"/>
      </w:pPr>
    </w:p>
    <w:p>
      <w:pPr>
        <w:spacing w:after="100"/>
      </w:pPr>
      <w:r>
        <w:t xml:space="preserve">El DCF adaptado (flujo para el accionista) da 20,36 BRL por unit en el base, un 22,6 % por debajo del precio, en línea con el modelo de exceso de rentabilidad (18,05; la diferencia es que el DCF parte del patrimonio de fin de año y no descuenta el JCP de octubre). El DCF inverso dice que el precio descuenta una rentabilidad anual del 17,5 %, por debajo del Ke (20,9 %), o un crecimiento del 9,8 % anual frente al 5,9 % del base. Pero el precio no lo fija el negocio sino la oferta de canje (26,9-27,4 BRL el 26-oct [33]). Las cifras de EV/EBITDA, deuda neta/EBITDA, ROIC, Altman Z y Piotroski no significan nada en un banco y no se usan.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Selic sigue alta más tiempo tras las elecciones y el coste del crédito se queda en el 4,2-4,5 % de la cartera; el margen con el mercado sigue negativo. ROE del 10,5-14 % y cartera 1,5 puntos más lenta.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recurrente del 13,5 % en el primer año (2S26-1S27) que vuelve al 16-17 % en tres-cinco años; patrimonio y cartera +6-6,5 % que bajan al 5 %; CET1 en el 11 % y payout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Selic baja desde 2027, el coste del crédito vuelve al 3,5 % y el ROE recupera el 17,5-19 %; el nuevo consejero delegado mejora la eficiencia.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BRL) · precio actual 2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19,99 BRL (-24,0 %).</w:t>
      </w:r>
    </w:p>
    <w:p>
      <w:pPr>
        <w:spacing w:after="100"/>
      </w:pPr>
      <w:r>
        <w:t xml:space="preserve">Los tres escenarios del DCF adaptado quedan por debajo del precio (bajista 13,65, base 20,36 y alcista 25,59 BRL), como los del modelo de exceso de rentabilidad (13,48, 18,05 y 21,47). La causa es la misma: con un Ke del 20,9 %, un ROE del 13-17 % destruye valor y el banco vale menos que su valor contable (25,77 BRL). Ni con el Ke de antes de las elecciones llega al precio (21,76 BRL) [33].</w:t>
      </w:r>
    </w:p>
    <w:p>
      <w:pPr>
        <w:pStyle w:val="Heading1"/>
      </w:pPr>
      <w:r>
        <w:t xml:space="preserve">22. Suma de partes</w:t>
      </w:r>
    </w:p>
    <w:p>
      <w:pPr>
        <w:pStyle w:val="Confianza"/>
        <w:spacing w:after="100"/>
      </w:pPr>
      <w:r>
        <w:t xml:space="preserve">Confianza: Media</w:t>
      </w:r>
    </w:p>
    <w:p>
      <w:pPr>
        <w:spacing w:after="100"/>
      </w:pPr>
      <w:r>
        <w:t xml:space="preserve">No es una suma de partes: es el vehículo para que el valor del modelo de exceso de rentabilidad (residual income) sea el valor intrínseco del motor. Una sola «parte», el banco entero, con valor directo = 17,76 BRL ponderados × 3.744 M de units = 66.493 M (patrimonio, no valor empresa; el puente es 0). Detalle y tablas en valoracion-banco.md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5"/>
        <w:gridCol w:w="164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Banco entero: modelo de exceso de rentabilidad (residual income), ponderado 25/50/25</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por unit × units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 valor contable por unit (25,77 BRL a 30-jun-2026, BR GAAP) + valor actual de (ROE − Ke) × valor contable de los 10 años siguientes + terminal, con Ke del 20,94 % y crecimiento terminal del 5 %; llevado al 27-oct y neto del JCP de 0,40 BRL. Bajista 13,48, base 18,05 y alcista 21,47 BRL; ponderado 17,76 BRL × 3744 M de units = 66.493 M. Es patrimonio, no valor empresa: el puente es 0. Como el ROE queda por debajo del Ke, vale menos que su valor contable. Detalle en valoracion-banco.md [33].</w:t>
            </w:r>
          </w:p>
        </w:tc>
      </w:tr>
    </w:tbl>
    <w:p>
      <w:pPr>
        <w:spacing w:after="160" w:before="0"/>
      </w:pPr>
    </w:p>
    <w:p>
      <w:pPr>
        <w:spacing w:after="100"/>
      </w:pPr>
      <w:r>
        <w:rPr>
          <w:b/>
          <w:bCs/>
        </w:rPr>
        <w:t xml:space="preserve">Valor por acción por suma de partes:</w:t>
      </w:r>
      <w:r>
        <w:t xml:space="preserve"> 17,76 (-32,5 %); con ±1x en los múltiplos, 15,10 – 20,42.</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BRL) · precio actual 2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spacing w:after="100"/>
      </w:pPr>
      <w:r>
        <w:rPr>
          <w:b/>
          <w:bCs/>
        </w:rPr>
        <w:t xml:space="preserve">Valor intrínseco ponderado (largo plazo):</w:t>
      </w:r>
      <w:r>
        <w:t xml:space="preserve"> 17,76 BRL (-32,5 % sobre 26,30).</w:t>
      </w:r>
    </w:p>
    <w:p>
      <w:pPr>
        <w:spacing w:after="100"/>
      </w:pPr>
      <w:r>
        <w:t xml:space="preserve">Pesos: modelo de exceso de rentabilidad 100 % (vía suma de partes); DCF adaptado, comparables y transacciones 0. El DCF adaptado solo comprueba el modelo (20,36 frente a 18,05 BRL). Los comparables por P/VC (bancos brasileños de 0,55 a 4,6 veces según ROE; Santander Brasil a 1,02) y por PER (7,0 veces de mediana [13]) entran en la regla a 12 meses, no en el valor intrínseco. El valor intrínseco depende de la tasa libre en reales: con 15,435 % vale 18,05 BRL (base); con 13,5 %, 20,86; con 12,98 % (antes de las elecciones), 21,76. El precio pide un Ke del 16,4 %, igual a la tasa libre sin prima de riesgo [33]. La dirección aguanta con cualquier tasa libre de los últimos dos años: el negocio vale menos que el precio, que sostiene la oferta.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(6.7x) × 1.1 (tope: la mediana de 5 años, 8.7x,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+77,1 %</w:t>
            </w:r>
          </w:p>
        </w:tc>
      </w:tr>
    </w:tbl>
    <w:p>
      <w:pPr>
        <w:spacing w:after="160" w:before="0"/>
      </w:pPr>
    </w:p>
    <w:p>
      <w:pPr>
        <w:spacing w:after="100"/>
      </w:pPr>
      <w:r>
        <w:rPr>
          <w:b/>
          <w:bCs/>
        </w:rPr>
        <w:t xml:space="preserve">Objetivo a 12 meses (ponderado):</w:t>
      </w:r>
      <w:r>
        <w:t xml:space="preserve"> 31,95 BRL · rentabilidad +29,2 % (base +30,2 %) · señal Mantener.</w:t>
      </w:r>
    </w:p>
    <w:p>
      <w:pPr>
        <w:spacing w:after="100"/>
      </w:pPr>
      <w:r>
        <w:t xml:space="preserve">Para comparar, con la regla v2 (historia al cierre, mismo precio): 6,4x / 6,7x / 8,6x, 23,8 % Mantener; con el tope anterior del base (×1,3, 14-oct mediodía): 30,9 %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recurrente de 2026e (3,58 BRL) queda un 3 % por debajo del consenso (3,70) y el de 2027e un 10 % (3,91 frente a 4,33); el consenso aún baja: hace 90 días era 4,29 y 4,94 [22]. El objetivo medio de los analistas (31,18 BRL, de 27 a 44) queda cerca de nuestro base a 12 meses (32,19), pero varios ya valoran la unit por la oferta de canje y no por el beneficio (UBS BB pasó a neutral [28]).</w:t>
      </w:r>
    </w:p>
    <w:p>
      <w:pPr>
        <w:keepNext/>
        <w:spacing w:after="100"/>
      </w:pPr>
      <w:r>
        <w:rPr>
          <w:b/>
          <w:bCs/>
        </w:rPr>
        <w:t xml:space="preserve">Del valor intrínseco al objetivo a 12 meses.</w:t>
      </w:r>
    </w:p>
    <w:p>
      <w:pPr>
        <w:spacing w:after="100"/>
      </w:pPr>
      <w:r>
        <w:t xml:space="preserve">La regla a 12 meses (v3) da 31,95 BRL ponderado, un +29,2 % con el dividendo (+30,2 % en el base), por encima del 15 % de compra; pero la tercera condición falla: el valor intrínseco (17,76 BRL) está un 32,5 % por debajo del precio. Y la cifra no es fiable: supone que la unit vuelve a cotizar por su PER, cuando desde el 30-jul la ancla la oferta de canje (0,40 acciones de Banco Santander por unit, 26,9-27,4 BRL el 26-oct). Si la oferta se cierra, quien no acuda se queda con una acción con poca liquidez y quizá sin ADR en la NYSE; si fracasa, el precio volvería al negocio, con un valor intrínseco de 17,76 y un P/VC justificado de 0,69 veces [17, 33].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de B3; conferencia el 29-oct)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coste del crédito y morosidad tras el 2T26 flojo (ROE 12,5 %); primer dato del nuevo consejero delegado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JCP de 0,401 BRL por unit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Ajusta a la baja el ratio de canje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Ministro de Hacienda y marco fiscal del nuevo mandato; Copom de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bono a 10 años (Ke) y el real frente al euro (valor de canje en BRL)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la oferta en la CVM y la SEC, subasta y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salida para el minoritario; tras ella, menos liquidez para quien no acuda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ROE hacia el 15-16 %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oferta de canje se cierra y el minoritario que no acude queda con una acción poco líquida y quizá sin ADR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liquidez de difícil medida; el precio iría hacia el valor del negocio (17,76 BRL)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Acudir a la oferta: 0,40 acciones de Banco Santander por unit [17].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oferta se retira o fracasa (regulador,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 (vuelta a un P/VC de 0,7-0,8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Registrada en CVM, B3 y SEC con laudo de UBS BB [18].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crédito: morosidad del 3,3 % que sigue subiendo y coste del crédito por encima del 4 % con la Selic alta tras las elecciones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la fase 3 del 65 %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 pasivo-sensible: Selic alta más tiempo resta margen con el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del valor intrínseco por punto de tasa libre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reprecio de la cartera.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débil frente al euro: sube el valor de canje en BRL pero baja el valor en euros de todo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1 % de EUR/BRL ≈ 1 % del valor de canje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para el inversor en euros.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(los bancos digitales y las tecnológicas automatizan crédito y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tecnológica compartida con el grupo.</w:t>
            </w:r>
          </w:p>
        </w:tc>
      </w:tr>
    </w:tbl>
    <w:p>
      <w:pPr>
        <w:spacing w:after="160" w:before="0"/>
      </w:pPr>
    </w:p>
    <w:p>
      <w:pPr>
        <w:pStyle w:val="Heading2"/>
      </w:pPr>
      <w:r>
        <w:t xml:space="preserve">Pre-mortem</w:t>
      </w:r>
    </w:p>
    <w:p>
      <w:pPr>
        <w:spacing w:after="100"/>
      </w:pPr>
      <w:r>
        <w:t xml:space="preserve">Octubre de 2027: la oferta se ha cerrado con el 70 % de los minoritarios; la unit se ha quedado con poca liquidez y el ADR ha salido de la NYSE. El 3T26 y el 4T26 trajeron más provisiones por pymes y agro, el ROE se quedó en el 12 % y el Ke en reales siguió por encima del 20 %. Sin el ancla del canje, la unit cayó a 0,75 veces su valor contable, ≈ 20 BRL, y quien no acudió perdió un 25 % frente a quien canjeó.</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abarata la atención, el análisis de crédito y el cobro, y Santander Brasil comparte plataforma tecnológica con el grupo; pero también baja la barrera de Nubank, Mercado Pago y las tecnológicas en crédito al consumo, donde está su problema de morosidad. Efecto neto pequeño en 3-5 años.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riesgo de crédito con criterios climáticos (agro, con morosidad al alza) y la conducta comercial con particulares de renta baja, de los que el banco se está retirando [1, 4]. No se ha encontrado una cifra que mueva la valoración.</w:t>
      </w:r>
    </w:p>
    <w:p>
      <w:pPr>
        <w:pStyle w:val="Heading2"/>
      </w:pPr>
      <w:r>
        <w:t xml:space="preserve">Controversias</w:t>
      </w:r>
    </w:p>
    <w:p>
      <w:pPr>
        <w:spacing w:after="100"/>
      </w:pPr>
      <w:r>
        <w:t xml:space="preserve">Contingencias laborales y civiles provisionadas (1.199 M de provisiones para contingencias en el 2T26 y 291 M de provisión laboral extraordinaria) [1]. Sin sanciones relevantes localizadas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pasará con la cotización de la unit, el Nivel 2 y el ADR si la oferta se cierra con poca aceptación?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conviene acudir.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crédito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toca techo el coste del crédito (3,81 %) y la morosidad a más de 90 días (3,3 %)?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con el mercado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Selic hace falta para que el margen con el mercado vuelva a positivo?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banco es pasivo-sensible.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ROE objetivo tiene el nuevo consejero delegado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un ROE por encima del 20 % no cubre su Ke.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rango de valor da el laudo de UBS BB y cómo se compara con el ratio ofrecido?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referencia de precio justo para el minoritario.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 Times (nota y comentarios sobre los riesgos de la oferta)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debate gira en torno a si la prima del 15 % es justa tras un 2T26 malo que dejó la unit en mínimos, y al riesgo de quedarse con una unit sin liquidez si no se acude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 Invest (blog de asesoría)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permuta por BDR de la matriz y la presenta como decisión de cartera (cambiar riesgo Brasil por riesgo grupo) más que de precio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Money Times (reacción al anuncio)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unit sube un 13 % y «quema» parte de la prima: los minoritarios dudan entre vender en bolsa o esperar al canje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la oferta «baja» (OPA a precio de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el ratio se fijó sobre 25,25 BRL, mínimo de 52 semanas tras el 2T26; pero el valor intrínseco del método (17,8 BRL) está muy por debajo y el canje vale ≈ 27 BRL: la oferta paga más de lo que vale el banco con este Ke.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quedarse fuera (liquidez, salida de la NYSE)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dice la propia matriz en sus preguntas y respuestas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Canje por BDR de la matriz como diversificación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 pesa ≈ 15 % del beneficio ordinario del grupo: el canje reduce mucho la exposición al riesgo brasileño.</w:t>
            </w:r>
          </w:p>
        </w:tc>
      </w:tr>
    </w:tbl>
    <w:p>
      <w:pPr>
        <w:spacing w:after="160" w:before="0"/>
      </w:pPr>
    </w:p>
    <w:p>
      <w:pPr>
        <w:spacing w:after="100"/>
      </w:pPr>
      <w:r>
        <w:t xml:space="preserve">El sentimiento particular no contradice al análisis: nadie defiende el banco por su ROE; la discusión es si aceptar o no el canje. Si la prima parece baja es porque el ROE del 12,5 % la justifica poco. No aporta ningún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33 (11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crecimiento proyectado (5,8 %) supera con holgura el histórico de ingresos (-2,7 %)):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20,6 % frente a un ROIC de 10,2 % y un incremental histórico de -16,6 %: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5,00 %. Explicación: El 5,0 % es NOMINAL EN REALES: IPCA de largo plazo del Focus (3,5 % [29]) + 1,5 de crecimiento real. Equivale a un 1,5 % real, dentro de la regla. La tasa libre (15,435 %) y el Ke (20,94 %) están en la misma moneda. Es el mismo supuesto que Itaú y BTG.</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gerencial recurrente de 2022 y 2023 de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resultados del 4T22 y 4T23 en la web de RI (enlaces mziq no localizados); 2) 20-F 2023 (solo NIIF); 3) prensa: 12,9 mil M en 2022 (InfoMoney) y 2023 derivado del +50,2 % de 2024 (Jornal de Brasília)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de 2021 y 2022 y recompras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(solo 2023-2025); 2) DFC de la CVM (método directo sin detalle en 2023 y 2025); 3) prensa (no buscada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e ingresos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serie del BCB (no separa por banco); 2) informe del 2T26 (cartera ampliada, perímetro distinto); 3) informes de los rivales (el margen EBIT no aplica a un banco)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 las da); 2) web de RI (no leída por tiempo);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 y remuneración individual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(solo totales y criterios); 2) actas de la junta en 6-K (sin porcentajes en lo leído); 3) Formulário de Referência (no leído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Forms 3/4 en EDGAR (hay presentaciones de ago-oct 2026, no leídas una a una); 2) informes mensuales de la CVM (no leídos); 3) prensa (sin noticias de compras o ventas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la da para SANB11); 2) B3 (préstamo de acciones, no leído);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valor del laudo de UBS BB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fato relevante del 21-sep (remite al IPE de la CVM); 2) web de RI (laudo no localizado en las búsquedas); 3) prensa (Renova, Money Times: sin la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(Reddit, Stocktwits, ADVFN Brasil)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Stocktwits (no probada por tiempo); 2) Reddit (403 habitual); 3) prensa con comentarios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Resultados do 2º trimestre de 2026 (BRGAAP): resultado gerencial, ROAE, PDD, morosidad, capital, balance, reconciliación contable-gerencial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(Brasil)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https://api.mziq.com/mzfilemanager/v2/d/a2595886-9fbb-4339-8a38-71d6ce7c7d36/5395e890-a68c-8c25-7c30-399ec6928c53?origin=2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Apresentação de resultados 1T26 (BRGAAP)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Santander (Brasil)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https://api.mziq.com/mzfilemanager/v2/d/a2595886-9fbb-4339-8a38-71d6ce7c7d36/227b8257-7fe0-6666-8706-75a5b5ccbb7b?origin=2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abiertos de la CVM: DFP 2021, 2023 y 2025 e ITR 2026 de BCO SANTANDER (BRASIL) S.A. (CD_CVM 020532), estados consolidados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Comissão de Valores Mobiliários (dados.cvm.gov.br)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https://dados.cvm.gov.br/dataset/cia_aberta-doc-dfp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accionistas (Item 7), dividendos y JCP (Item 8), consejo y dirección (Item 6), auditor, oferta de canje de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(Brasil)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https://www.sec.gov/Archives/edgar/data/1471055/000129281426000592/bsbrform20f_2025.htm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(SANB11) lucra R$ 4,1 bi no 4º trimestre, alta anual de 6 % (ROAE 17,6 %, receita total 21.086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https://www.infomoney.com.br/mercados/santander-sanb11-resultados-quarto-trimestre-2025/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Brasil reporta lucro recorrente de R$ 4,08 bilhões no 4T25 (15,6 mil M en 2025, +12,6 %)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https://financenews.com.br/2026/02/santander-brasil-sanb11-reporta-lucro-recorrente-de-r-408-bilhoes-no-4t25/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Brasil se recupera e lucra R$ 13,87 bilhões em 2024 (+50,2 % sobre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Jornal de Brasília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https://jornaldebrasilia.com.br/noticias/economia/santander-brasil-se-recupera-e-lucra-de-r-1387-bilhoes-em-2024/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(SANB11) lucra R$ 1,69 bi no 4º trimestre de 2022 (12,9 mil M en 2022, −21 %; ROE 16,3 %)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https://www.infomoney.com.br/mercados/santander-sanb11-lucra-r-169-bi-no-4o-trimestre-de-2022-queda-de-46-e-bem-abaixo-do-consenso-de-mercado/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Brasil fecha 2021 com lucro de R$ 16,347 bilhões (ROAE 21,2 %)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Jornal do Comércio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https://www.jornaldocomercio.com/_conteudo/economia/2022/02/amp/831617-santander-brasil-fecha-2021-com-lucro-de-r-16-347-bilhoes-alta-de-7-ante-2020.html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Apresentação de resultados 3T25 y 2T25 (BRGAAP)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(Brasil)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https://api.mziq.com/mzfilemanager/v2/d/a2595886-9fbb-4339-8a38-71d6ce7c7d36/e1e31906-eec6-2833-1688-123f3df14a21?origin=1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del consejo del 9-oct-2026 y aviso a los accionistas: JCP de 1.500 M (0,401 BRL por unit; registro 20-oct, pago 9-nov); composición de la 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(Brasil) S.A.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https://www.sec.gov/Archives/edgar/data/1471055/000129281426004890/bsbr20261009_6k.htm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 Gerenciador de Séries Temporais, serie 20539: saldo de las operaciones de crédito del sistema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https://api.bcb.gov.br/dados/serie/bcdata.sgs.20539/dados?formato=json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bancos comparables (capitalización, ROE, P/VC, PER adelantado),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https://finance.yahoo.com/quote/SANB11.SA/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Expectativas de mercado (Focus): IPCA y Selic 2026-2030,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https://olinda.bcb.gov.br/olinda/servico/Expectativas/versao/v1/odata/ExpectativasMercadoAnuais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Gilson Finkelsztain será o novo CEO do Santander (sustituye a Mario Leão)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NeoFeed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https://neofeed.com.br/negocios/gilson-finkelsztain-sera-o-novo-ceo-do-santander/en/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announces its intention to launch an exchange offer to acquire the outstanding shares of Santander Brazil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https://www.sec.gov/Archives/edgar/data/1471055/000095010326011482/dp250946_425.htm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y respuestas sobre las ofertas de canje (ajuste del ratio por JCP, minoritarios que no acudan, calendario 1S27)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https://www.sec.gov/Archives/edgar/data/1471055/000095010326012441/dp251846_425.htm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Fato relevante: registro de las ofertas en la CVM, B3 y SEC (F-4) y laudo de UBS BB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(Brasil)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https://www.sec.gov/Archives/edgar/data/1471055/000095010326014284/dp253665_425.htm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«Deixo um banco melhor», diz Mario Leão em último balanço como CEO (previsión de resultado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Línea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https://www.bloomberglinea.com.br/negocios/deixo-um-banco-melhor-diz-mario-leao-em-ultimo-balanco-como-ceo-do-santander-brasil/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a los accionistas del 31-ago-2026 sobre la oferta (cierre esperado en el 1S27) (Form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Santander (Brasil)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https://www.sec.gov/Archives/edgar/data/1471055/000095010326013270/dp252667_425.htm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(SANB11.SA, BOVA11.SA, ITUB4.SA, SAN.MC, BSBR) hasta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https://finance.yahoo.com/quote/SANB11.SA/history/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(precio, consenso, objetivos, P/VC, ROE) de SANB11.SA, BSBR y comparables,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https://finance.yahoo.com/quote/SANB11.SA/analysis/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10-Year Bond Yield (15,435 % el 26-oct-2026; 12,98 % el 23-oct)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Ações de bancos despencam após reeleição de Lula (BTG −37 %, BB −31 %, Bradesco −25 %, Itaú −16 %) y peso de Brasil en el grupo Santander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Times Brasil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https://timesbrasil.com.br/empresas-e-negocios/santander-brasil-mantem-posto-e-tem-segundo-maior-resultado-do-grupo-no-mundo/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balanços do 3T26: Santander publica el 28-oct antes de la apertura; conferencia el 29-oct a las 10:00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https://www.seudinheiro.com/2026/economia/temporada-de-balancos-do-3t26-bate-a-porta-veja-as-datas-das-divulgacoes-e-das-teleconferencias-davs/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(SANB11): lucro tomba 17,6 % e vai a R$ 3 bilhões no 2T26 e frustra expectativas; ROE cai para 12,5 %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https://www.moneytimes.com.br/santander-sanb11-lucro-tomba-176-vai-a-r-3-bilhoes-no-2t26-e-frustra-expectativas-roe-cai-para-125/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BB passa a tesoura no preço-alvo de Santander (SANB11) e desiste da recomendação de olho em OPA (de compra a neutral, objetivo −10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 / TradeMap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https://trademap.com.br/noticias/news-8222133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Expectativas de mercado (Focus) del 23-oct-2026; PTAX del 26-oct (USD 5,5007; EUR 6,1487)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https://olinda.bcb.gov.br/olinda/servico/PTAX/versao/v1/odata/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Santander (SANB11) dispara 13 % e queima parte do prêmio com 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https://www.moneytimes.com.br/santander-sanb11-dispara-13-e-queima-parte-de-premio-com-opa/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bilionária do Santander (SANB11): as obrigações, os riscos e as frustrações com a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https://www.moneytimes.com.br/opa-bilionaria-do-santander-sanb11-as-obrigacoes-os-riscos-e-as-frustracoes-com-oferta/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 Invest: «Santander Brasil (SANB11): OPA de permuta é protocolada na CVM e na SEC» (lectura para 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https://renovainvest.com.br/blog/opa-de-permuta-santander-brasil/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 bancaria de Santander Brasil: exceso de rentabilidad, P/VC justificado, Ke en reales, oferta de canje y sensibilidades (valoracion-banco.md, generado por notas/valoracion-banco.mjs)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gobierno</w:t>
      </w:r>
      <w:r>
        <w:t xml:space="preserve"> · Generado el 27 oct 2026.</w:t>
      </w:r>
    </w:p>
    <w:p>
      <w:pPr>
        <w:pStyle w:val="Nota"/>
        <w:spacing w:after="100"/>
      </w:pPr>
      <w:r>
        <w:t xml:space="preserve">ES UN BANCO y el motor no tiene modelo de bancos: EBITDA, ROIC, valor empresa, deuda neta, circulante, Altman Z y Piotroski no significan nada aquí. Adaptaciones, las mismas que en Itaú y BTG del 27-oct: (1) la calidad se mide con ROE recurrente − Ke (coste del capital propio en reales) en lugar de ROIC − WACC, con la misma regla de nunca menos de 4,5 puntos; (2) el valor intrínseco sale de un modelo de exceso de rentabilidad (residual income) con P/VC justificado de contraste (valoracion-banco.md [33]), que entra al 100 % como «suma de partes» con valor directo; (3) el DCF del motor es un flujo para el accionista (beneficio − retención para crecer con el CET1, deuda 0) y solo es comprobación (peso 0). Bases contables: la serie histórica del informe es NIIF de la CVM (DFP e ITR, datos abiertos [3]) y del 20-F 2025 [4]; el BPA, el ROE, la regla a 12 meses y el modelo bancario usan el resultado gerencial recurrente BR GAAP, el de referencia del mercado [1, 5, 6, 7, 8, 9, 10]. El ITR NIIF del 1S26 de la CVM muestra un impuesto 0, dato raro: no se usa. Millones de BRL. Línea de compra: unit SANB11 en B3 (1 ON + 1 PN), 26,30 BRL al cierre del 26-oct-2026 [21]. El ADR BSBR (1 ADR = 1 unit) SIGUE cotizando en la NYSE (4,82 USD el 26-oct) y el banco sigue registrado en la SEC: no se ha deslistado. Desde el 30-jul-2026 el precio lo fija la oferta de canje de la matriz (0,4056 acciones de Banco Santander por unit) y no el beneficio: el método a 12 meses no da una señal fiable mientras la oferta siga viva. Último trimestre publicado: 2T26; el 3T26 sale el 28-oct antes de la apertura [26].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Banco Santander (Brasil) S.A. (SANB11)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26,30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(25,18 – 37,83)</c:v>
                </c:pt>
                <c:pt idx="1">
                  <c:v>Precio objetivo de los analistas (27,00 – 44,00)</c:v>
                </c:pt>
                <c:pt idx="2">
                  <c:v>Comparables: PER NTM (21,41 – 39,75)</c:v>
                </c:pt>
                <c:pt idx="3">
                  <c:v>DCF (WACC y g ± 0,5) (19,53 – 21,30)</c:v>
                </c:pt>
                <c:pt idx="4">
                  <c:v>Escenarios (bajista – alcista) (13,65 – 25,59)</c:v>
                </c:pt>
                <c:pt idx="5">
                  <c:v>Suma de partes (15,10 – 20,42)</c:v>
                </c:pt>
                <c:pt idx="6">
                  <c:v>DCF con la prima implícita del mercado (4,2 %)</c:v>
                </c:pt>
                <c:pt idx="7">
                  <c:v>Precio actual (26,30)</c:v>
                </c:pt>
              </c:strCache>
            </c:strRef>
          </c:cat>
          <c:val>
            <c:numRef>
              <c:f>Hoja1!$B$2:$B$9</c:f>
              <c:numCache>
                <c:formatCode>#,##0.0</c:formatCode>
                <c:ptCount val="8"/>
                <c:pt idx="0">
                  <c:v>25.18</c:v>
                </c:pt>
                <c:pt idx="1">
                  <c:v>27</c:v>
                </c:pt>
                <c:pt idx="2">
                  <c:v>21.41</c:v>
                </c:pt>
                <c:pt idx="3">
                  <c:v>19.53</c:v>
                </c:pt>
                <c:pt idx="4">
                  <c:v>13.65</c:v>
                </c:pt>
                <c:pt idx="5">
                  <c:v>15.1</c:v>
                </c:pt>
                <c:pt idx="6">
                  <c:v>21.48</c:v>
                </c:pt>
                <c:pt idx="7">
                  <c:v>26.17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(25,18 – 37,83)</c:v>
                </c:pt>
                <c:pt idx="1">
                  <c:v>Precio objetivo de los analistas (27,00 – 44,00)</c:v>
                </c:pt>
                <c:pt idx="2">
                  <c:v>Comparables: PER NTM (21,41 – 39,75)</c:v>
                </c:pt>
                <c:pt idx="3">
                  <c:v>DCF (WACC y g ± 0,5) (19,53 – 21,30)</c:v>
                </c:pt>
                <c:pt idx="4">
                  <c:v>Escenarios (bajista – alcista) (13,65 – 25,59)</c:v>
                </c:pt>
                <c:pt idx="5">
                  <c:v>Suma de partes (15,10 – 20,42)</c:v>
                </c:pt>
                <c:pt idx="6">
                  <c:v>DCF con la prima implícita del mercado (4,2 %)</c:v>
                </c:pt>
                <c:pt idx="7">
                  <c:v>Precio actual (26,30)</c:v>
                </c:pt>
              </c:strCache>
            </c:strRef>
          </c:cat>
          <c:val>
            <c:numRef>
              <c:f>Hoja1!$C$2:$C$9</c:f>
              <c:numCache>
                <c:formatCode>#,##0.0</c:formatCode>
                <c:ptCount val="8"/>
                <c:pt idx="0">
                  <c:v>12.649999999999999</c:v>
                </c:pt>
                <c:pt idx="1">
                  <c:v>17</c:v>
                </c:pt>
                <c:pt idx="2">
                  <c:v>18.34</c:v>
                </c:pt>
                <c:pt idx="3">
                  <c:v>1.7699999999999996</c:v>
                </c:pt>
                <c:pt idx="4">
                  <c:v>11.94</c:v>
                </c:pt>
                <c:pt idx="5">
                  <c:v>5.320000000000002</c:v>
                </c:pt>
                <c:pt idx="6">
                  <c:v>1.5799999999999983</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(BRL, millones)</a:t>
            </a:r>
          </a:p>
        </c:rich>
      </c:tx>
      <c:overlay val="0"/>
    </c:title>
    <c:autoTitleDeleted val="0"/>
    <c:plotArea>
      <c:layout/>
      <c:barChart>
        <c:barDir val="col"/>
        <c:grouping val="stacked"/>
        <c:varyColors val="0"/>
        <c:ser>
          <c:idx val="0"/>
          <c:order val="0"/>
          <c:tx>
            <c:strRef>
              <c:f>Hoja1!$B$1</c:f>
              <c:strCache>
                <c:ptCount val="1"/>
                <c:pt idx="0">
                  <c:v>Pessoa física (particulares)</c:v>
                </c:pt>
              </c:strCache>
            </c:strRef>
          </c:tx>
          <c:spPr>
            <a:solidFill>
              <a:srgbClr val="2A78D6"/>
            </a:solidFill>
            <a:ln w="12700">
              <a:solidFill>
                <a:srgbClr val="FFFFFF"/>
              </a:solidFill>
            </a:ln>
          </c:spPr>
          <c:invertIfNegative val="0"/>
          <c:cat>
            <c:strRef>
              <c:f>Hoja1!$A$2:$A$4</c:f>
              <c:strCache>
                <c:ptCount val="3"/>
                <c:pt idx="0">
                  <c:v>1T26</c:v>
                </c:pt>
                <c:pt idx="1">
                  <c:v>2T25</c:v>
                </c:pt>
                <c:pt idx="2">
                  <c:v>2T26</c:v>
                </c:pt>
              </c:strCache>
            </c:strRef>
          </c:cat>
          <c:val>
            <c:numRef>
              <c:f>Hoja1!$B$2:$B$4</c:f>
              <c:numCache>
                <c:formatCode>#,##0</c:formatCode>
                <c:ptCount val="3"/>
                <c:pt idx="0">
                  <c:v>265261</c:v>
                </c:pt>
                <c:pt idx="1">
                  <c:v>263651</c:v>
                </c:pt>
                <c:pt idx="2">
                  <c:v>263424</c:v>
                </c:pt>
              </c:numCache>
            </c:numRef>
          </c:val>
        </c:ser>
        <c:ser>
          <c:idx val="1"/>
          <c:order val="1"/>
          <c:tx>
            <c:strRef>
              <c:f>Hoja1!$C$1</c:f>
              <c:strCache>
                <c:ptCount val="1"/>
                <c:pt idx="0">
                  <c:v>Financiamento ao consumo (financiera)</c:v>
                </c:pt>
              </c:strCache>
            </c:strRef>
          </c:tx>
          <c:spPr>
            <a:solidFill>
              <a:srgbClr val="EB6834"/>
            </a:solidFill>
            <a:ln w="12700">
              <a:solidFill>
                <a:srgbClr val="FFFFFF"/>
              </a:solidFill>
            </a:ln>
          </c:spPr>
          <c:invertIfNegative val="0"/>
          <c:cat>
            <c:strRef>
              <c:f>Hoja1!$A$2:$A$4</c:f>
              <c:strCache>
                <c:ptCount val="3"/>
                <c:pt idx="0">
                  <c:v>1T26</c:v>
                </c:pt>
                <c:pt idx="1">
                  <c:v>2T25</c:v>
                </c:pt>
                <c:pt idx="2">
                  <c:v>2T26</c:v>
                </c:pt>
              </c:strCache>
            </c:strRef>
          </c:cat>
          <c:val>
            <c:numRef>
              <c:f>Hoja1!$C$2:$C$4</c:f>
              <c:numCache>
                <c:formatCode>#,##0</c:formatCode>
                <c:ptCount val="3"/>
                <c:pt idx="0">
                  <c:v>95442</c:v>
                </c:pt>
                <c:pt idx="1">
                  <c:v>87403</c:v>
                </c:pt>
                <c:pt idx="2">
                  <c:v>100766</c:v>
                </c:pt>
              </c:numCache>
            </c:numRef>
          </c:val>
        </c:ser>
        <c:ser>
          <c:idx val="2"/>
          <c:order val="2"/>
          <c:tx>
            <c:strRef>
              <c:f>Hoja1!$D$1</c:f>
              <c:strCache>
                <c:ptCount val="1"/>
                <c:pt idx="0">
                  <c:v>Pequenas e médias empresas</c:v>
                </c:pt>
              </c:strCache>
            </c:strRef>
          </c:tx>
          <c:spPr>
            <a:solidFill>
              <a:srgbClr val="1BAF7A"/>
            </a:solidFill>
            <a:ln w="12700">
              <a:solidFill>
                <a:srgbClr val="FFFFFF"/>
              </a:solidFill>
            </a:ln>
          </c:spPr>
          <c:invertIfNegative val="0"/>
          <c:cat>
            <c:strRef>
              <c:f>Hoja1!$A$2:$A$4</c:f>
              <c:strCache>
                <c:ptCount val="3"/>
                <c:pt idx="0">
                  <c:v>1T26</c:v>
                </c:pt>
                <c:pt idx="1">
                  <c:v>2T25</c:v>
                </c:pt>
                <c:pt idx="2">
                  <c:v>2T26</c:v>
                </c:pt>
              </c:strCache>
            </c:strRef>
          </c:cat>
          <c:val>
            <c:numRef>
              <c:f>Hoja1!$D$2:$D$4</c:f>
              <c:numCache>
                <c:formatCode>#,##0</c:formatCode>
                <c:ptCount val="3"/>
                <c:pt idx="0">
                  <c:v>93704</c:v>
                </c:pt>
                <c:pt idx="1">
                  <c:v>86056</c:v>
                </c:pt>
                <c:pt idx="2">
                  <c:v>95957</c:v>
                </c:pt>
              </c:numCache>
            </c:numRef>
          </c:val>
        </c:ser>
        <c:ser>
          <c:idx val="3"/>
          <c:order val="3"/>
          <c:tx>
            <c:strRef>
              <c:f>Hoja1!$E$1</c:f>
              <c:strCache>
                <c:ptCount val="1"/>
                <c:pt idx="0">
                  <c:v>Grandes empresas</c:v>
                </c:pt>
              </c:strCache>
            </c:strRef>
          </c:tx>
          <c:spPr>
            <a:solidFill>
              <a:srgbClr val="EDA100"/>
            </a:solidFill>
            <a:ln w="12700">
              <a:solidFill>
                <a:srgbClr val="FFFFFF"/>
              </a:solidFill>
            </a:ln>
          </c:spPr>
          <c:invertIfNegative val="0"/>
          <c:cat>
            <c:strRef>
              <c:f>Hoja1!$A$2:$A$4</c:f>
              <c:strCache>
                <c:ptCount val="3"/>
                <c:pt idx="0">
                  <c:v>1T26</c:v>
                </c:pt>
                <c:pt idx="1">
                  <c:v>2T25</c:v>
                </c:pt>
                <c:pt idx="2">
                  <c:v>2T26</c:v>
                </c:pt>
              </c:strCache>
            </c:strRef>
          </c:cat>
          <c:val>
            <c:numRef>
              <c:f>Hoja1!$E$2:$E$4</c:f>
              <c:numCache>
                <c:formatCode>#,##0</c:formatCode>
                <c:ptCount val="3"/>
                <c:pt idx="0">
                  <c:v>251176</c:v>
                </c:pt>
                <c:pt idx="1">
                  <c:v>238413</c:v>
                </c:pt>
                <c:pt idx="2">
                  <c:v>254623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(2T26)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Pessoa física (particulares)</c:v>
                </c:pt>
                <c:pt idx="1">
                  <c:v>Financiamento ao consumo (financiera)</c:v>
                </c:pt>
                <c:pt idx="2">
                  <c:v>Pequenas e médias empresas</c:v>
                </c:pt>
                <c:pt idx="3">
                  <c:v>Grandes empresas</c:v>
                </c:pt>
              </c:strCache>
            </c:strRef>
          </c:cat>
          <c:val>
            <c:numRef>
              <c:f>Hoja1!$B$2:$B$5</c:f>
              <c:numCache>
                <c:formatCode>General</c:formatCode>
                <c:ptCount val="4"/>
                <c:pt idx="0">
                  <c:v>36.9</c:v>
                </c:pt>
                <c:pt idx="1">
                  <c:v>14.1</c:v>
                </c:pt>
                <c:pt idx="2">
                  <c:v>13.4</c:v>
                </c:pt>
                <c:pt idx="3">
                  <c:v>35.6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Brasil</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BRL)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3476</c:v>
                </c:pt>
                <c:pt idx="1">
                  <c:v>4021</c:v>
                </c:pt>
                <c:pt idx="2">
                  <c:v>4683</c:v>
                </c:pt>
                <c:pt idx="3">
                  <c:v>5366</c:v>
                </c:pt>
                <c:pt idx="4">
                  <c:v>5805</c:v>
                </c:pt>
                <c:pt idx="5">
                  <c:v>6465</c:v>
                </c:pt>
                <c:pt idx="6">
                  <c:v>7137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Santander Brasil</c:v>
                </c:pt>
                <c:pt idx="1">
                  <c:v>Itaú Unibanco</c:v>
                </c:pt>
                <c:pt idx="2">
                  <c:v>Bradesco</c:v>
                </c:pt>
                <c:pt idx="3">
                  <c:v>Banco do Brasil</c:v>
                </c:pt>
                <c:pt idx="4">
                  <c:v>BTG Pactual</c:v>
                </c:pt>
                <c:pt idx="5">
                  <c:v>Nubank (Nu Holdings)</c:v>
                </c:pt>
                <c:pt idx="6">
                  <c:v>Banco Inter</c:v>
                </c:pt>
                <c:pt idx="7">
                  <c:v>Caixa Econômica Federal</c:v>
                </c:pt>
              </c:strCache>
            </c:strRef>
          </c:cat>
          <c:val>
            <c:numRef>
              <c:f>Hoja1!$B$2:$B$9</c:f>
              <c:numCache>
                <c:formatCode>0.0"%"</c:formatCode>
                <c:ptCount val="8"/>
                <c:pt idx="0">
                  <c:v>40.8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(BRL,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44357</c:v>
                </c:pt>
                <c:pt idx="1">
                  <c:v>40201</c:v>
                </c:pt>
                <c:pt idx="2">
                  <c:v>33987</c:v>
                </c:pt>
                <c:pt idx="3">
                  <c:v>42025</c:v>
                </c:pt>
                <c:pt idx="4">
                  <c:v>39835</c:v>
                </c:pt>
                <c:pt idx="5">
                  <c:v>42225</c:v>
                </c:pt>
                <c:pt idx="6">
                  <c:v>44970</c:v>
                </c:pt>
                <c:pt idx="7">
                  <c:v>47893</c:v>
                </c:pt>
                <c:pt idx="8">
                  <c:v>51006</c:v>
                </c:pt>
                <c:pt idx="9">
                  <c:v>54066</c:v>
                </c:pt>
                <c:pt idx="10">
                  <c:v>57310</c:v>
                </c:pt>
                <c:pt idx="11">
                  <c:v>60462</c:v>
                </c:pt>
                <c:pt idx="12">
                  <c:v>63788</c:v>
                </c:pt>
                <c:pt idx="13">
                  <c:v>66977</c:v>
                </c:pt>
                <c:pt idx="14">
                  <c:v>70326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24606</c:v>
                </c:pt>
                <c:pt idx="1">
                  <c:v>19376</c:v>
                </c:pt>
                <c:pt idx="2">
                  <c:v>11683</c:v>
                </c:pt>
                <c:pt idx="3">
                  <c:v>18877</c:v>
                </c:pt>
                <c:pt idx="4">
                  <c:v>16271</c:v>
                </c:pt>
                <c:pt idx="5">
                  <c:v>16552</c:v>
                </c:pt>
                <c:pt idx="6">
                  <c:v>18887</c:v>
                </c:pt>
                <c:pt idx="7">
                  <c:v>21504</c:v>
                </c:pt>
                <c:pt idx="8">
                  <c:v>23616</c:v>
                </c:pt>
                <c:pt idx="9">
                  <c:v>25952</c:v>
                </c:pt>
                <c:pt idx="10">
                  <c:v>27509</c:v>
                </c:pt>
                <c:pt idx="11">
                  <c:v>29687</c:v>
                </c:pt>
                <c:pt idx="12">
                  <c:v>31702</c:v>
                </c:pt>
                <c:pt idx="13">
                  <c:v>33422</c:v>
                </c:pt>
                <c:pt idx="14">
                  <c:v>35093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55.5</c:v>
                </c:pt>
                <c:pt idx="1">
                  <c:v>48.2</c:v>
                </c:pt>
                <c:pt idx="2">
                  <c:v>34.4</c:v>
                </c:pt>
                <c:pt idx="3">
                  <c:v>44.9</c:v>
                </c:pt>
                <c:pt idx="4">
                  <c:v>40.8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55.5</c:v>
                </c:pt>
                <c:pt idx="1">
                  <c:v>48.2</c:v>
                </c:pt>
                <c:pt idx="2">
                  <c:v>34.4</c:v>
                </c:pt>
                <c:pt idx="3">
                  <c:v>44.9</c:v>
                </c:pt>
                <c:pt idx="4">
                  <c:v>40.8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c:v>
                </c:pt>
                <c:pt idx="1">
                  <c:v>35.5</c:v>
                </c:pt>
                <c:pt idx="2">
                  <c:v>27.8</c:v>
                </c:pt>
                <c:pt idx="3">
                  <c:v>31.8</c:v>
                </c:pt>
                <c:pt idx="4">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1">
                  <c:v>3.3</c:v>
                </c:pt>
                <c:pt idx="2">
                  <c:v>1</c:v>
                </c:pt>
                <c:pt idx="3">
                  <c:v>-1.9</c:v>
                </c:pt>
                <c:pt idx="4">
                  <c:v>0.9</c:v>
                </c:pt>
                <c:pt idx="5">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(BRL,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15528</c:v>
                </c:pt>
                <c:pt idx="1">
                  <c:v>14287</c:v>
                </c:pt>
                <c:pt idx="2">
                  <c:v>9449</c:v>
                </c:pt>
                <c:pt idx="3">
                  <c:v>13366</c:v>
                </c:pt>
                <c:pt idx="4">
                  <c:v>12766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15528</c:v>
                </c:pt>
                <c:pt idx="1">
                  <c:v>14287</c:v>
                </c:pt>
                <c:pt idx="2">
                  <c:v>9449</c:v>
                </c:pt>
                <c:pt idx="3">
                  <c:v>13366</c:v>
                </c:pt>
                <c:pt idx="4">
                  <c:v>12766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14.6</c:v>
                </c:pt>
                <c:pt idx="1">
                  <c:v>13.1</c:v>
                </c:pt>
                <c:pt idx="2">
                  <c:v>8.3</c:v>
                </c:pt>
                <c:pt idx="3">
                  <c:v>11.2</c:v>
                </c:pt>
                <c:pt idx="4">
                  <c:v>10.2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20.9</c:v>
                </c:pt>
                <c:pt idx="1">
                  <c:v>20.9</c:v>
                </c:pt>
                <c:pt idx="2">
                  <c:v>20.9</c:v>
                </c:pt>
                <c:pt idx="3">
                  <c:v>20.9</c:v>
                </c:pt>
                <c:pt idx="4">
                  <c:v>20.9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14.7</c:v>
                </c:pt>
                <c:pt idx="1">
                  <c:v>13.2</c:v>
                </c:pt>
                <c:pt idx="2">
                  <c:v>8.4</c:v>
                </c:pt>
                <c:pt idx="3">
                  <c:v>11.4</c:v>
                </c:pt>
                <c:pt idx="4">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(BRL,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2">
                  <c:v>6200</c:v>
                </c:pt>
                <c:pt idx="3">
                  <c:v>6000</c:v>
                </c:pt>
                <c:pt idx="4">
                  <c:v>7620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5</c:v>
                </c:pt>
                <c:pt idx="1">
                  <c:v>3</c:v>
                </c:pt>
                <c:pt idx="2">
                  <c:v>2</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Banco Santander, S.A. (directo y por Sterrebeeck B.V. 47,25 % y Grupo Empresarial Santander S.L. 42,25 %)</c:v>
                </c:pt>
                <c:pt idx="1">
                  <c:v>Autocartera</c:v>
                </c:pt>
                <c:pt idx="2">
                  <c:v>Flotante (units SANB11, ordinarias, preferentes y ADR BSBR)</c:v>
                </c:pt>
              </c:strCache>
            </c:strRef>
          </c:cat>
          <c:val>
            <c:numRef>
              <c:f>Hoja1!$B$2:$B$4</c:f>
              <c:numCache>
                <c:formatCode>0.0"%"</c:formatCode>
                <c:ptCount val="3"/>
                <c:pt idx="0">
                  <c:v>89.53</c:v>
                </c:pt>
                <c:pt idx="1">
                  <c:v>0.36</c:v>
                </c:pt>
                <c:pt idx="2">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95.7</c:v>
                </c:pt>
                <c:pt idx="1">
                  <c:v>14.5</c:v>
                </c:pt>
                <c:pt idx="2">
                  <c:v>42.3</c:v>
                </c:pt>
                <c:pt idx="3">
                  <c:v>20.4</c:v>
                </c:pt>
                <c:pt idx="4">
                  <c:v>-1.7</c:v>
                </c:pt>
                <c:pt idx="5">
                  <c:v>-25</c:v>
                </c:pt>
                <c:pt idx="6">
                  <c:v>0.4</c:v>
                </c:pt>
                <c:pt idx="7">
                  <c:v>21.6</c:v>
                </c:pt>
                <c:pt idx="8">
                  <c:v>-22</c:v>
                </c:pt>
                <c:pt idx="9">
                  <c:v>53.2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38.2</c:v>
                </c:pt>
                <c:pt idx="1">
                  <c:v>26.8</c:v>
                </c:pt>
                <c:pt idx="2">
                  <c:v>14.6</c:v>
                </c:pt>
                <c:pt idx="3">
                  <c:v>31.5</c:v>
                </c:pt>
                <c:pt idx="4">
                  <c:v>3.1</c:v>
                </c:pt>
                <c:pt idx="5">
                  <c:v>-12.1</c:v>
                </c:pt>
                <c:pt idx="6">
                  <c:v>5.1</c:v>
                </c:pt>
                <c:pt idx="7">
                  <c:v>23.1</c:v>
                </c:pt>
                <c:pt idx="8">
                  <c:v>-10.1</c:v>
                </c:pt>
                <c:pt idx="9">
                  <c:v>34.7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4.6</c:v>
                </c:pt>
                <c:pt idx="1">
                  <c:v>5.5</c:v>
                </c:pt>
                <c:pt idx="2">
                  <c:v>10.4</c:v>
                </c:pt>
                <c:pt idx="3">
                  <c:v>4.7</c:v>
                </c:pt>
                <c:pt idx="4">
                  <c:v>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5.5</c:v>
                </c:pt>
                <c:pt idx="1">
                  <c:v>5.5</c:v>
                </c:pt>
                <c:pt idx="2">
                  <c:v>5.5</c:v>
                </c:pt>
                <c:pt idx="3">
                  <c:v>5.5</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(BRL,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7330</c:v>
                </c:pt>
                <c:pt idx="1">
                  <c:v>8364</c:v>
                </c:pt>
                <c:pt idx="2">
                  <c:v>10019</c:v>
                </c:pt>
                <c:pt idx="3">
                  <c:v>11242</c:v>
                </c:pt>
                <c:pt idx="4">
                  <c:v>13192</c:v>
                </c:pt>
                <c:pt idx="5">
                  <c:v>13984</c:v>
                </c:pt>
                <c:pt idx="6">
                  <c:v>15950</c:v>
                </c:pt>
                <c:pt idx="7">
                  <c:v>17133</c:v>
                </c:pt>
                <c:pt idx="8">
                  <c:v>18901</c:v>
                </c:pt>
                <c:pt idx="9">
                  <c:v>19846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(BRL,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53388</c:v>
                </c:pt>
                <c:pt idx="1">
                  <c:v>22851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(BRL) · precio actual 26,30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13.65</c:v>
                </c:pt>
                <c:pt idx="1">
                  <c:v>20.36</c:v>
                </c:pt>
                <c:pt idx="2">
                  <c:v>25.59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26,30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(25,18 – 37,83)</c:v>
                </c:pt>
                <c:pt idx="1">
                  <c:v>Precio objetivo de los analistas (27,00 – 44,00)</c:v>
                </c:pt>
                <c:pt idx="2">
                  <c:v>Comparables: PER NTM (21,41 – 39,75)</c:v>
                </c:pt>
                <c:pt idx="3">
                  <c:v>DCF (WACC y g ± 0,5) (19,53 – 21,30)</c:v>
                </c:pt>
                <c:pt idx="4">
                  <c:v>Escenarios (bajista – alcista) (13,65 – 25,59)</c:v>
                </c:pt>
                <c:pt idx="5">
                  <c:v>Suma de partes (15,10 – 20,42)</c:v>
                </c:pt>
                <c:pt idx="6">
                  <c:v>DCF con la prima implícita del mercado (4,2 %)</c:v>
                </c:pt>
                <c:pt idx="7">
                  <c:v>Precio actual (26,30)</c:v>
                </c:pt>
              </c:strCache>
            </c:strRef>
          </c:cat>
          <c:val>
            <c:numRef>
              <c:f>Hoja1!$B$2:$B$9</c:f>
              <c:numCache>
                <c:formatCode>#,##0.0</c:formatCode>
                <c:ptCount val="8"/>
                <c:pt idx="0">
                  <c:v>25.18</c:v>
                </c:pt>
                <c:pt idx="1">
                  <c:v>27</c:v>
                </c:pt>
                <c:pt idx="2">
                  <c:v>21.41</c:v>
                </c:pt>
                <c:pt idx="3">
                  <c:v>19.53</c:v>
                </c:pt>
                <c:pt idx="4">
                  <c:v>13.65</c:v>
                </c:pt>
                <c:pt idx="5">
                  <c:v>15.1</c:v>
                </c:pt>
                <c:pt idx="6">
                  <c:v>21.48</c:v>
                </c:pt>
                <c:pt idx="7">
                  <c:v>26.17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(25,18 – 37,83)</c:v>
                </c:pt>
                <c:pt idx="1">
                  <c:v>Precio objetivo de los analistas (27,00 – 44,00)</c:v>
                </c:pt>
                <c:pt idx="2">
                  <c:v>Comparables: PER NTM (21,41 – 39,75)</c:v>
                </c:pt>
                <c:pt idx="3">
                  <c:v>DCF (WACC y g ± 0,5) (19,53 – 21,30)</c:v>
                </c:pt>
                <c:pt idx="4">
                  <c:v>Escenarios (bajista – alcista) (13,65 – 25,59)</c:v>
                </c:pt>
                <c:pt idx="5">
                  <c:v>Suma de partes (15,10 – 20,42)</c:v>
                </c:pt>
                <c:pt idx="6">
                  <c:v>DCF con la prima implícita del mercado (4,2 %)</c:v>
                </c:pt>
                <c:pt idx="7">
                  <c:v>Precio actual (26,30)</c:v>
                </c:pt>
              </c:strCache>
            </c:strRef>
          </c:cat>
          <c:val>
            <c:numRef>
              <c:f>Hoja1!$C$2:$C$9</c:f>
              <c:numCache>
                <c:formatCode>#,##0.0</c:formatCode>
                <c:ptCount val="8"/>
                <c:pt idx="0">
                  <c:v>12.649999999999999</c:v>
                </c:pt>
                <c:pt idx="1">
                  <c:v>17</c:v>
                </c:pt>
                <c:pt idx="2">
                  <c:v>18.34</c:v>
                </c:pt>
                <c:pt idx="3">
                  <c:v>1.7699999999999996</c:v>
                </c:pt>
                <c:pt idx="4">
                  <c:v>11.94</c:v>
                </c:pt>
                <c:pt idx="5">
                  <c:v>5.320000000000002</c:v>
                </c:pt>
                <c:pt idx="6">
                  <c:v>1.5799999999999983</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