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30,82 EUR</w:t>
      </w:r>
      <w:r>
        <w:t xml:space="preserve"> frente a 31,40 · Rentabilidad total esperada a 12 meses </w:t>
      </w:r>
      <w:r>
        <w:rPr>
          <w:b/>
          <w:bCs/>
        </w:rPr>
        <w:t xml:space="preserve">+0,2 %</w:t>
      </w:r>
      <w:r>
        <w:t xml:space="preserve"> · Alcista / bajista +10,2 % / -40,2 %</w:t>
      </w:r>
    </w:p>
    <w:p>
      <w:pPr>
        <w:spacing w:after="100"/>
      </w:pPr>
      <w:r>
        <w:rPr>
          <w:b/>
        </w:rPr>
        <w:t xml:space="preserve">La recomendación y por qué.</w:t>
      </w:r>
      <w:r>
        <w:t xml:space="preserve"> Mantener, con convicción media. El valor objetivo de 30,82 EUR deja una rentabilidad total esperada casi nula, y la asimetría es mala: el escenario alcista gana un 10 % y el bajista pierde un 40 %.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27,61 EUR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27,29 EUR o si la cartera de redes acelera por encima del 10 %; venderíamos por encima de 35,05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 frente a 8,5 %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spacing w:after="100"/>
      </w:pPr>
      <w:r>
        <w:rPr>
          <w:b/>
          <w:bCs/>
        </w:rPr>
        <w:t xml:space="preserve">Lo que descuenta el precio.</w:t>
      </w:r>
    </w:p>
    <w:p>
      <w:pPr>
        <w:spacing w:after="100"/>
      </w:pPr>
      <w:r>
        <w:t xml:space="preserve">Un crecimiento de ingresos en torno al 6 % anual y márgenes estables, en línea con el consenso [16][17].</w:t>
      </w:r>
    </w:p>
    <w:p>
      <w:pPr>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spacing w:after="100"/>
      </w:pPr>
      <w:r>
        <w:rPr>
          <w:b/>
          <w:bCs/>
        </w:rPr>
        <w:t xml:space="preserve">Márgenes.</w:t>
      </w:r>
    </w:p>
    <w:p>
      <w:pPr>
        <w:spacing w:after="100"/>
      </w:pPr>
      <w:r>
        <w:t xml:space="preserve">El margen sube hasta el 16,8 %, por debajo del objetivo del plan (17 %) [8], por la presión en transformadores [26].</w:t>
      </w:r>
    </w:p>
    <w:p>
      <w:pPr>
        <w:spacing w:after="100"/>
      </w:pPr>
      <w:r>
        <w:rPr>
          <w:b/>
          <w:bCs/>
        </w:rPr>
        <w:t xml:space="preserve">Inversión y circulante.</w:t>
      </w:r>
    </w:p>
    <w:p>
      <w:pPr>
        <w:spacing w:after="100"/>
      </w:pPr>
      <w:r>
        <w:t xml:space="preserve">Capex del 5 % por el plan de capacidad hasta 2028 y del 4,5 % después, por encima de la amortización (4,3 %) [8].</w:t>
      </w:r>
    </w:p>
    <w:p>
      <w:pPr>
        <w:spacing w:after="100"/>
      </w:pPr>
      <w:r>
        <w:rPr>
          <w:b/>
          <w:bCs/>
        </w:rPr>
        <w:t xml:space="preserve">Coste del capital.</w:t>
      </w:r>
    </w:p>
    <w:p>
      <w:pPr>
        <w:spacing w:after="100"/>
      </w:pPr>
      <w:r>
        <w:t xml:space="preserve">Bono español a 10 años del 3,2 % [15], beta ajustada de 1,05 y prima de mercado del 5,5 %, más 0,5 puntos por tamaño [15].</w:t>
      </w:r>
    </w:p>
    <w:p>
      <w:pPr>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26,80 EUR (-14,6 %).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97,8 %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18.79</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2026-10-06T20:16:24.250Z</dcterms:created>
  <dcterms:modified xsi:type="dcterms:W3CDTF">2026-10-06T20:16:24.252Z</dcterms:modified>
</cp:coreProperties>
</file>

<file path=docProps/custom.xml><?xml version="1.0" encoding="utf-8"?>
<Properties xmlns="http://schemas.openxmlformats.org/officeDocument/2006/custom-properties" xmlns:vt="http://schemas.openxmlformats.org/officeDocument/2006/docPropsVTypes"/>
</file>