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Asia Vital Components Co., Ltd. (奇鋐科技股份有限公司)</w:t>
      </w:r>
    </w:p>
    <w:p>
      <w:pPr>
        <w:spacing w:after="60"/>
        <w:rPr>
          <w:color w:val="52514E"/>
          <w:sz w:val="22"/>
          <w:szCs w:val="22"/>
        </w:rPr>
      </w:pPr>
      <w:r>
        <w:rPr>
          <w:color w:val="52514E"/>
          <w:sz w:val="22"/>
          <w:szCs w:val="22"/>
        </w:rPr>
        <w:t xml:space="preserve">3017 · Bolsa de Taiwán (TWSE) · ISIN TW0003017000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3.315,00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2.811,79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-14,5 % (base -1,3 %)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1.734,96 TWD · mercado 1.992,61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1.325.337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Asia Vital Components Co., Ltd. (奇鋐科技股份有限公司)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 / TW0003017000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(^TWII)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Componentes electrónicos (soluciones térmicas)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Kaohsiung (Taiwán) · 1991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https://www.avc.co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3.315,00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1.120,00 – 3.700,00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1.325.337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1.410.231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 mil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2.811,79 TWD</w:t>
      </w:r>
      <w:r>
        <w:t xml:space="preserve"> frente a 3.315,00 · Rentabilidad a 12 meses </w:t>
      </w:r>
      <w:r>
        <w:rPr>
          <w:b/>
          <w:bCs/>
        </w:rPr>
        <w:t xml:space="preserve">-14,5 % (base -1,3 %)</w:t>
      </w:r>
      <w:r>
        <w:t xml:space="preserve"> · Valor intrínseco 1.734,96 TWD · con la prima implícita del mercado: 1.992,61 (-39,9 %) · Alcista / bajista -48,9 % / -87,1 %</w:t>
      </w:r>
    </w:p>
    <w:p>
      <w:pPr>
        <w:spacing w:after="100"/>
      </w:pPr>
      <w:r>
        <w:rPr>
          <w:b/>
        </w:rPr>
        <w:t xml:space="preserve">La recomendación y por qué.</w:t>
      </w:r>
      <w:r>
        <w:t xml:space="preserve"> Vender (para quien no la tiene: no comprar), con convicción media. El objetivo a 12 meses es de 2.811,79 TWD (ponderado), un 14,5 % por debajo del precio de 3.315 TWD del 16-oct con el dividendo; el base, 3.250,8 TWD (−1,3 %). El valor intrínseco es de 1.734,96 TWD, y el objetivo medio de los analistas, 4.200,35 TWD [34], queda por encima de todo nuestro rango. La asimetría es de 0,33: se pierde más en el bajista (−84,6 %) que lo que se gana en el alcista (+29,0 %). La razón principal: el precio paga 23,8 veces nuestro BPA de 2027e, frente a 12,9 veces de mediana en cinco años, por un negocio que es excelente pero cíclico. La convicción es media porque discrepamos del mercado en múltiplo y margen, no en ventas; la subiría un recorte de las guías de inversión de la nube en enero de 2027 o un margen bruto del 3T por debajo del 30 %, y la bajaría uno por encima del 34 %.</w:t>
      </w:r>
    </w:p>
    <w:p>
      <w:pPr>
        <w:spacing w:after="100"/>
      </w:pPr>
      <w:r>
        <w:rPr>
          <w:b/>
        </w:rPr>
        <w:t xml:space="preserve">El negocio.</w:t>
      </w:r>
      <w:r>
        <w:t xml:space="preserve"> AVC es uno de los dos o tres grandes proveedores de placas frías y colectores para los racks de IA de Nvidia y de los chips propios de los grandes de la nube [7]. El ROIC de 2025 es del 128,9 % frente a un WACC del 9,98 % (en torno al 63 % sobre el capital operativo), con un margen operativo del 27,4 % en el 2T26 frente al 16 % de Auras [4, 18]. El foso es estrecho: cada plataforma se licita de nuevo. La prueba de sostenibilidad da «Sí»: la reinversión prevista financia de sobra el crecimiento proyectado y el margen bruto ha subido doce puntos en tres años con inflación de materiales; lo que no sostiene la calidad es el ciclo.</w:t>
      </w:r>
    </w:p>
    <w:p>
      <w:pPr>
        <w:spacing w:after="100"/>
      </w:pPr>
      <w:r>
        <w:rPr>
          <w:b/>
        </w:rPr>
        <w:t xml:space="preserve">Sector y ciclo.</w:t>
      </w:r>
      <w:r>
        <w:t xml:space="preserve"> La refrigeración líquida de centros de datos crece un 23,6 % anual hasta 2029 [14] y la penetración en chips de IA pasa del 53 % al 60 % en 2027 [17]. Es un mercado estructural sobre un gasto cíclico, y el sector amplía su capacidad líquida un 50 % en 2027 [7].</w:t>
      </w:r>
    </w:p>
    <w:p>
      <w:pPr>
        <w:spacing w:after="100"/>
      </w:pPr>
      <w:r>
        <w:rPr>
          <w:b/>
        </w:rPr>
        <w:t xml:space="preserve">Finanzas.</w:t>
      </w:r>
      <w:r>
        <w:t xml:space="preserve"> Ventas de 39.666 M en 2020 a 139.639 M en 2025 y unos 222.305 M en 2026e, con caja neta y un flujo libre de 36.737 M en los últimos doce meses [1, 4, 6]. Dos avisos: las existencias se han triplicado en dos años (57.874 M) y una parte del beneficio es de los minoritarios de Fositek.</w:t>
      </w:r>
    </w:p>
    <w:p>
      <w:pPr>
        <w:spacing w:after="100"/>
      </w:pPr>
      <w:r>
        <w:rPr>
          <w:b/>
        </w:rPr>
        <w:t xml:space="preserve">Valoración.</w:t>
      </w:r>
      <w:r>
        <w:t xml:space="preserve"> El DCF da 1.287,41 TWD; para justificar el precio, las ventas tendrían que crecer un 25 % anual durante nueve años o el margen EBITDA llegar al 44 %. Frente a sus comparables no está cara (22,2 veces el BPA de los próximos 12 meses frente a 24,7), pero todo el sector cotiza a múltiplos de pico. Nuestro BPA de 2027e está un 13,8 % por debajo del consenso por margen, no por ventas.</w:t>
      </w:r>
    </w:p>
    <w:p>
      <w:pPr>
        <w:spacing w:after="100"/>
      </w:pPr>
      <w:r>
        <w:rPr>
          <w:b/>
        </w:rPr>
        <w:t xml:space="preserve">Riesgos y catalizadores.</w:t>
      </w:r>
      <w:r>
        <w:t xml:space="preserve"> Los mayores riesgos son el ciclo del gasto en centros de datos (−67 % en el bajista del DCF), la compresión del múltiplo y la refrigeración en el chip [16]. El 7-oct el MJIB registró la empresa por la salida a bolsa de Fositek [11]: retrasa una compra hipotética, no cambia la venta. Catalizadores: ventas de octubre (10-nov), resultados del 3T (hacia el 12-nov) y guías de inversión de 2027 (enero-febrero). Los foros están en «optimismo extremo» [49].</w:t>
      </w:r>
    </w:p>
    <w:p>
      <w:pPr>
        <w:spacing w:after="100"/>
      </w:pPr>
      <w:r>
        <w:rPr>
          <w:b/>
        </w:rPr>
        <w:t xml:space="preserve">Qué cambiaría la decisión.</w:t>
      </w:r>
      <w:r>
        <w:t xml:space="preserve"> Por debajo de 1.734,96 TWD sería Comprar; entre 1.734,96 y 3.147,41 TWD, Mantener. Revisaríamos al alza el BPA si el margen bruto se sostiene por encima del 34 % con ventas de 2027 un 40 % mayores; lo bajaríamos hacia el bajista con dos meses seguidos de ventas por debajo de 15.000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2.811,79 TWD</w:t>
      </w:r>
      <w:r>
        <w:t xml:space="preserve"> (rentabilidad -14,5 % (base -1,3 %)) · Valor intrínseco: 1.734,96 TWD (-47,7 % sobre 3.315,00) · con la prima implícita del mercado: 1.992,61 (-39,9 %)</w:t>
      </w:r>
    </w:p>
    <w:p>
      <w:pPr>
        <w:spacing w:after="100"/>
      </w:pPr>
      <w:r>
        <w:t xml:space="preserve">AVC ha pasado de fabricante de ventiladores y disipadores para PC a uno de los principales proveedores de refrigeración líquida para servidores de IA: placas frías, colectores de rack y módulos de aire de alta potencia para Nvidia y los ASIC de los grandes de la nube [7]. Sus ventas se multiplicaron por 3,5 de 2020 a 2025 y en 2026 crecerán un 59 %, con un margen operativo del 27,4 % en el 2T26 y caja neta [1, 4]; el ROIC de 2025 es del 128,9 %.</w:t>
      </w:r>
    </w:p>
    <w:p>
      <w:pPr>
        <w:spacing w:after="100"/>
      </w:pPr>
      <w:r>
        <w:t xml:space="preserve">El precio de 3.315 TWD descuenta mucho más: 23,8 veces nuestro BPA de 2027e frente a 12,9 veces de mediana en cinco años, y un DCF inverso que exige un 25 % de crecimiento anual de las ventas hasta 2035 o un margen EBITDA del 44 %. Es decir, que la refrigeración de IA deja de ser un negocio de componentes cíclico.</w:t>
      </w:r>
    </w:p>
    <w:p>
      <w:pPr>
        <w:spacing w:after="100"/>
      </w:pPr>
      <w:r>
        <w:t xml:space="preserve">Para invertir hay que creer que la potencia por chip y la penetración del líquido crecerán lo bastante para absorber la capacidad que el sector añade, sin guerra de precios, y que el gasto en centros de datos no tendrá una corrección. Nuestra lectura es que el negocio es excelente y está bien gestionado, pero que los márgenes de 2026 son de escasez y que el mercado paga el pico del ciclo con un múltiplo de crecimiento estructural [16, 17].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2.811,79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65,30 = 489,75 · 21,6x × 150,50 = 3.250,80 · 24,7x × 172,30 = 4.255,81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4.200,35 (nuestro base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1.734,96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 / -87,1 %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10,0 %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1.992,61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 frente a 23,6 %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(14,5 % anual proyectado; financiable al ROIC actual: 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-47,0 % (-39,3 % con la prima del mercado) y el precio pide 15,4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1.734,96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1.734,96 y 3.147,41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3.147,41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1.734,96 TWD: Comprar (ponderada ≥ 15 %, base ≥ 12 % y precio ≤ valor intrínseco).</w:t>
      </w:r>
    </w:p>
    <w:p>
      <w:pPr>
        <w:pStyle w:val="ListParagraph"/>
        <w:numPr>
          <w:ilvl w:val="0"/>
          <w:numId w:val="2"/>
        </w:numPr>
        <w:spacing w:after="60"/>
      </w:pPr>
      <w:r>
        <w:t xml:space="preserve">Precio entre 1.734,96 y 3.147,41 TWD: Mantener.</w:t>
      </w:r>
    </w:p>
    <w:p>
      <w:pPr>
        <w:pStyle w:val="ListParagraph"/>
        <w:numPr>
          <w:ilvl w:val="0"/>
          <w:numId w:val="2"/>
        </w:numPr>
        <w:spacing w:after="60"/>
      </w:pPr>
      <w:r>
        <w:t xml:space="preserve">Margen bruto por encima del 34 % dos trimestres con ventas de 2027 un 40 % mayores: revisaríamos al alza el BPA de 2028e.</w:t>
      </w:r>
    </w:p>
    <w:p>
      <w:pPr>
        <w:pStyle w:val="ListParagraph"/>
        <w:numPr>
          <w:ilvl w:val="0"/>
          <w:numId w:val="2"/>
        </w:numPr>
        <w:spacing w:after="60"/>
      </w:pPr>
      <w:r>
        <w:t xml:space="preserve">Ventas mensuales por debajo de 15.000 M dos meses seguidos: bajaríamos el base hacia el bajista.</w:t>
      </w:r>
    </w:p>
    <w:p>
      <w:pPr>
        <w:pStyle w:val="ListParagraph"/>
        <w:numPr>
          <w:ilvl w:val="0"/>
          <w:numId w:val="2"/>
        </w:numPr>
        <w:spacing w:after="60"/>
      </w:pPr>
      <w:r>
        <w:t xml:space="preserve">Cargos del MJIB a consejeros o directivos: revisaríamos el gobierno y la prima adicional del WACC.</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bruto siga subiendo hacia el 35 % y que las ventas crezcan más de un 40 % en 2027 y sigan haciéndolo después, con un múltiplo de 24 veces beneficios para un proveedor de componentes; en el DCF inverso, un 25 % de crecimiento anual durante nueve años.</w:t>
      </w:r>
    </w:p>
    <w:p>
      <w:pPr>
        <w:keepNext/>
        <w:spacing w:after="100"/>
      </w:pPr>
      <w:r>
        <w:rPr>
          <w:b/>
          <w:bCs/>
        </w:rPr>
        <w:t xml:space="preserve">Lo que creemos nosotros.</w:t>
      </w:r>
    </w:p>
    <w:p>
      <w:pPr>
        <w:spacing w:after="100"/>
      </w:pPr>
      <w:r>
        <w:t xml:space="preserve">Ventas que crecen fuerte en 2027 (+38 %) y algo en 2028 (+15 %), con el margen EBITDA en el nivel de hoy y convergiendo al 21 % a largo plazo; un negocio excelente, pero con márgenes de escasez y expuesto a un ciclo de inversión.</w:t>
      </w:r>
    </w:p>
    <w:p>
      <w:pPr>
        <w:keepNext/>
        <w:spacing w:after="100"/>
      </w:pPr>
      <w:r>
        <w:rPr>
          <w:b/>
          <w:bCs/>
        </w:rPr>
        <w:t xml:space="preserve">Por qué podemos tener razón.</w:t>
      </w:r>
    </w:p>
    <w:p>
      <w:pPr>
        <w:spacing w:after="100"/>
      </w:pPr>
      <w:r>
        <w:t xml:space="preserve">Porque el sector amplía la capacidad líquida un 50 % en 2027 [7], porque la cualificación se repite con cada plataforma y hay al menos tres proveedores con capacidad, porque la refrigeración en el chip puede llevarse contenido desde 2027 [16] y porque el múltiplo histórico de AVC, incluso con la IA ya en marcha en 2023-2025, fue de 13-16 veces el beneficio adelantado.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3.31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ROIC del 128,9 % en 2025 y margen operativo del 27,4 % en el 2T26 [4].</w:t>
      </w:r>
    </w:p>
    <w:p>
      <w:pPr>
        <w:pStyle w:val="ListParagraph"/>
        <w:numPr>
          <w:ilvl w:val="0"/>
          <w:numId w:val="2"/>
        </w:numPr>
        <w:spacing w:after="60"/>
      </w:pPr>
      <w:r>
        <w:rPr>
          <w:b/>
        </w:rPr>
        <w:t xml:space="preserve">Demanda estructural</w:t>
      </w:r>
      <w:r>
        <w:t xml:space="preserve">: la penetración del líquido en chips de IA pasa del 53 % al 60 % en 2027 [17].</w:t>
      </w:r>
    </w:p>
    <w:p>
      <w:pPr>
        <w:pStyle w:val="ListParagraph"/>
        <w:numPr>
          <w:ilvl w:val="0"/>
          <w:numId w:val="2"/>
        </w:numPr>
        <w:spacing w:after="60"/>
      </w:pPr>
      <w:r>
        <w:rPr>
          <w:b/>
        </w:rPr>
        <w:t xml:space="preserve">Contenido por rack creciente</w:t>
      </w:r>
      <w:r>
        <w:t xml:space="preserve">: GB300 lleva un 10-20 % más de contenido líquido que GB200, y Trainium 3 aún más [16].</w:t>
      </w:r>
    </w:p>
    <w:p>
      <w:pPr>
        <w:pStyle w:val="ListParagraph"/>
        <w:numPr>
          <w:ilvl w:val="0"/>
          <w:numId w:val="2"/>
        </w:numPr>
        <w:spacing w:after="60"/>
      </w:pPr>
      <w:r>
        <w:rPr>
          <w:b/>
        </w:rPr>
        <w:t xml:space="preserve">Balance sólido</w:t>
      </w:r>
      <w:r>
        <w:t xml:space="preserve">: caja de 78.402 M frente a 25.362 M de deuda a junio de 2026 [4].</w:t>
      </w:r>
    </w:p>
    <w:p>
      <w:pPr>
        <w:pStyle w:val="ListParagraph"/>
        <w:numPr>
          <w:ilvl w:val="0"/>
          <w:numId w:val="2"/>
        </w:numPr>
        <w:spacing w:after="60"/>
      </w:pPr>
      <w:r>
        <w:rPr>
          <w:b/>
        </w:rPr>
        <w:t xml:space="preserve">Crecimiento visible</w:t>
      </w:r>
      <w:r>
        <w:t xml:space="preserve">: ventas de enero-septiembre de 157.248 M, un 71,2 % más [6].</w:t>
      </w:r>
    </w:p>
    <w:p>
      <w:pPr>
        <w:pStyle w:val="Heading2"/>
      </w:pPr>
      <w:r>
        <w:t xml:space="preserve">En contra</w:t>
      </w:r>
    </w:p>
    <w:p>
      <w:pPr>
        <w:pStyle w:val="ListParagraph"/>
        <w:numPr>
          <w:ilvl w:val="0"/>
          <w:numId w:val="2"/>
        </w:numPr>
        <w:spacing w:after="60"/>
      </w:pPr>
      <w:r>
        <w:rPr>
          <w:b/>
        </w:rPr>
        <w:t xml:space="preserve">Precio que exige una década de IA</w:t>
      </w:r>
      <w:r>
        <w:t xml:space="preserve">: DCF inverso con un crecimiento del 25 % anual frente al 9,6 % de nuestro base.</w:t>
      </w:r>
    </w:p>
    <w:p>
      <w:pPr>
        <w:pStyle w:val="ListParagraph"/>
        <w:numPr>
          <w:ilvl w:val="0"/>
          <w:numId w:val="2"/>
        </w:numPr>
        <w:spacing w:after="60"/>
      </w:pPr>
      <w:r>
        <w:rPr>
          <w:b/>
        </w:rPr>
        <w:t xml:space="preserve">Múltiplo en máximos</w:t>
      </w:r>
      <w:r>
        <w:t xml:space="preserve">: PER de los últimos 12 meses de 44,9 veces, percentil 100 de su historia.</w:t>
      </w:r>
    </w:p>
    <w:p>
      <w:pPr>
        <w:pStyle w:val="ListParagraph"/>
        <w:numPr>
          <w:ilvl w:val="0"/>
          <w:numId w:val="2"/>
        </w:numPr>
        <w:spacing w:after="60"/>
      </w:pPr>
      <w:r>
        <w:rPr>
          <w:b/>
        </w:rPr>
        <w:t xml:space="preserve">Margen de escasez</w:t>
      </w:r>
      <w:r>
        <w:t xml:space="preserve">: margen bruto del 32,6 % frente al 20,9 % de 2023, con el sector ampliando capacidad [7].</w:t>
      </w:r>
    </w:p>
    <w:p>
      <w:pPr>
        <w:pStyle w:val="ListParagraph"/>
        <w:numPr>
          <w:ilvl w:val="0"/>
          <w:numId w:val="2"/>
        </w:numPr>
        <w:spacing w:after="60"/>
      </w:pPr>
      <w:r>
        <w:rPr>
          <w:b/>
        </w:rPr>
        <w:t xml:space="preserve">Concentración</w:t>
      </w:r>
      <w:r>
        <w:t xml:space="preserve"> en unos pocos ODM, Nvidia y grandes de la nube, sin cifras publicadas.</w:t>
      </w:r>
    </w:p>
    <w:p>
      <w:pPr>
        <w:pStyle w:val="ListParagraph"/>
        <w:numPr>
          <w:ilvl w:val="0"/>
          <w:numId w:val="2"/>
        </w:numPr>
        <w:spacing w:after="60"/>
      </w:pPr>
      <w:r>
        <w:rPr>
          <w:b/>
        </w:rPr>
        <w:t xml:space="preserve">Gobierno</w:t>
      </w:r>
      <w:r>
        <w:t xml:space="preserve">: investigación del MJIB por la salida a bolsa de Fositek y presidente que es también director general [11].</w:t>
      </w:r>
    </w:p>
    <w:p>
      <w:pPr>
        <w:pStyle w:val="Heading2"/>
      </w:pPr>
      <w:r>
        <w:t xml:space="preserve">Qué tiene que pasar para que la tesis funcione</w:t>
      </w:r>
    </w:p>
    <w:p>
      <w:pPr>
        <w:spacing w:after="100"/>
      </w:pPr>
      <w:r>
        <w:t xml:space="preserve">La tesis depende de que la capacidad líquida que el sector añade en 2027 alcance a la demanda y el margen bruto deje de subir. La señal de que no se cumple sería un margen bruto por encima del 34 % en el 3T y el 4T con ventas trimestrales por encima de 70.000 M; la de que se cumple, ventas mensuales planas o a la baja, existencias por encima de 170 días o recortes de las guías de inversión de los grandes de la nube en enero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21.018 M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dos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del fin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 o &gt; 34 %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escasez de capacidad y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170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obsolescencia en un cambio de plataforma.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Guías de inversión de los grandes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 alza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en las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adelantada de los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del MJIB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Registro del 7-oct, sin cargos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Cargos a la cúpula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valoración de Fositek.</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 / 22,2x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Asia Vital Components (奇鋐科技) se fundó en Kaohsiung en diciembre de 1991 y cotiza en la Bolsa de Taiwán desde septiembre de 2002 [12]. Creció como fabricante de ventiladores, disipadores, tubos de calor y cámaras de vapor para PC, portátiles y equipos de comunicaciones, con fábricas en China y Taiwán y, después, en Vietnam [22]. Su accionista industrial de referencia es Furukawa Electric, socio tecnológico en disipación térmica desde hace dos décadas. Entre 2023 y 2026 se convirtió en uno de los principales proveedores de refrigeración de servidores de IA (placas frías, colectores de rack, chasis y módulos de aire de alto rendimiento) para las plataformas de Nvidia y los chips propios de los grandes de la nube [7, 21]. En 2023 sacó a bolsa su filial de bisagras Fositek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Kaohsiung (Taiwán)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Taiwán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2.850 M TWD y salida a bolsa de la filial Fositek (bisagras)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envíos de placas frías y colectores para racks de IA refrigerados por líquido (GB200)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+95 % hasta 139.639 M TWD; planta de Vietnam en ampliación; pedidos con visibilidad hasta 2028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récord (32,57 % en el 2T); producción de Vera Rubin desde el 3T y de proyectos ASIC líquidos en el 4T [7].</w:t>
            </w:r>
          </w:p>
        </w:tc>
      </w:tr>
    </w:tbl>
    <w:p>
      <w:pPr>
        <w:spacing w:after="160" w:before="0"/>
      </w:pPr>
    </w:p>
    <w:p>
      <w:pPr>
        <w:pStyle w:val="Heading1"/>
      </w:pPr>
      <w:r>
        <w:t xml:space="preserve">2. Modelo de negocio</w:t>
      </w:r>
    </w:p>
    <w:p>
      <w:pPr>
        <w:spacing w:after="100"/>
      </w:pPr>
      <w:r>
        <w:t xml:space="preserve">AVC diseña y fabrica soluciones térmicas y mecánicas: módulos de refrigeración por aire (ventiladores, disipadores con tubos de calor y cámaras de vapor 3D), refrigeración líquida en el servidor y el rack (placas frías, colectores de rack, conectores rápidos, componentes de CDU) y chasis y estructuras para servidores [7, 22]. En el 1S26 el 62,98 % de las ventas fue térmico, el 20,44 % chasis y el resto otros productos (PC, consumo, bisagras de Fositek); el 66,14 % fue para servidores y redes [7]. Sus clientes son los fabricantes de servidores de IA (ODM taiwaneses como Foxconn, Quanta y Wistron, y Supermicro) y, a través de ellos, Nvidia y los grandes de la nube con chips propios (Google TPU, AWS Trainium) [7]. Fabrica en Taiwán, China y Vietnam, donde concentra la nueva capacidad [7].</w:t>
      </w:r>
    </w:p>
    <w:p>
      <w:pPr>
        <w:pStyle w:val="Heading2"/>
      </w:pPr>
      <w:r>
        <w:t xml:space="preserve">Cómo gana dinero</w:t>
      </w:r>
    </w:p>
    <w:p>
      <w:pPr>
        <w:spacing w:after="100"/>
      </w:pPr>
      <w:r>
        <w:t xml:space="preserve">Vende componentes y módulos por proyecto: cada generación de GPU o de ASIC se cualifica con el cliente, y el proveedor elegido suministra durante la vida de la plataforma (12-24 meses) [7, 16]. El margen depende de la mezcla: la refrigeración líquida y las cámaras de vapor de alta potencia dejan más que los ventiladores y los chasis, y el contenido térmico por rack sube con cada generación (más placas frías y conectores en GB300 que en GB200; Trainium 3 aún más) [16]. El apalancamiento operativo es fuerte: los gastos de explotación bajaron del 8,4 % de las ventas en 2024 al 5,2 % en el 1S26 [7]. Ingresos poco recurrentes: cada plataforma se gana de nuevo, sin contratos plurianuales, y el precio se negocia con ODM muy concentrados.</w:t>
      </w:r>
    </w:p>
    <w:p>
      <w:pPr>
        <w:pStyle w:val="Heading2"/>
      </w:pPr>
      <w:r>
        <w:t xml:space="preserve">Clientes, recurrencia y poder de precios</w:t>
      </w:r>
    </w:p>
    <w:p>
      <w:pPr>
        <w:spacing w:after="100"/>
      </w:pPr>
      <w:r>
        <w:t xml:space="preserve">La empresa no publica la concentración de clientes; por la estructura del sector, los diez primeros (ODM de servidores y grandes de la nube) suponen la mayoría de las ventas de servidores [7]. Se declara proveedor principal en sus clientes clave de ASIC y de GPU, sin cuotas [7]. El poder de precios se ve en el margen bruto (del 20,9 % en 2023 al 32,6 % en el 2T26) con inflación de materiales [7]; parte de esa subida es mezcla y escasez de capacidad líquida, que puede revertir cuando la capacidad del sector se ponga al día.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Servidores y redes sobre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servidores y redes de 64.919 M en el 1S26 (+153 %)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térmicos sobre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Chasis 20,44 % (+134 %); térmico + chasis = 83,4 %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 líquida sobre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30-40 % (previsión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 la empresa recogida por la prensa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placas frías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M/mes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en 2027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Colectores de rack: ≈7.000/mes, para 3.000-4.000 racks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por rotación pese a la tensión de materiales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 [4,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refrigeración de servidores de centros de datos en el propio equipo y en el rack: módulos de aire de alta potencia y refrigeración líquida directa (placas frías, colectores, conectores, CDU). Las fuentes publicadas miden perímetros distintos y más estrechos que las ventas de AVC: Dell'Oro mide la infraestructura física y la refrigeración líquida directa del lado de la instalación (1.100 M USD en 2024, «cerca de 3.000 M» en 2025 y unos 7.000 M en 2029) [13, 14]; MarketsandMarkets, 2.840 M USD en 2025 y 21.140 M en 2032 [15]. Ninguna recoge los módulos de aire, los chasis ni el contenido líquido dentro del servidor que venden los ODM, por eso AVC (unos 7.000 M USD de ventas en 2026) supera esas cifras. Usamos su crecimiento como indicador del ritmo, no como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Refrigeración líquida de centros de datos (perímetro de instalación): ≈3.000 M USD en 2025 y ≈7.000 M en 2029, según Dell'Oro [14]; 2.840 M USD en 2025 según MarketsandMarkets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refrigeración líquida directa, Dell'Or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capital en centros de datos de IA de los grandes de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infraestructura física crecerá un 15 % anual hasta 63.100 M USD en 2029 y la gestión térmica un 19 %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 por chip (TDP) y por rack</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Rubin llega a 2,3 kW por GPU y Rubin Ultra superará 3 kW; el contenido líquido de GB300 es un 10-20 % mayor que el de GB200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refrigeración líquida en chips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TrendForce: 53 % en 2026 y cerca del 60 % en 2027 [17]; AVC espera más del 50 % en 2027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propios (ASIC) que pasan del aire al líquido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Trainium 3 lleva 99 módulos de placa fría y 456 conectores por rack, más que GB300 [16]; AVC espera que sus ventas ASIC superen a las de GPU en 2027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 en el chip (tapas con microcanales)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desarrolla tapas y placas con microcanales para más de 3 kW; KGI ve a Jentech como primer proveedor desde 2H26-2027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diseño de plataforma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rumores sobre la interfaz térmica de Vera Rubin hundieron un 19 % la acción en mayo de 2026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proveedores cualificados por plataforma (Nvidia tenía cinco en líquido para Blackwell) y competidores con escala (Delta, Auras, Cooler Master, Boyd-Eaton, Vertiv)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ODM y pocos diseñadores de chips deciden cada plataforma; sin contratos plurianuales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aluminio y componentes estándar; la tensión de materiales de 2026 alargó plazos pero el margen bruto subió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cualificación y la capacidad de fabricar placas frías sin fugas a escala es una barrera, pero los grandes industriales están entrando por compras (Eaton-Boyd por 9.500 M USD)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Refrigeración en el chip con microcanales, bifásica e inmersión: hoy minoritarias, los clientes prefieren monofásica para la próxima generación [7, 16].</w:t>
            </w:r>
          </w:p>
        </w:tc>
      </w:tr>
    </w:tbl>
    <w:p>
      <w:pPr>
        <w:spacing w:after="160" w:before="0"/>
      </w:pPr>
    </w:p>
    <w:p>
      <w:pPr>
        <w:pStyle w:val="Heading2"/>
      </w:pPr>
      <w:r>
        <w:t xml:space="preserve">Ciclo</w:t>
      </w:r>
    </w:p>
    <w:p>
      <w:pPr>
        <w:spacing w:after="100"/>
      </w:pPr>
      <w:r>
        <w:t xml:space="preserve">Indicadores: ventas mensuales de AVC (+44,9 % interanual en septiembre de 2026), penetración líquida creciente y gasto de capital de los grandes de la nube al alza [7, 17]. El sector de componentes de servidores es cíclico: en 2022-2023 los inventarios de PC y servidores cayeron y AVC creció solo un 5,7 % en 2023. En 2008-2009 y 2020 el negocio era de PC y portátiles. El riesgo de ciclo hoy es un parón del gasto en centros de datos de IA, que dejaría capacidad recién instalada sin uso.</w:t>
      </w:r>
    </w:p>
    <w:p>
      <w:pPr>
        <w:pStyle w:val="Heading2"/>
      </w:pPr>
      <w:r>
        <w:t xml:space="preserve">Regulación</w:t>
      </w:r>
    </w:p>
    <w:p>
      <w:pPr>
        <w:spacing w:after="100"/>
      </w:pPr>
      <w:r>
        <w:t xml:space="preserve">Aranceles de EE. UU. a productos fabricados en China y la presión para fabricar fuera de China explican la expansión en Vietnam [7]. Controles de exportación de EE. UU. sobre chips de IA a China limitan una parte de la demanda. Sin regulación sectorial específica sobre la refrigeración.</w:t>
      </w:r>
    </w:p>
    <w:p>
      <w:pPr>
        <w:pStyle w:val="Heading2"/>
      </w:pPr>
      <w:r>
        <w:t xml:space="preserve">Tendencias y disrupción</w:t>
      </w:r>
    </w:p>
    <w:p>
      <w:pPr>
        <w:spacing w:after="100"/>
      </w:pPr>
      <w:r>
        <w:t xml:space="preserve">Tres tendencias: (1) más contenido líquido por rack con cada generación (GB300, Vera Rubin, Trainium 3) [16]; (2) refrigeración en el chip con microcanales para más de 3 kW, donde el valor puede ir a fabricantes de tapas (Jentech) más que a los de placas frías [16]; (3) integración vertical de los ODM (Foxconn) y entrada de grandes industriales por compras (Eaton-Boyd, Vertiv-CoolTera) [23]. AVC gana con la primera y está expuesta a las otras 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principales proveedores de placas frías y colectores de rack para servidores de IA de Nvidia y de los ASIC de los grandes de la nube, junto con Auras y Cooler Master; líder taiwanés por ventas térmicas [7,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Auras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3324.TWO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placas frías y módulos de aire; más pequeño y con menos margen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Electronics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2308.TW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energía; fuerte en CDU y ventiladores; la refrigeración es una parte pequeña de sus ventas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de instalación (CDU, refrigeración de sala, energía); compró CoolTera y PurgeRite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Jentech Precision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3653.TW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Tapas y disipadores integrados; primer proveedor previsto de tapas con microcanales [16,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Kaori Heat Treatment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8996.TW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Intercambiadores y CDU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Cooler Master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uno de los grandes proveedores de placas frías de Nvidia.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Boyd Thermal (Eaton)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2026e de 1.700 M USD; comprada por Eaton por 9.500 M USD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componentes por proyecto.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plataforma exige cualificación de meses y pruebas de fugas; durante su vida el proveedor es difícil de cambiar, pero la siguiente se licita de nuevo [4,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cámaras de vapor y soldadura de placas frías; I+D del 3,9 % de las ventas; sin patentes que bloqueen a competidores.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27,4 % en el 2T26 frente al 16,0 % de Auras y el 12,9 % de Kaori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millón de placas frías al mes y fábricas en Vietnam y Taiwán: capacidad que los clientes necesitan rápido [7].</w:t>
            </w:r>
          </w:p>
        </w:tc>
      </w:tr>
    </w:tbl>
    <w:p>
      <w:pPr>
        <w:spacing w:after="160" w:before="0"/>
      </w:pPr>
    </w:p>
    <w:p>
      <w:pPr>
        <w:pStyle w:val="Heading2"/>
      </w:pPr>
      <w:r>
        <w:t xml:space="preserve">Amenazas</w:t>
      </w:r>
    </w:p>
    <w:p>
      <w:pPr>
        <w:spacing w:after="100"/>
      </w:pPr>
      <w:r>
        <w:t xml:space="preserve">Tres: (1) la siguiente plataforma de Nvidia (Rubin Ultra, rack Kyber) puede pasar valor a la refrigeración en el chip, donde Jentech parte con ventaja [16]; (2) la entrada de grandes industriales con compras (Eaton-Boyd, Vertiv) y la integración de los ODM pueden presionar el precio de las placas frías [23]; (3) la cualificación de más proveedores por plataforma reduce la cuota de cada uno [7]. Probabilidad media en 2-3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2020-2025: ingresos </w:t>
      </w:r>
      <w:r>
        <w:rPr>
          <w:b/>
          <w:bCs/>
        </w:rPr>
        <w:t xml:space="preserve">28,6 %</w:t>
      </w:r>
      <w:r>
        <w:t xml:space="preserve">, EBITDA </w:t>
      </w:r>
      <w:r>
        <w:rPr>
          <w:b/>
          <w:bCs/>
        </w:rPr>
        <w:t xml:space="preserve">46,8 %</w:t>
      </w:r>
      <w:r>
        <w:t xml:space="preserve">, BPA </w:t>
      </w:r>
      <w:r>
        <w:rPr>
          <w:b/>
          <w:bCs/>
        </w:rPr>
        <w:t xml:space="preserve">55,0 %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pasaron de 39.666 M TWD en 2020 a 139.639 M en 2025 (×3,5) y el resultado operativo de 3.280 M a 27.556 M (×8,4) [1, 3]. Hasta 2023 AVC era un fabricante de ventiladores, disipadores y cámaras de vapor para portátiles, PC y servidores, con margen operativo del 8-13 % [2, 3]. La IA lo cambió: en 2024 las ventas crecieron un 21 % y en 2025 un 95 %, con el margen operativo del 12,5 % de 2023 al 19,7 % de 2025 por mezcla (placas frías, colectores y chasis para servidores de IA) y apalancamiento operativo: los gastos comerciales, generales y de I+D crecieron un 35 % con las ventas un 95 % [1]. El crecimiento es orgánico: no hay compras relevantes en el periodo [1, 2, 3]. El 1S26 dio ventas de 98.159 M (+85,5 %) y margen operativo del 26,0 %; el 2T26, 49.121 M (+0,2 % sobre el 1T por la transición de GB300 a Vera Rubin) con margen bruto del 32,6 % y operativo del 27,4 %, máximos históricos [4, 7]. Las ventas de julio-septiembre suman 59.089 M (+20 % sobre el 2T) [6].</w:t>
      </w:r>
    </w:p>
    <w:p>
      <w:pPr>
        <w:pStyle w:val="Heading2"/>
      </w:pPr>
      <w:r>
        <w:t xml:space="preserve">Ajustes y partidas no recurrentes</w:t>
      </w:r>
    </w:p>
    <w:p>
      <w:pPr>
        <w:spacing w:after="100"/>
      </w:pPr>
      <w:r>
        <w:t xml:space="preserve">Cifras publicadas NIIF (Taiwán), sin ajustes. El BPA es el diluido, que en Taiwán incluye las acciones que se entregarían por la retribución variable de los empleados: en 2025 el básico fue 49,17 TWD y el diluido 48,24 [1]. No hay deterioros ni reestructuraciones relevantes dentro del resultado operativo: los deterioros de activos no financieros fueron de 109 M en 2025 y 135 M en 2024, y las pérdidas por bajas de inmovilizado de 384 M y 257 M [1]. El resultado financiero neto (+1.231 M en 2025) lleva intereses de la caja, otros ingresos y diferencias de cambio; se repite cada año, aunque las diferencias de cambio con el dólar lo hacen volátil [1]. Los minoritarios (1.764 M en 2025, 8,4 % del beneficio total) son sobre todo los socios externos de Fositek (6805.TW), filial cotizada consolidada de la que AVC tiene una participación pequeña [1,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la conferencia del 14-may (1T26: ventas 49.038 M TWD, margen bruto 29,77 %, BPA 20,17 TWD) la dirección repitió que 2026 crecería trimestre a trimestre y que el segundo semestre sería mejor que el primero, con más proyectos de chips propios de los clientes (ASIC) pasando a refrigeración líquida [10]. Llegó tras dos días de caída por el rumor de un problema con el material de interfaz térmica de Vera Rubin, que la empresa desmintió como estimación de terceros [10]. En la del 12-ago (2T26) el discurso cambió de «crecimiento» a «rentabilidad»: margen bruto del 32,57 % y operativo del 27,44 %, prioridad de la rentabilidad sobre las ventas, automatización para defender el margen y ningún plan de ampliar capital [7, 8]. Dio más detalle de capacidad: un millón de placas frías al mes y unos 7.000 colectores de rack al mes (para 3.000-4.000 racks), con un 50 % más de capacidad líquida en 2027 y un capex de unos 15.000 M TWD en 2026, mayor en 2027, sobre todo en Vietnam [7, 8]. Los analistas preguntaron por la cuota en Vera Rubin y por el BPA de 2027 (alguno citó 150 TWD): la dirección no dio cuotas, márgenes por producto ni cifras de beneficio [7]. Dijo que el 2026 es el «año uno» de los ASIC y que en 2027 sus ventas superarán a las de GPU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El circulante comercial (existencias + clientes − proveedores) bajó del 17,1 % de las ventas en 2024 al 9,7 % en 2025 y al 7,8 % de las ventas de los últimos doce meses en junio de 2026: las existencias se dispararon (de 17.235 M en 2023 a 57.874 M en junio de 2026, materiales para los programas de IA) pero los proveedores crecieron igual [1, 4]. Los días de inventario bajaron de 174 a 145 en un año [7]. La deuda bruta subió de 12.934 M a 25.362 M para financiar existencias y capex, pero la caja creció más: AVC tiene caja neta de unos 50.700 M (42.500 M después del dividendo de septiembre)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2020-2025: FCF </w:t>
      </w:r>
      <w:r>
        <w:rPr>
          <w:b/>
          <w:bCs/>
        </w:rPr>
        <w:t xml:space="preserve">42.200</w:t>
      </w:r>
      <w:r>
        <w:t xml:space="preserve">, conversión </w:t>
      </w:r>
      <w:r>
        <w:rPr>
          <w:b/>
          <w:bCs/>
        </w:rPr>
        <w:t xml:space="preserve">101 %</w:t>
      </w:r>
      <w:r>
        <w:t xml:space="preserve"> del beneficio neto; adquisiciones 0, dividendos 11.442, recompras 0.</w:t>
      </w:r>
    </w:p>
    <w:p>
      <w:pPr>
        <w:spacing w:after="100"/>
      </w:pPr>
      <w:r>
        <w:t xml:space="preserve">El flujo de explotación fue de 39.415 M TWD en 2025 frente a 9.632 M en 2024: en 2024 las existencias absorbieron 17.917 M; en 2025 volvieron a subir 19.662 M, pero proveedores (+19.226 M), otras cuentas a pagar y otros pasivos (+12.210 M) lo compensaron [1]. En el 1S26 dio 26.291 M y el flujo libre que publica la empresa, 19.179 M [4, 7]. El capex de esta nota suma inmovilizado material, intangibles, derechos de uso y el aumento de «otros activos no corrientes» (anticipos de maquinaria y terrenos: 4.754 M en 2025 y 4.163 M en el 1S26), porque es inversión ya comprometida: 12.397 M en 2025 (8,9 % de las ventas) y 11.360 M en el 1S26; la guía de la empresa es de unos 15.000 M de inversión en 2026, más en 2027, sobre todo en Vietnam [1, 4, 7]. Estimación propia: el mantenimiento es del orden de la amortización (2,3 % de las ventas en 2025) y el resto es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Taiwán (安永聯合會計師事務所)</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publicadas)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 de Taiwán, auditadas por EY [12]. No hay capitalización de I+D relevante: los intangibles son 243 M TWD y el gasto de I+D (5.392 M en 2025, 3,9 % de las ventas) va a resultados [1, 4]. La remuneración en acciones es pequeña (161 M en 2025) [1]. El reconocimiento de ingresos es de venta de producto a la entrega; sin pasivos por contratos relevantes (61 M). Dos puntos que vigilar: (1) las existencias se han triplicado en dos años (57.874 M en junio de 2026, 145 días) y un cambio de plataforma (GB300 a Vera Rubin) puede dejar material obsoleto; (2) el registro del Buró de Investigación del 7-oct-2026, que la empresa limita a la salida a bolsa de Fositek en 2023 y a empleados concretos [4, 7, 11]. La conversión de beneficio en caja es buena en 2025 (flujo de explotación 39.415 M frente a beneficio total 20.951 M) y débil en 2024 (9.632 M frente a 9.193 M) por las existencias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triplicadas en dos años (17.235 M en 2023 → 57.874 M en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Acompañan a las ventas (días de 174 a 145) y a proveedores, pero un cambio de diseño de Nvidia puede dejar material obsoleto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 del Buró de Investigación (MJIB) el 7-oct-2026 por la salida a bolsa de Fositek en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afecta a empleados concretos y no a su operativa; sin imputaciones públicas a la fecha de corte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grandes a valor de mercado (Fositek)</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consolida el 100 % de Fositek con una participación directa de en torno al 17 %: el beneficio y el EBITDA del grupo incluyen una parte que es de otros accionistas [1,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239,6 % · </w:t>
      </w:r>
      <w:r>
        <w:rPr>
          <w:b/>
          <w:bCs/>
        </w:rPr>
        <w:t xml:space="preserve">WACC</w:t>
      </w:r>
      <w:r>
        <w:t xml:space="preserve">: 10,0 %.</w:t>
      </w:r>
    </w:p>
    <w:p>
      <w:pPr>
        <w:spacing w:after="100"/>
      </w:pPr>
      <w:r>
        <w:t xml:space="preserve">AVC crea valor con mucho margen. El ROIC de 2025 es del 128,9 % frente a un WACC del 9,98 %, pero la cifra exagera: el capital invertido (15.553 M) es pequeño porque la caja neta y los proveedores financian casi todo el circulante [1]. Sobre el capital operativo del activo (inmovilizado de 17.849 M, intangibles y circulante comercial de 13.596 M) el ROIC es de en torno al 63 %, y de cerca del 80 % en los doce meses a junio de 2026 [1, 4]. Incluso en 2020, antes de la IA, era del 28,5 %. Lo mueve el margen y no la rotación: el margen operativo pasó del 8 % en 2020 al 19,7 % en 2025 y al 27,4 % en el 2T26, con un capex de solo el 6-10 % de las ventas [1, 4]. El ROIC incremental histórico es del 239,6 %. Frente a sus pares también gana: Auras opera con un margen operativo del 16 % y Delta del 16,7 % [18]. La duda no es si hoy supera el WACC, sino cuánto de ese margen es de ciclo: en una corrección como la de nuestro escenario bajista el margen EBITDA volvería al 21 % y el ROIC operativo seguiría por encima del 30 %.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77.715 M TWD y depósitos a plazo de 687 M a 30-jun-2026, frente a una deuda financiera de 25.362 M (17.628 M de préstamos a corto y 7.735 M a largo) y arrendamientos de 2.374 M: caja neta de unos 50.700 M antes del dividendo de 8.199 M pagado el 23-sep [4,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pasivo corriente (118.878 M TWD a 30-jun-2026) es sobre todo comercial: proveedores y efectos a pagar 53.027 M, otras cuentas a pagar 26.282 M (incluye el dividendo de 2025 acordado en la junta del 2-jun y pagado en septiembre, y la retribución variable de empleados y consejeros), impuestos 7.303 M y otros pasivos corrientes 14.209 M, cuya variación figura en el flujo de explotación [4]. Sin pensiones relevantes (plan de aportación definida en Taiwán). El bono convertible de 2.400 M se amortizó en 2025 [1]. Sin litigios materiales publicados; el 7-oct-2026 el Buró de Investigación registró las oficinas de Xinzhuang por la salida a bolsa de Fositek en 2023, sin efecto en las cuentas según la empresa [11].</w:t>
      </w:r>
    </w:p>
    <w:p>
      <w:pPr>
        <w:pStyle w:val="Heading1"/>
      </w:pPr>
      <w:r>
        <w:t xml:space="preserve">12. Asignación de capital</w:t>
      </w:r>
    </w:p>
    <w:p>
      <w:pPr>
        <w:pStyle w:val="Confianza"/>
        <w:spacing w:after="100"/>
      </w:pPr>
      <w:r>
        <w:t xml:space="preserve">Confianza: Media</w:t>
      </w:r>
    </w:p>
    <w:p>
      <w:pPr>
        <w:spacing w:after="100"/>
      </w:pPr>
      <w:r>
        <w:t xml:space="preserve">AVC reparte en efectivo, una vez al año, en torno al 40-50 % del beneficio: 20,88 TWD por acción con cargo a 2025 (43 % del BPA diluido), pagados el 23-sep-2026, frente a 9,93 con cargo a 2024 y 6,96 con cargo a 2023 [9, 12]. No hay recompras. Amplió capital en febrero de 2023 (30 M de acciones, 2.850 M TWD) para financiar la expansión y no prevé más financiación [1, 7]. La prioridad declarada para la caja es la capacidad líquida en Vietnam y Taiwán (capex de unos 15.000 M en 2026, más en 2027)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Asignación de capital sencilla y bien ejecutada: crecimiento orgánico, capex al ritmo de los pedidos y dividendo creciente, con caja neta. El capital invertido operativo es pequeño frente al resultado (ROIC muy alto) porque los proveedores financian casi todo el circulante [1, 4]. La única dilución reciente fue la ampliación de 2023 (8,5 % del capital) y las opciones de empleados; la salida a bolsa de Fositek en 2023 dejó la filial con mayoría de socios externos, que hoy valen en bolsa más de 120.000 M TWD [1, 12].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 Ching-Hang (沈慶行)</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director general</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1963 [22]. Dirige AVC desde antes de su transformación: bajo su mando las ventas pasaron de 39.666 M TWD (2020) a 139.639 M (2025) y el margen operativo del 8 % al 20 %. Participación estimada de unos 7,9 M de acciones, directas y a través de Zing He Investment (星合投資), con datos de 2023 [24,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Yi-Cheng (陳易成)</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director financiero, consejero y portavoz</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1963; consejero en representación de Cheng Li Investment [22, 24]. Tenía 1,3 M de acciones en 2023; donó 1,0 M entre 2024 y 2026 [26,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Chiu-Mo (黃祖模)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Xianyan Investment [24]. Transmitió 509.358 acciones a un tercero en septiembre de 2025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Lin Shu-Hua (林淑華)</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contabilidad</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contable; 40.000 acciones en 2023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fuerte por servidores de IA y refrigeración líquida; capacidad llena y ampliación en Vietnam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+94,6 %, BPA de 20,62 a 48,24 TWD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(1S)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trimestre a trimestre en 2026 (conferencia del 14-may)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2T +0,2 % sobre el 1T; beneficio +20,9 %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(3T)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 mejor que 2T (conferencia del 12-ago)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julio-septiembre 59.089 M TWD, +20 % sobre el 2T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unos 15.000 M TWD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11.360 M en el 1S26 (con anticipos)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fundador al mando: el presidente es también director general desde hace años y el director financiero lleva la relación con el mercado [12]. La dirección no publica previsiones cuantitativas, solo cualitativas, y las ha cumplido en lo grande (2025) con un tropiezo de calendario en el 2T26 por la transición de plataformas [7, 32]. No hay plan de sucesión público; con un presidente-director general de 63 años y sin consejero coordinador, la dependencia de una persona es alta.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 Ching-Hang (en representación de Zing He Investment)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Ono Ryoji (en representación de Furukawa Electric)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Kawabata Kenya (en representación de Furukawa Electric)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Katoh Shin (en representación de Furukawa Electric)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Kitanoya Atsushi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Yi-Cheng (en representación de Cheng Li Investment)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Chiu-Mo (en representación de Xianyan Investment)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Ueng Chehchung (翁傑中)</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(por ley, todos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Tzu-Yun (林子筠)</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Cheng Chun-Jen (鄭淳仁)</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Chen Ren-Her (陳仁和)</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publicadas)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Furukawa Electric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de referencia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9,3 M de acciones en 2021 y 4,8 M en enero de 2024; sin declaraciones de venta desde entonces. Reduce participaciones cruzadas por política [27,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en conjunto (incluye Furukawa)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14,31 % (oct-25) al 13,72 % (oct-26)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extranjeros (total)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50,3 % (oct-25) al 53,4 %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Huang Chiu-Mo (vicepresidente)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Zing He Investment (sociedad del presidente), donación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 Yi-Cheng (director financiero), donación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estatutos taiwaneses reparten una parte del beneficio antes de impuestos como retribución a empleados y consejeros (en efectivo o acciones), lo que liga el variable al beneficio del año y no a la rentabilidad del capital ni al flujo de caja [12]. No pudimos leer el informe anual con la remuneración individual del presidente ni el detalle del plan de opciones (servidor de documentos de la TWSE bloqueado). La junta de 2025 aprobó liberar a los consejeros nuevos de la prohibición de competencia, y The Taiwan Fund votó en contra [24].</w:t>
      </w:r>
    </w:p>
    <w:p>
      <w:pPr>
        <w:pStyle w:val="Heading2"/>
      </w:pPr>
      <w:r>
        <w:t xml:space="preserve">Operaciones vinculadas, estructura de control y defensas</w:t>
      </w:r>
    </w:p>
    <w:p>
      <w:pPr>
        <w:spacing w:after="100"/>
      </w:pPr>
      <w:r>
        <w:t xml:space="preserve">No hay accionista de control: Furukawa Electric, con alrededor del 12 % (48,1 M de acciones tras su venta de enero de 2024) y tres de once consejeros, es el socio industrial de referencia; el presidente controla en torno al 2 % [24, 26, 27, 28]. Una acción, un voto, sin blindajes. Cuatro de once consejeros son independientes y forman la comisión de auditoría, como exige la ley taiwanesa [24]. Riesgo para el minoritario: Furukawa viene reduciendo participaciones cruzadas por política (ventas de valores cotizados en 2024 y 2025) y ya vendió acciones de AVC en 2021 y 2024; una nueva venta en bloque presionaría el precio [27, 28, 29, 30].</w:t>
      </w:r>
    </w:p>
    <w:p>
      <w:pPr>
        <w:pStyle w:val="Heading2"/>
      </w:pPr>
      <w:r>
        <w:t xml:space="preserve">Señales de alerta</w:t>
      </w:r>
    </w:p>
    <w:p>
      <w:pPr>
        <w:pStyle w:val="ListParagraph"/>
        <w:numPr>
          <w:ilvl w:val="0"/>
          <w:numId w:val="2"/>
        </w:numPr>
        <w:spacing w:after="60"/>
      </w:pPr>
      <w:r>
        <w:t xml:space="preserve">Registro del Buró de Investigación (MJIB) en las oficinas de AVC y Fositek el 7-oct-2026 por la salida a bolsa de Fositek en 2023; según la empresa, afecta a empleados concretos y no a su operativa [11].</w:t>
      </w:r>
    </w:p>
    <w:p>
      <w:pPr>
        <w:pStyle w:val="ListParagraph"/>
        <w:numPr>
          <w:ilvl w:val="0"/>
          <w:numId w:val="2"/>
        </w:numPr>
        <w:spacing w:after="60"/>
      </w:pPr>
      <w:r>
        <w:t xml:space="preserve">Presidente y director general en la misma persona, sin consejero coordinador [12].</w:t>
      </w:r>
    </w:p>
    <w:p>
      <w:pPr>
        <w:pStyle w:val="ListParagraph"/>
        <w:numPr>
          <w:ilvl w:val="0"/>
          <w:numId w:val="2"/>
        </w:numPr>
        <w:spacing w:after="60"/>
      </w:pPr>
      <w:r>
        <w:t xml:space="preserve">Furukawa Electric reduce participaciones cruzadas: posible venta de su 12 %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AVC no publica previsiones numéricas. En la conferencia del 12-ago-2026 dijo que el 3T26 sería mejor que el 2T26 y el segundo semestre mejor que el primero, con Vera Rubin aportando desde el 3T y los proyectos ASIC líquidos en gran volumen en el 4T; capex de unos 15.000 M TWD en 2026 y mayor en 2027, y un 50 % más de capacidad líquida en 2027 [20]. Las ventas de julio-septiembre (59.089 M TWD, +20 % sobre el 2T) confirman la parte del 3T.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16 analistas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17 analistas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(una casa)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352.798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3.327,00 – 5.200,00</w:t>
            </w:r>
          </w:p>
        </w:tc>
      </w:tr>
    </w:tbl>
    <w:p>
      <w:pPr>
        <w:spacing w:after="160" w:before="0"/>
      </w:pPr>
    </w:p>
    <w:p>
      <w:pPr>
        <w:pStyle w:val="Heading2"/>
      </w:pPr>
      <w:r>
        <w:t xml:space="preserve">Revisiones de estimaciones</w:t>
      </w:r>
    </w:p>
    <w:p>
      <w:pPr>
        <w:spacing w:after="100"/>
      </w:pPr>
      <w:r>
        <w:t xml:space="preserve">Al alza: el BPA de consenso de 2026 pasó de 94,53 a 103,52 TWD en 90 días (+9,5 %) y el de 2027 de 136,17 a 161,73 (+18,8 %) [34]. Citi subió en septiembre su beneficio de 2026-2028 un 3 %, 13 % y 16 % y el objetivo a 4.350 TWD (ventas de 2027 +50 %, margen bruto 34,9 %) [20]. Las recomendaciones son 6 de compra fuerte y 11 de compra, sin ninguna de mantener o vender [34]. Una sola fuente da las estimaciones completas (Yahoo); el objetivo y las recomendaciones se contrastan con las casas citadas por la prensa (Citi 4.350, Macquarie 4.600, JPMorgan 3.500, Morgan Stanley 3.333) [20, 41].</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177,4 % en un año y un 115,1 % anual en cinco, frente al 70,4 % y el 22,9 % del TAIEX (rentabilidades de precio) [33]. Lo explica el beneficio: el BPA pasó de 13,71 TWD en 2023 a 73,89 en los últimos doce meses. Es muy volátil (64,2 % anual; caída máxima del 57,5 % entre mayo de 2024 y abril de 2025, con la corrección de las tecnológicas y los aranceles de abril de 2025) [33]. En 2026 alternó subidas y caídas de dos dígitos con cada noticia de plataformas de Nvidia: rumor de la interfaz térmica de Vera Rubin en mayo, informe flojo del 2T y recortes de casas locales en julio, margen récord y pedidos de Rubin en agosto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+49,0 % / +42,6 % / +237,9 %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 +223,4 %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que se conozca el alcance de la investigación del MJIB (archivo o cargos); no afecta a la recomendación de venta, que es por valoración.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 a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sesiones con caídas de más del 5 % (14 y 21-nov, 19-ene, 23-feb, 9 y 31-mar) en ventas generales de valores de IA, sin hecho propio de la empresa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y 6-may-2026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a límite a la baja por el rumor de un problema con la interfaz térmica (TIM2) de Vera Rubin antes de la conferencia del 1T; la empresa no lo confirmó y la producción de Rubin empezó en el 3T [7,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(hasta el 26-jun) y ocho sesiones de −5 % entre el 4-jun y el 29-jul: transición de GB300 a Vera Rubin, con ventas del 2T planas frente al 1T (+0,2 %) [5,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un mes (hasta el 27-ago): margen bruto récord del 32,57 % y BPA de 23,92 TWD en el 2T (12-ago), Vera Rubin desde el 3T y proyectos ASIC líquidos en gran volumen en el 4T [4, 7,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P1 (+49 % en tres meses): lo explican los resultados del 2T y las ventas de julio-septiembre, un 20 % por encima del 2T [6, 8]; el BPA de consenso de 2027 subió un 18,8 % en 90 días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y 16-oct-2026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6,9 % el 15-oct y rebote del 7,5 % el 16-oct, sin hecho propio localizado: sesiones de ventas y compras del conjunto de valores de IA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Buró de Investigación (MJIB) registró las sedes de AVC y de su filial Fositek por la salida a bolsa de Fositek en 2023; la empresa dice que afecta a empleados concretos y no a su operativa. Sin imputaciones públicas a la fecha de corte. Cierre del 8-oct: −3 % [11, 44,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la fiscalía archive o formule cargos, o la empresa aclare el alcance (consejeros o directivos implicados).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21.018 M TWD; 157.248 M en enero-septiembre (+71,2 %) y 59.089 M en el 3T, un 20 % más que en el 2T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sube el objetivo de 3.800 a 4.350 TWD (ventas de 2027 +50 %, margen bruto del 34,9 %); Macquarie, el más alto, 4.600; Morgan Stanley, 3.333. Los 17 analistas recomiendan comprar [20, 34,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de 20,88 TWD con cargo a 2025 (ex-dividendo el 19-ago)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Furukawa Electric (en torno al 12 % del capital y tres consejeros) reduce por política sus participaciones cruzadas: vendió acciones de AVC en 2021 y en enero de 2024 y anunció beneficios por venta de valores en 2025. Venta posible, no anunciada (overhang) [28,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previstos hacia el 12-nov (en 2025 se publicaron el 12-13-nov; plazo legal, 14-nov)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sube un 49 % en tres meses y un 237,9 % en doce, con tendencia alcista (+38,9 % sobre la media de 200 sesiones) y un 10 % por debajo de su máximo. La subida la explican los resultados: margen bruto récord en el 2T y ventas del 3T un 20 % por encima del 2T [4, 6]. Las caídas fuertes de 2026 siguen a noticias de plataformas de Nvidia o a ventas de todo el sector. Hay un hecho pendiente que puede mover el precio más de un 5 % ajeno al análisis, la investigación del MJIB por la salida a bolsa de Fositek [11], y otro latente, la venta de acciones de Furukawa. Veredicto global: retrasa una compra hipotética hasta conocer el alcance de la investigación; para la recomendación no cambia nada, porque es de venta por valoración.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Al cierre de cada ejercicio, el PER de los últimos 12 meses fue de 9,5 a 31,3 veces (media de 18,3); hoy es de 44,9 veces, en el percentil 100 de su historia, y el EV/EBITDA de 29,7 veces frente a una media de 8,7. Con el beneficio adelantado, que es el que usa la regla, el PER es de 23,8 veces nuestro BPA de 2027e frente a una mediana de 12,9 veces en los cinco últimos cierres (7,5 a 16,3). Hay un cambio estructural: AVC ha pasado de fabricante de ventiladores para PC a proveedor de refrigeración líquida de IA, con el margen operativo del 8 % al 27 % [1, 4], y merece más múltiplo que en 2020-2022. Lo que no cambia es el ciclo: el múltiplo de hoy paga varios años más de crecimiento por encima del 30 %.</w:t>
      </w:r>
    </w:p>
    <w:p>
      <w:pPr>
        <w:pStyle w:val="Heading1"/>
      </w:pPr>
      <w:r>
        <w:t xml:space="preserve">18. Comparables cotizados</w:t>
      </w:r>
    </w:p>
    <w:p>
      <w:pPr>
        <w:spacing w:after="100"/>
      </w:pPr>
      <w:r>
        <w:t xml:space="preserve">Nueve cotizadas de refrigeración y gestión térmica de centros de datos y electrónica: los rivales taiwaneses directos (Auras, Jentech, Kaori, Sunonwealth), Delta (CDU y ventiladores dentro de un grupo de energía), los de infraestructura de instalación de EE. UU. (Vertiv, nVent, Modine) y el chino Envicool. Fuera Fositek, que es filial de AVC, y Nidec (pérdidas e investigación contable). Múltiplos de Yahoo Finance del 16-oct-2026; PER de los próximos 12 meses = precio ÷ (2,5/12 del BPA 2026e + 9,5/12 del 2027e; Modine, con ejercicio a marzo, 5,5/12 y 6,5/12) [37]. Sin EV/EBITDA de los próximos 12 meses: Yahoo no da EBITDA estimado. Mediana del PER: 24.7.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Auras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4.246.983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2.677.055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Jentech Precision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Kaori Heat Treatment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Shenzhen Envicool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Sunonwealth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 / 29,7x / 76,2x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24,7x / 41,3x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6,4x / 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3.870,73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spacing w:after="100"/>
      </w:pPr>
      <w:r>
        <w:t xml:space="preserve">AVC cotiza a 22,2 veces el BPA de los próximos 12 meses, por debajo de la mediana de sus pares (24,7 veces), con más margen que todos salvo Jentech y caja neta. Por PER de los comparables saldría un valor de 3.695,56 TWD por acción (+11,5 %); por EV/EBITDA de los últimos 12 meses, 3.316,30 TWD, el precio. Frente al sector no está cara; lo caro es el sector frente a su propio ciclo: todos cotizan a 19-49 veces beneficios que crecen un 40-150 % en un año de máximos de inversión en centros de datos [18, 37]. Con un peso del 20 %, los comparables recogen esa lectura de mercado sin tomarla por valor intrínseco.</w:t>
      </w:r>
    </w:p>
    <w:p>
      <w:pPr>
        <w:pStyle w:val="Heading1"/>
      </w:pPr>
      <w:r>
        <w:t xml:space="preserve">19. Transacciones precedentes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(placas frías, CDU y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EV/ventas sobre las ventas 2026e de 1.700 M USD; EBITDA 2026e ajustado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fluidos para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veces el EBITDA 2026e con sinergias; hasta 250 M USD más por objetivos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(CDU y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por 850 M USD (100 % implícito ≈1.133 M); múltiplo de un dígito medio sobre las ventas 2025e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FläktGroup (climatización y refrigeración de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Electronics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1.500 M EUR por el 100 % del capital; 2,05 veces las ventas 2024 de 730 M EUR [40].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Hay cuatro operaciones recientes en refrigeración de centros de datos, todas de compradores estratégicos con sinergias: Eaton-Boyd Thermal a 22,5 veces el EBITDA de 2026e y 5,59 veces las ventas, Vertiv-PurgeRite a 10,0 veces, y Samsung-FläktGroup a 2,05 veces las ventas [23, 38, 40]. Aplicar las 22,5 veces de Boyd al EBITDA de los últimos 12 meses de AVC (47.500 M) daría unos 2.460 TWD por acción, un 26 % por debajo del precio, después de restar a Fositek a valor de bolsa. No pesan en la síntesis (peso 0): son compañías privadas, más pequeñas y con primas de control, y AVC no está en venta.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+59,2 %, casi publicado y fijo: 98.159 M del 1S, 59.089 M de julio-septiembre y unos 65.000 M en el 4T, en línea con la guía de un segundo semestre mejor que el primero y con el consenso (221.996 M) [4, 6, 34]. 2027e: +38 %, frente al +42 % del consenso: la capacidad líquida crece un 50 % y los ASIC pasan del aire al líquido [7]. 2028e: +15 %. Después, crecimiento que baja hasta el 2,5 %. La media de la proyección es del 9,6 % en los años que se mueven, frente al 28,6 % anual de 2020-2025.</w:t>
      </w:r>
    </w:p>
    <w:p>
      <w:pPr>
        <w:keepNext/>
        <w:spacing w:after="100"/>
      </w:pPr>
      <w:r>
        <w:rPr>
          <w:b/>
          <w:bCs/>
        </w:rPr>
        <w:t xml:space="preserve">Márgenes.</w:t>
      </w:r>
    </w:p>
    <w:p>
      <w:pPr>
        <w:spacing w:after="100"/>
      </w:pPr>
      <w:r>
        <w:t xml:space="preserve">Margen EBITDA del 28,8 % en 2026e y 2027e, el del 1S26 (28,2 %) con un segundo semestre algo mejor por la mezcla de Rubin y de ASIC [4, 7]. Baja al 27,5 % en 2028e y converge al 21 % a largo plazo, entre el 18,5 % de 2024 y el 22,1 % de 2025 [1]: suponemos que parte de la mejora de mezcla hacia el líquido es permanente, pero no la escasez de capacidad que hoy sostiene el precio.</w:t>
      </w:r>
    </w:p>
    <w:p>
      <w:pPr>
        <w:keepNext/>
        <w:spacing w:after="100"/>
      </w:pPr>
      <w:r>
        <w:rPr>
          <w:b/>
          <w:bCs/>
        </w:rPr>
        <w:t xml:space="preserve">Inversión y circulante.</w:t>
      </w:r>
    </w:p>
    <w:p>
      <w:pPr>
        <w:spacing w:after="100"/>
      </w:pPr>
      <w:r>
        <w:t xml:space="preserve">Capex del 9 % de las ventas en 2026e (unos 20.000 M con los anticipos de equipos: 11.360 M en el 1S) y del 8 % en 2027e por la ampliación de Vietnam y Taiwán [4, 7]; baja al 4,2-5,5 % después, con la amortización subiendo del 2,2 % al 4 %. Circulante comercial del 9 % de las ventas: el 9,7 % de 2025 y el 7 % de junio de 2026, porque los proveedores financian casi todas las existencias [1, 4]. Impuesto del 26,5 % (26,9 % efectivo en el 1S26).</w:t>
      </w:r>
    </w:p>
    <w:p>
      <w:pPr>
        <w:keepNext/>
        <w:spacing w:after="100"/>
      </w:pPr>
      <w:r>
        <w:rPr>
          <w:b/>
          <w:bCs/>
        </w:rPr>
        <w:t xml:space="preserve">Coste del capital.</w:t>
      </w:r>
    </w:p>
    <w:p>
      <w:pPr>
        <w:spacing w:after="100"/>
      </w:pPr>
      <w:r>
        <w:t xml:space="preserve">Tasa libre: bono de Taiwán a 10 años del 2,03 % (16-oct-2026) [35]. Beta 1,2: entre la mensual de 5 años frente al TAIEX (1,11) y la semanal (1,29); la semanal de 2 años (1,52) recoge la etapa de la IA [33]. Prima de mercado del 5,5 % y prima adicional de 1,5 puntos por concentración de clientes y riesgo del estrecho de Taiwán. Coste de los fondos propios del 10,13 %; deuda al 3,0 % antes de impuestos con un peso del 2 %. WACC del 9,98 %. Con la prima implícita de Damodaran (4,20 %) [36], el valor sube a 1.620 TWD y la conclusión no cambia.</w:t>
      </w:r>
    </w:p>
    <w:p>
      <w:pPr>
        <w:keepNext/>
        <w:spacing w:after="100"/>
      </w:pPr>
      <w:r>
        <w:rPr>
          <w:b/>
          <w:bCs/>
        </w:rPr>
        <w:t xml:space="preserve">Valor terminal.</w:t>
      </w:r>
    </w:p>
    <w:p>
      <w:pPr>
        <w:spacing w:after="100"/>
      </w:pPr>
      <w:r>
        <w:t xml:space="preserve">Gordon con un 1,5 %: por debajo de la tasa libre menos medio punto (1,53 %) y del crecimiento nominal de Taiwán, porque a largo plazo AVC es un fabricante de componentes en un mercado que madura. El valor terminal pesa el 49 % del valor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1.661,87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99.895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(ROIC 128,9 %)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 frente al 14,5 %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 (histórico: 239,6 %)</w:t>
            </w:r>
          </w:p>
        </w:tc>
      </w:tr>
    </w:tbl>
    <w:p>
      <w:pPr>
        <w:spacing w:after="160" w:before="0"/>
      </w:pPr>
    </w:p>
    <w:p>
      <w:pPr>
        <w:spacing w:after="100"/>
      </w:pPr>
      <w:r>
        <w:t xml:space="preserve">La proyección reinvierte el 17 % del NOPAT. Con el ROIC del último ejercicio (128,9 %), eso financia un crecimiento del 21,7 % anual, frente al 14,5 % de ingresos proyectado. Supone que el capital nuevo rinde un 40,8 %, frente a un ROIC incremental histórico del 239,6 %.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placas frías, colectores y módulos de aire para GB300 y los primeros Vera Rubin; precio y mezcla: más líquido y cámaras de vapor de alta potencia (margen bruto del 25 % al 33 %); otros: chasis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capacidad líquida un 50 % mayor y los ASIC que pasan al líquido; precio por más contenido térmico por rack (Rubin, Trainium 3)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menor al ponerse al día la capacidad de los centros de datos; precio casi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algo de presión de precios al entrar más capacidad del sector.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moderado con la inversión en centros de datos.</w:t>
            </w:r>
          </w:p>
        </w:tc>
      </w:tr>
    </w:tbl>
    <w:p>
      <w:pPr>
        <w:spacing w:after="160" w:before="0"/>
      </w:pPr>
    </w:p>
    <w:p>
      <w:pPr>
        <w:spacing w:after="100"/>
      </w:pPr>
      <w:r>
        <w:t xml:space="preserve">Sí. La proyección reinvierte el 17 % del NOPAT y eso financia, al ROIC actual, un crecimiento del 21,7 % anual frente al 14,5 % proyectado; el capital nuevo tendría que rendir un 40,8 %, muy por debajo del ROIC incremental histórico (239,6 %) y del ROIC operativo de hoy (≈80 %). La prueba de poder de precios también pasa: el margen bruto subió del 20,9 % en 2023 al 32,6 % en el 2T26 con inflación de materiales [4, 7]. La prueba de cuota no se puede hacer con cifras publicadas: Dell'Oro mide la refrigeración líquida del lado de la instalación (≈3.000 M USD en 2025 y ≈7.000 M en 2029) [14], un perímetro distinto de las ventas de AVC (aire, líquido dentro del servidor y chasis), así que lo usamos como ritmo: el mercado crece un 23,6 % anual hasta 2029 y nuestra proyección un 26 % anual de 2026e a 2028e, con la penetración del líquido en chips de IA subiendo del 53 % al 60 % [17]. El crecimiento que proyectamos lo sostiene la calidad del negocio; lo que no está asegurado es el ciclo, y ese riesgo va en el escenario bajista, no en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 (base: 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(WACC: 10,0 %)</w:t>
            </w:r>
          </w:p>
        </w:tc>
      </w:tr>
    </w:tbl>
    <w:p>
      <w:pPr>
        <w:spacing w:after="160" w:before="0"/>
      </w:pPr>
    </w:p>
    <w:p>
      <w:pPr>
        <w:spacing w:after="100"/>
      </w:pPr>
      <w:r>
        <w:t xml:space="preserve">El DCF da 1.287,41 TWD por acción, un 61,2 % por debajo del precio, con el 49 % del valor en el terminal. El DCF inverso explica la distancia: para justificar 3.315 TWD con nuestros márgenes, las ventas tendrían que crecer un 25 % anual de 2027e a 2035e, frente al 9,6 % de nuestro base; con nuestro crecimiento, el margen EBITDA tendría que ser del 44 % a largo plazo, el doble del 21 % que suponemos y por encima del máximo trimestral de su historia (29,8 %). La rentabilidad que implica el precio con nuestros flujos es del 5,1 %, por debajo de nuestro WACC. Es decir, el precio supone que AVC deja de ser un fabricante cíclico de componentes y crece como la IA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ciclo de inversión en centros de datos en 2028: 2027e crece solo un 13 % y 2028e cae un 13 %, con el margen EBITDA del 25,8 % y del 21 % (el de 2025); después, márgenes 4 puntos por debajo del base. Ya pasó con otros proveedores de hardware tras años de pedidos con colchón.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2026e casi publicado; dos años más de crecimiento fuerte pero decreciente (38 % y 15 %), por debajo del consenso, y margen EBITDA que converge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ASIC y Rubin alargan el ciclo: 2027e +43 % y 2028e +20 % con márgenes 1,5 puntos mejores, y crecimiento 2 puntos mayor en los años siguientes.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TWD) · precio actual 3.31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1.173,82 TWD (-64,6 %).</w:t>
      </w:r>
    </w:p>
    <w:p>
      <w:pPr>
        <w:spacing w:after="100"/>
      </w:pPr>
      <w:r>
        <w:t xml:space="preserve">Los tres escenarios del DCF quedan por debajo del precio: 427,23 TWD el bajista (−87,1 %), 1.287,41 el base (−61,2 %) y 1.693,22 el alcista (−48,9 %). El bajista es tan bajo porque resta a Fositek a valor de bolsa (unos 320 TWD por acción), una cifra que no baja con el escenario. No hay asimetría que compense: incluso el alcista exige un precio un 49 % menor. Lo que separa nuestro valor del precio no es el escenario, sino el horizonte y el múltiplo: el mercado paga hoy beneficios de 2030 y más allá a múltiplos de crecimiento.</w:t>
      </w:r>
    </w:p>
    <w:p>
      <w:pPr>
        <w:pStyle w:val="Heading1"/>
      </w:pPr>
      <w:r>
        <w:t xml:space="preserve">22. Suma de partes</w:t>
      </w:r>
    </w:p>
    <w:p>
      <w:pPr>
        <w:pStyle w:val="Confianza"/>
        <w:spacing w:after="100"/>
      </w:pPr>
      <w:r>
        <w:t xml:space="preserve">Confianza: Media</w:t>
      </w:r>
    </w:p>
    <w:p>
      <w:pPr>
        <w:spacing w:after="100"/>
      </w:pPr>
      <w:r>
        <w:t xml:space="preserve">No aplica: AVC no publica segmentos (un solo negocio de soluciones térmicas y mecánicas). La filial cotizada Fositek (bisagras) se trata en el puente: se consolida al 100 % y se restan los minoritarios a valor de mercado [43].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TWD) · precio actual 3.31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1.734,96 TWD (-47,7 % sobre 3.315,00).</w:t>
      </w:r>
    </w:p>
    <w:p>
      <w:pPr>
        <w:spacing w:after="100"/>
      </w:pPr>
      <w:r>
        <w:t xml:space="preserve">Pesos: DCF 50 %, escenarios 30 % y comparables 20 %; sin transacciones (primas de control de compañías privadas) ni suma de partes. El DCF es el más fiable a largo plazo porque obliga a poner el ciclo y la convergencia del margen; los comparables (3.695,56 TWD por PER) solo dicen que todo el sector cotiza a múltiplos de crecimiento en un año de máximos. La dispersión es enorme: de 427,23 TWD (bajista) a 3.695,56 (comparables) y 4.200,35 (analistas). El valor objetivo ponderado de 1.734,96 TWD queda un 47,7 % por debajo del precio. El puente resta la deuda (25.362 M) y los arrendamientos (2.374 M), suma la caja (78.402 M) y las asociadas (664 M), y resta los minoritarios de Fositek a valor de bolsa (128.025 M) y el dividendo pagado el 23-sep (8.199 M) [4, 42, 43].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(23.8x) ÷ 1.1 (tope: la mediana de 5 años, 12.9x,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4.255,81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bl>
    <w:p>
      <w:pPr>
        <w:spacing w:after="160" w:before="0"/>
      </w:pPr>
    </w:p>
    <w:p>
      <w:pPr>
        <w:spacing w:after="100"/>
      </w:pPr>
      <w:r>
        <w:rPr>
          <w:b/>
          <w:bCs/>
        </w:rPr>
        <w:t xml:space="preserve">Objetivo a 12 meses (ponderado):</w:t>
      </w:r>
      <w:r>
        <w:t xml:space="preserve"> 2.811,79 TWD · rentabilidad -14,5 % (base -1,3 %) · señal Vender.</w:t>
      </w:r>
    </w:p>
    <w:p>
      <w:pPr>
        <w:spacing w:after="100"/>
      </w:pPr>
      <w:r>
        <w:t xml:space="preserve">Para comparar, con la regla v2 (historia al cierre, mismo precio): 9,5x / 23,8x / 24,7x, -8,6 % Mantener; con el tope anterior del base (×1,3, 14-oct mediodía): -22,0 %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(139,4) está un 13,8 % por debajo del consenso (161,73) y el de 2028e (150,5) un 21,5 % por debajo del de Morgan Stanley (191,8) [34, 41]. La diferencia es de margen, no de ventas: las de 2027e son casi las mismas (306.781 M frente a 314.517 M, −2,5 %), pero el consenso supone que el margen bruto sigue subiendo (Citi, 34,9 % en 2027) [20] y nosotros lo mantenemos en el nivel del 2T26, porque la escasez de capacidad líquida que hoy lo sostiene se corrige cuando el sector amplía un 50 %. Hemos revisado el supuesto y lo mantenemos. Con el BPA del consenso y la misma regla, el objetivo base seguiría por debajo del objetivo medio de los analistas (4.200,35 TWD).</w:t>
      </w:r>
    </w:p>
    <w:p>
      <w:pPr>
        <w:keepNext/>
        <w:spacing w:after="100"/>
      </w:pPr>
      <w:r>
        <w:rPr>
          <w:b/>
          <w:bCs/>
        </w:rPr>
        <w:t xml:space="preserve">Del valor intrínseco al objetivo a 12 meses.</w:t>
      </w:r>
    </w:p>
    <w:p>
      <w:pPr>
        <w:spacing w:after="100"/>
      </w:pPr>
      <w:r>
        <w:t xml:space="preserve">El objetivo ponderado a 12 meses es de 2.811,79 TWD (−14,5 % con el dividendo) y el base de 3.250,8 TWD (−1,3 %); el valor intrínseco es de 1.734,96 TWD. El BPA base de 2028e crece un 46,1 % anual desde 2025 porque 2026 ya está casi publicado (1S de 43,73 TWD y ventas del 3T un 20 % mayores que las del 2T); de 2026e a 2028e crece un 21 % anual. La regla pone el base en 21,6 veces (el PER actual de 23,8 veces bajado por el tope, porque la mediana de cinco años, 12,9 veces, queda lejos) y el bajista en el mínimo de cinco años, 7,5 veces, sobre un BPA de 65,3: es el que hunde la ponderada (−84,6 %). El alcista toma la mediana de los comparables, 24,7 veces (+29,0 %). Con la historia al cierre (v2) la ponderada sería del −8,3 % (Mantener): las dos reglas coinciden en que no hay compra. Para comprar haría falta un precio por debajo de 1.734,96 TWD.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octubre (publicación mensual obligatoria)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4T: el base supone unos 65.000 M en el trimestre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con Vera Rubin y guía cualitativa de 2027; un margen por encima del 33 % sostendría 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MJIB sobre la salida a bolsa de Fositek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a consejeros o directivos dañarían el gobierno y la valoración de Fositek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Guías de inversión de 2027 de los grandes de la nube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se trasladaría a pedidos de placas frías en uno o dos trimestres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GTC de Nvidia: diseño térmico de Rubin Ultra (Kyber)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adopta tapas con microcanales, parte del contenido pasa a otros proveedores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acciones de Furukawa Electric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oferta puntual (en torno al 12 %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gasto en centros de datos de IA (exceso de capacidad o financiación que se cierra)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(escenario bajista frente al base del DCF); −85 % a 12 meses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circulante financiado por proveedores; capex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dos meses seguidos por debajo de 15.000 M; recortes de las guías de inversión de los grandes de la nube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el beneficio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el PER mediano de 5 años (12,9 veces) sobre nuestro BPA de 2028e, ≈1.940 TWD (−41 %)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en el precio actual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18 veces sin bajada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(ODM de servidores, Nvidia y unos pocos grandes de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principal en GPU y en ASIC, cualificación de meses por plataforma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una plataforma (Rubin Ultra o un ASIC) frente a Auras o Cooler Master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refrigeración en el chip (tapas con microcanales) o por inmersión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KGI espera que la placa fría siga siendo la solución principal, sobre todo en inferencia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adopta tapas con microcanales en Rubin Ultra con Jentech como proveedor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MJIB por la salida a bolsa de Fositek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hay cargos a la cúpula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la limita a empleados concretos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Imputación de consejeros o directivos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pico (escasez de capacidad líquida que se corrige)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(2 puntos menos de margen EBITDA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con más líquido y ASIC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29 %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triplicadas (57.874 M) ante un cambio de plataforma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inventario a la baja (de 174 a 145)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existencias o días por encima de 170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la participación de Furukawa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Presión puntual de precio,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Liquidez alta (≈10.900 M TWD al día)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transmisión en MOPS</w:t>
            </w:r>
          </w:p>
        </w:tc>
      </w:tr>
    </w:tbl>
    <w:p>
      <w:pPr>
        <w:spacing w:after="160" w:before="0"/>
      </w:pPr>
    </w:p>
    <w:p>
      <w:pPr>
        <w:pStyle w:val="Heading2"/>
      </w:pPr>
      <w:r>
        <w:t xml:space="preserve">Pre-mortem</w:t>
      </w:r>
    </w:p>
    <w:p>
      <w:pPr>
        <w:spacing w:after="100"/>
      </w:pPr>
      <w:r>
        <w:t xml:space="preserve">Octubre de 2029: la acción ha perdido un 40 %. Lo que pasó: en 2027 los grandes de la nube recortaron su inversión en centros de datos después de dos años sin rentabilizarla y de que la financiación con deuda de los operadores de nube se encareciera. Los ODM, que habían pedido placas frías y colectores con colchones de capacidad, dejaron de comprar durante tres trimestres. A la vez, la capacidad de refrigeración líquida del sector, que AVC, Auras, Cooler Master y los chinos habían ampliado un 50 % en 2027, sobró, y los precios bajaron: el margen bruto volvió del 33 % al 24 % de 2025. Las ventas de 2028 cayeron un 13 % y el BPA se quedó en la mitad de lo que esperaba el consenso. El mercado dejó de pagar 24 veces beneficios por un proveedor de componentes y volvió a las 8-13 veces de su historia. Lo habrían anticipado las ventas mensuales (dos meses seguidos de caída interanual), las existencias por encima de 170 días y las guías de inversión de enero de 2027.</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+32 % (alcista del DCF) / −67 % si la inversión en IA se frena (bajista del DCF)</w:t>
      </w:r>
    </w:p>
    <w:p>
      <w:pPr>
        <w:spacing w:after="100"/>
      </w:pPr>
      <w:r>
        <w:t xml:space="preserve">La IA no amenaza el producto: ningún modelo sustituye a la física de disipar 2-3 kW por chip, y la potencia por chip y por rack sube con cada generación de Nvidia y de los ASIC (más placas frías y conectores en GB300 que en GB200, y aún más en Trainium 3) [16]. Es el motor del negocio: los servidores y redes ya son el 66 % de las ventas [7]. El riesgo es de dependencia, no de sustitución: casi todo el crecimiento depende del gasto en centros de datos, que es cíclico, y si se frena el efecto es el de nuestro escenario bajista. Hay además un riesgo tecnológico dentro de la propia IA: la refrigeración en el chip (tapas con microcanales), que podría llevarse parte del contenido a otros proveedores desde 2027 [16].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afectan a las cifras son la concentración geográfica de la producción (Taiwán, China y Vietnam, con el riesgo geopolítico del estrecho y los aranceles de EE. UU.), la calidad y fiabilidad del producto (una fuga de refrigerante en un rack de IA es un coste de garantía alto) y el consumo de energía de los centros de datos a los que sirve, que favorece a la refrigeración líquida frente a la de aire [7, 16].</w:t>
      </w:r>
    </w:p>
    <w:p>
      <w:pPr>
        <w:pStyle w:val="Heading2"/>
      </w:pPr>
      <w:r>
        <w:t xml:space="preserve">Controversias</w:t>
      </w:r>
    </w:p>
    <w:p>
      <w:pPr>
        <w:spacing w:after="100"/>
      </w:pPr>
      <w:r>
        <w:t xml:space="preserve">El 7-oct-2026 el Buró de Investigación registró las sedes de AVC y de Fositek por la salida a bolsa de Fositek en 2023; sin imputaciones públicas a la fecha de corte [11]. No hemos localizado sanciones ni litigios relevantes en los tres años anteriores.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2027 son nuevas plataformas (Rubin, ASIC) y qué parte es reposición de capacidad que no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2028 crece o cae; es el supuesto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cinco primeros clientes y cuál es la cuota de AVC en placas frías de Rubin y de los ASIC de Google y AWS?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concentración ni cuotas.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es sostenible cuando la capacidad líquida del sector se ponga al día?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32,57 % del 2T26 frente al 20,9 % de 2023 define el BPA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papel tendrá AVC en las tapas con microcanales de Rubin Ultra?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contenido pasa al empaquetado, AVC podría perderlo frente a Jentech.</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quién afecta la investigación del MJIB sobre la salida a bolsa de Fositek y qué controles se han cambiado?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cargos a la cúpula cambiarían la lectura del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Fositek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mantiene el control de Fositek con un 17 % y qué planes hay para la filial?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 minoritarios valen en bolsa unos 128.000 M TWD, el 10 % de la capitalización de AVC.</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del registro del Buró de Investigación)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lo trata como «examen ya resuelto» (欣興 subió tras un registro similar) y ve la caída como ocasión de compra; pocos piden prudencia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(noticia del registro)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bromas de «señal de compra» con quienes recuerdan «historias de fantasmas» sobre la empresa y esperan un 20 % de caída para entrar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por el margen bruto del 32 % y el BPA de tres cifras en 2026; algún escéptico calcula 20 veces 100 = 2.000 TWD y recuerda la caída de cuando «la IA no necesitaba refrigeración»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(pedidos y declaraciones del presidente)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«ya descontado», «2022 prometía 2026 y 2026 promete 2029», dudas por la parte de producción en China y por la entrada de Foxconn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(resultados del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Comparan su PER adelantado bajo con el de Jentech y lo ven como la opción «más estable» de la refrigeración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CMoney 股市爆料同學會</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indicador de sentimiento del foro marca 75, «optimismo extremo», el 16-oct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registro del Buró de Investigación es una oportunidad de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limita el caso a la salida a bolsa de Fositek y a empleados concretos; sin imputaciones a la fecha, el riesgo está acotado pero no cerrado [44, 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de tres cifras y PER adelantado razonable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da 103,5 TWD en 2026 y 161,7 en 2027; nuestro BPA es menor en 2027-2028 porque suponemos que el margen se normaliza [46,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 está descontado» y dependencia de Nvidia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DCF inverso: el precio pide crecimiento alto durante años; las caídas de mayo y julio salieron de noticias de plataformas [47].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Foxconn y de Jentech (microcanales)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recogido en competencia y riesgos (KGI ve a Jentech como primer proveedor de tapas con microcanales) [47].</w:t>
            </w:r>
          </w:p>
        </w:tc>
      </w:tr>
    </w:tbl>
    <w:p>
      <w:pPr>
        <w:spacing w:after="160" w:before="0"/>
      </w:pPr>
    </w:p>
    <w:p>
      <w:pPr>
        <w:spacing w:after="100"/>
      </w:pPr>
      <w:r>
        <w:t xml:space="preserve">El inversor particular taiwanés está claramente a favor: el foro de CMoney marca optimismo extremo y PTT trata cada caída (rumor de Vera Rubin, registro del Buró de Investigación) como ocasión de compra [44, 48, 49]. Va en la misma dirección que los 17 analistas, todos con recomendación de compra. Eso no aporta información nueva sobre el negocio, pero sí dice que no hay capitulación ni escepticismo que explotar: con un consenso unánime y particulares eufóricos, el riesgo está en las decepciones de plataforma, que en 2026 ya provocaron caídas del 15-20 % en días. Los escépticos señalan dos riesgos que el informe recoge: la producción en China y la competencia de los ODM integrados [47].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49 (11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40,8 % frente a un ROIC de 128,9 % y un incremental histórico de 239,6 %: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9,7 % real: genera una variación de circulante de 6.411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35.656 M de flujo libre medio en sus tres primeros años, frente a 11.685 M de media real en los tres últimos: justifica el salto (circulante, inversión, márgenes) o ajusta los supuestos. Explicación: El salto es real y ya se ve en las cuentas: el flujo de explotación pasó de 9.632 M en 2024 a 39.415 M en 2025, y el flujo libre de los últimos doce meses a junio de 2026 es de 36.737 M [1, 4]. La media de los tres últimos años la hunden 2023-2024, con ventas de 59.194 M y 71.761 M frente a 222.305 M en 2026e (1S real más las ventas de julio-septiembre publicadas) [5,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(150,50) supone un 46,1 % anual desde 48,24 (2025): explícalo en valoracion.objetivo_12m.comentario o la confianza es baja. Explicación: El BPA base de 2028e (150,50) crece un 46,1 % anual desde 2025 porque 2026 está casi cerrado: el 1S26 ya dio 43,73 TWD por acción y las ventas de julio-septiembre (59.089 M) son un 20 % más que las del 2T [4, 6]; nuestro 2026e (≈102 TWD) coincide con el consenso (103,52) [34]. De 2026e a 2028e el crecimiento anual es del 21 %, por debajo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-47,0 % (-39,3 % con la prima del mercado) y el precio pide 15,4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inglés en el servidor de documentos de la TWSE (doc.twse.com.tw): bloqueado por seguridad desde la nube; 2) notas de segmentos en la API de MOPS y en la web de AVC (avc.co, protegida por Incapsula); 3) prensa y resúmenes de conferencias: solo la mezcla del 1S26 (térmico 62,98 %, chasis 20,44 %, servidores 66,14 %), sin cinco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información geográfica del informe anual (doc.twse.com.tw bloqueado); 2) MOPS y avc.co (bloqueados); 3) prensa: sin cifras por país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préstamos del informe anual (bloqueado); 2) MOPS (solo balance resumido: 17.628 M a corto y 7.735 M a largo); 3) prensa: sin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Conferencias del 1T26 y 2T26: la empresa no da cuotas; 2) informes de KGI y TrendForce (vía Penchan): proveedores sin cuotas; 3) prensa: estimaciones dispares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Dell'Oro y MarketsandMarkets: sin cuotas públicas; 2) KGI: lista de proveedores sin cuota;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(doc.twse.com.tw, bloqueado desde la nube); 2) MOPS, remuneración de consejeros (API bloqueada); 3) prensa y proveedores: sin cifra individual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 junta en MOPS (bloqueado); 2) N-PX de fondos de EE. UU.: solo el sentido de su voto; 3) prensa: sin resultados de la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TWSE (datos de préstamo de valores, bloqueado desde la nube); 2) Yahoo Finance: sin dato para Taiwán; 3) Yahoo股市 y CMoney: solo saldos de crédito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(EBITDA y DPA)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(403 desde la nube); 2) Yahoo Finance: solo ventas y BPA; 3) prensa: BPA de casas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 avc.co (bloqueado por Incapsula); 2) MOPS, sección ESG (bloqueada desde la nube); 3) Yahoo Finance: sin puntuación de Sustainalytics para 3017.TW</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financieros consolidados NIIF 2025 y 2024 (cuenta de resultados, balance y flujos de efectivo), 奇鋐科技 (3017)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MOPS, Bolsa de Taiwán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https://mops.twse.com.tw/mops/api/t164sb04?companyId=3017&amp;year=114&amp;season=4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financieros consolidados NIIF 2023 y 2022 (reexpresados en el informe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MOPS,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https://mops.twse.com.tw/mops/api/t164sb04?companyId=3017&amp;year=112&amp;season=4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consolidados NIIF 2021 y 2020 (2020 reexpresado en el informe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MOPS,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https://mops.twse.com.tw/mops/api/t164sb04?companyId=3017&amp;year=110&amp;season=4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consolidados NIIF del 2T26 (a 30-jun-2026; balance, cuenta trimestral y del semestre, flujos del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MOPS,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https://mops.twse.com.tw/mops/api/t164sb04?companyId=3017&amp;year=115&amp;season=2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consolidados NIIF trimestrales 1T24-1T26 (acumulados de 3, 6 y 9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MOPS,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https://mops.twse.com.tw/mops/api/t164sb04?companyId=3017&amp;year=115&amp;season=1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(3017) publica las ventas de septiembre de 2026: 21.018 M TWD; 157.248 M en enero-septiembre (+71,2 %)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https://finance.technews.tw/2026/10/07/avc-3017-202609-financial-report/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(12-ago-2026): mezcla de producto, días de inventario, capex,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Fugle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https://blog.fugle.tw/post/earnings-call-3017-2026-08-12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el beneficio del primer semestre se duplica (BPA 44,54 TWD); capacidad de placas frías y colectores; capex 2026 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Uanalyze (con Cnyes)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https://uanalyze.com.tw/articles/5815653290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 de dividendos de 奇鋐 (3017) por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https://histock.tw/stock/3017/%E9%99%A4%E6%AC%8A%E9%99%A4%E6%81%AF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del 1T26 (14-may-2026): ventas 49.038 M TWD, margen bruto 29,77 %, BPA 20,17 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SinoPac Securities (Richclub)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https://www.sinotrade.com.tw/richclub/hotstock/%E5%A5%87%E9%8B%90-3017-%E5%81%9A%E4%BB%80%E9%BA%BC-%E6%B3%95%E8%AA%AA%E6%9C%89%E4%BD%95%E9%87%8D%E9%BB%9E-%E9%A6%96%E5%AD%A3EPS%E5%89%B5%E6%AD%B7%E5%8F%B2%E6%96%B0%E9%AB%98%E9%81%9420-17%E5%85%83-6a059014998cb6188cb1bdb7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y Fositek, registradas por el Buró de Investigación (MJIB) por la salida a bolsa de Fositek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Liberty Times (LTN)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https://ec.ltn.com.tw/article/breakingnews/5598978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AVC en Yahoo股市: acciones emitidas (392,67 M), auditor (EY Taiwán), dividendo 2025, BPA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Yahoo股市 (datos de TWSE y SysJust)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https://tw.stock.yahoo.com/quote/3017.TW/profile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build-out to propel data center physical infrastructure market to $63.1 billion by 2029 (gestión térmica +19 % anual; refrigeración líquida directa de 1.100 M USD en 2024 a 5.800 M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https://www.delloro.com/news/ai-build-out-to-propel-data-center-physical-infrastructure-market-to-63-1-billion-by-2029/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liquid cooling market to approach $7 billion by 2029 as AI deployments accelerate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https://www.delloro.com/news/data-center-liquid-cooling-market-to-approach-7-billion-by-2029-as-ai-deployments-accelerate/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centre liquid cooling to hit $21.14bn by 2032 (MarketsandMarkets: 2.840 M USD en 2025, +33,2 %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 News (MarketsandMarkets)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https://ognnews.com/Article/47944/Data_centre_liquid_cooling_to_hit_$2114bn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Thermal sector: AI server demand fuels liquid cooling adoption (contenido líquido por rack GB300, VR, AWS Trainium; microcanales)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KGI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https://www.kgi.com.hk/en/-/media/files/kgishk/research-reports/tw-reports/thermal-sector_27102025.pdf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de suministro de refrigeración de IA: proveedores de placas frías, CDU y cámaras de vapor; penetración líquida 2026-2027 (TrendForce)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Penchan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https://penchan.co/en/market/ai/supply-chain/cooling/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Auras, Delta, Vertiv, Jentech, Kaori, nVent, Envicool, Sunonwealth, Modine (ingresos y margen operativo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https://finance.yahoo.com/quote/3324.TWO/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 de problema de interfaz térmica en Vera Rubin: AVC cae a límite a la baja antes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Times (Wantrich)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https://wantrich.chinatimes.com/news/20260506900299-420101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 sube objetivos de AVC y Auras: ventas de AVC 2027 +50 % y margen bruto del 34,9 %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(UDN)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https://money.udn.com/money/story/5607/9764013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capacidad llena, ampliación de la planta de Vietnam, pedidos con visibilidad hasta 2028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Yahoo股市 (財訊快報)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news/%E5%A5%87%E9%8B%90%E7%94%A2%E8%83%BD%E7%88%86%E6%BB%BF-%E8%B6%8A%E5%8D%97%E5%BB%A0%E6%93%B4%E5%BB%BA-q4%E6%A5%AD%E7%B8%BE%E4%BC%B0%E5%AD%A3%E5%A2%9E2%E6%88%90-%E6%98%8E%E5%B9%B4%E7%87%9F%E6%94%B6%E6%AF%9B%E5%88%A9%E7%8E%87%E7%BA%8C%E6%94%BB%E9%AB%98-044046327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AVC en Yahoo Finance (descripción del negocio, fundación 1991, sede en Kaohsiung)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https://finance.yahoo.com/quote/3017.TW/profile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ventas 2026e de 1.700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https://www.businesswire.com/news/home/20251103856036/en/Eaton-Signs-Agreement-to-Acquire-Boyd-Thermal-Expanding-Solutions-for-Data-Center-Customers-to-Include-Critical-Liquid-Cooling-Technology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N-PX de The Taiwan Fund, Inc. (votaciones 2024-2025): junta de AVC del 6-jun-2025, elección del consejo completo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https://www.sec.gov/Archives/edgar/data/804123/000139834425016624/proxytable.xml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N-PX de The Taiwan Fund, Inc. (votaciones 2023-2024): junta de AVC del 14-jun-2024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https://www.sec.gov/Archives/edgar/data/804123/000139834424015667/ProxyVotingTable.xml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de consejeros y directivos de 奇鋐 (3017), datos de agosto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Cnyes (鉅亨網)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https://www.cnyes.com/twstock/directorholder.aspx?code=3017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transmisión de acciones de consejeros, directivos y accionistas de referencia de AVC (registro de la TWSE)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https://tw.stock.yahoo.com/quote/3017.TW/insider-transactions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no le pesa la declaración de venta del accionista de referencia (Furukawa, 4.800 lotes en enero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Liberty Times (LTN)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https://ec.ltn.com.tw/article/breakingnews/4553626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Furukawa Electric: aviso de beneficio extraordinario por venta de valores cotizados (reducción de participaciones cruzadas),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Furukawa Electric (TDnet,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https://www2.jpx.co.jp/disc/58010/140120250210569016.pdf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Furukawa Electric: aviso de beneficio extraordinario por venta de valores cotizados extranjeros, enero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Furukawa Electric (TDnet,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https://www2.jpx.co.jp/disc/58010/140120240124518312.pdf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consejeros y de extranjeros en AVC, serie semanal (董監持股, 外資籌碼)</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https://tw.stock.yahoo.com/quote/3017.TW/major-holders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1T26: la dirección reitera crecimiento trimestral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Times (Wantrich)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https://wantrich.chinatimes.com/news/20260515900245-420101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(3017.TW, ^TWII, 0050.TW), hasta 2026-10-16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https://finance.yahoo.com/quote/3017.TW/history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3017.TW: consenso de BPA y ventas 2026-2027 (16-17 analistas),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https://finance.yahoo.com/quote/3017.TW/analysis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 bond yield: 2,03 %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comparables (Auras, Delta, Vertiv, Jentech, Kaori, nVent, Envicool, Sunonwealth, Modine) y tipos de cambio USD/TWD y CNY/TWD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announces intent to acquire PurgeRite (≈1.000 M USD, ≈10,0 veces el EBITDA 2026e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https://www.vertiv.com/en-us/about/news-and-events/corporate-news/vertiv-announces-intent-to-acquire-purgerite-a-leading-provider-of-specialized-fluid-management-services-to-expand-liquid-cooling-services-portfolio/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toma el 75 % de Motivair por 850 M USD (múltiplo de un dígito medio sobre las ventas 2025e)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Intelligent Data Centres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https://intelligentdatacentres.com/?p=38314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acquires FläktGroup for €1.5bn (2,05 veces las ventas 2024 de 730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Memoori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https://memoori.com/samsung-acquires-flaktgroup-for-1-5bn-hvac-deal/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sube el objetivo de AVC a 3.333 TWD (BPA 2026e 96,5; 2027e 145,03; 2028e 191,8)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(UDN)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https://money.udn.com/money/story/5607/9505700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AVC (3017): dividendo de 20,881 TWD con cargo a 2025; ex-dividendo 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Win投資</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https://winvest.tw/News/Detail/92826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Fositek (6805.TW), ficha de Yahoo Finance: capitalización 154.246 M TWD, PER de los últimos doce meses 48,2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https://finance.yahoo.com/quote/6805.TW/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«[情報] 3017 奇鋐 調查局至本公司進行搜索及調查» (85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https://www.ptt.cc/bbs/Stock/M.1791373810.A.E60.html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«[新聞] 奇鋐與富世達遭搜索» (35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https://www.ptt.cc/bbs/Stock/M.1791377173.A.B19.html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«[情報] 3017奇鋐 115年第二季合併財務報告» (39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https://www.ptt.cc/bbs/Stock/M.1786523580.A.AEC.html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«[新聞] 奇鋐訂單塞爆 董座：下半年大爆發» (64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https://www.ptt.cc/bbs/Stock/M.1780444181.A.70B.html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«[情報] 3017 奇鋐 Q1 EPS 20.17» (135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https://www.ptt.cc/bbs/Stock/M.1778740329.A.F95.html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CMoney 股市爆料同學會, foro de 奇鋐 (3017): indicador «同學風向» 75, «極度樂觀»</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https://www.cmoney.tw/forum/stock/3017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79,4 %</w:t>
      </w:r>
      <w:r>
        <w:t xml:space="preserve"> · Secciones con menos del 60 % de campos cubiertos: </w:t>
      </w:r>
      <w:r>
        <w:rPr>
          <w:b/>
          <w:bCs/>
        </w:rPr>
        <w:t xml:space="preserve">capital, gobierno</w:t>
      </w:r>
      <w:r>
        <w:t xml:space="preserve"> · Generado el 16 oct 2026.</w:t>
      </w:r>
    </w:p>
    <w:p>
      <w:pPr>
        <w:pStyle w:val="Nota"/>
        <w:spacing w:after="100"/>
      </w:pPr>
      <w:r>
        <w:t xml:space="preserve">Una sola línea: Bolsa de Taiwán (TWSE), código 3017, en TWD. Taiwán no tiene XBRL público accesible: las cuentas salen de los estados financieros consolidados NIIF publicados en MOPS (API pública de la bolsa, 2020-2025 y trimestres 1T23-2T26), con las cifras reexpresadas más recientes. El servidor de documentos de la TWSE, la web de la empresa (avc.co) y las presentaciones a inversores están bloqueados desde la nube: no hemos leído el informe anual (segmentos, geografías, vencimientos de deuda, remuneración individual) y las conferencias salen de resúmenes de terceros (Fugle, Uanalyze) [7, 8]. Precio: cierre del 16-oct-2026 (3.315 TWD). Consenso de Yahoo Finance (ventas y BPA 2026-2027) y de la prensa (Morgan Stanley para 2028) [34, 41]. Acciones diluidas: 399,8 millones (392,67 emitidas más la dilución de 2025) [12]. Fositek, filial cotizada consolidada al 100 % con una participación directa de en torno al 17 %, se resta a valor de bolsa en el puente [43].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Asia Vital Components Co., Ltd. (奇鋐科技股份有限公司) (3017)</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3.315,00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(1.120,00 – 3.700,00)</c:v>
                </c:pt>
                <c:pt idx="1">
                  <c:v>Precio objetivo de los analistas (3.327,00 – 5.200,00)</c:v>
                </c:pt>
                <c:pt idx="2">
                  <c:v>Comparables: PER NTM (2.902,59 – 6.179,22)</c:v>
                </c:pt>
                <c:pt idx="3">
                  <c:v>DCF (WACC y g ± 0,5) (1.165,31 – 1.440,64)</c:v>
                </c:pt>
                <c:pt idx="4">
                  <c:v>Escenarios (bajista – alcista) (427,23 – 1.693,22)</c:v>
                </c:pt>
                <c:pt idx="5">
                  <c:v>DCF con la prima implícita del mercado (4,2 %)</c:v>
                </c:pt>
                <c:pt idx="6">
                  <c:v>Precio actual (3.315,00)</c:v>
                </c:pt>
              </c:strCache>
            </c:strRef>
          </c:cat>
          <c:val>
            <c:numRef>
              <c:f>Hoja1!$B$2:$B$8</c:f>
              <c:numCache>
                <c:formatCode>#,##0</c:formatCode>
                <c:ptCount val="7"/>
                <c:pt idx="0">
                  <c:v>1120</c:v>
                </c:pt>
                <c:pt idx="1">
                  <c:v>3327</c:v>
                </c:pt>
                <c:pt idx="2">
                  <c:v>2902.59</c:v>
                </c:pt>
                <c:pt idx="3">
                  <c:v>1165.31</c:v>
                </c:pt>
                <c:pt idx="4">
                  <c:v>427.23</c:v>
                </c:pt>
                <c:pt idx="5">
                  <c:v>1496.04</c:v>
                </c:pt>
                <c:pt idx="6">
                  <c:v>3298.43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(1.120,00 – 3.700,00)</c:v>
                </c:pt>
                <c:pt idx="1">
                  <c:v>Precio objetivo de los analistas (3.327,00 – 5.200,00)</c:v>
                </c:pt>
                <c:pt idx="2">
                  <c:v>Comparables: PER NTM (2.902,59 – 6.179,22)</c:v>
                </c:pt>
                <c:pt idx="3">
                  <c:v>DCF (WACC y g ± 0,5) (1.165,31 – 1.440,64)</c:v>
                </c:pt>
                <c:pt idx="4">
                  <c:v>Escenarios (bajista – alcista) (427,23 – 1.693,22)</c:v>
                </c:pt>
                <c:pt idx="5">
                  <c:v>DCF con la prima implícita del mercado (4,2 %)</c:v>
                </c:pt>
                <c:pt idx="6">
                  <c:v>Precio actual (3.315,00)</c:v>
                </c:pt>
              </c:strCache>
            </c:strRef>
          </c:cat>
          <c:val>
            <c:numRef>
              <c:f>Hoja1!$C$2:$C$8</c:f>
              <c:numCache>
                <c:formatCode>#,##0</c:formatCode>
                <c:ptCount val="7"/>
                <c:pt idx="0">
                  <c:v>2580</c:v>
                </c:pt>
                <c:pt idx="1">
                  <c:v>1873</c:v>
                </c:pt>
                <c:pt idx="2">
                  <c:v>3276.63</c:v>
                </c:pt>
                <c:pt idx="3">
                  <c:v>275.33000000000015</c:v>
                </c:pt>
                <c:pt idx="4">
                  <c:v>1265.99</c:v>
                </c:pt>
                <c:pt idx="5">
                  <c:v>267.34000000000015</c:v>
                </c:pt>
                <c:pt idx="6">
                  <c:v>33.15000000000009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(refrigeración líquida directa, Dell'Oro))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2029e</c:v>
                </c:pt>
              </c:strCache>
            </c:strRef>
          </c:cat>
          <c:val>
            <c:numRef>
              <c:f>Hoja1!$B$2:$B$4</c:f>
              <c:numCache>
                <c:formatCode>#,##0</c:formatCode>
                <c:ptCount val="3"/>
                <c:pt idx="0">
                  <c:v>1100</c:v>
                </c:pt>
                <c:pt idx="1">
                  <c:v>3000</c:v>
                </c:pt>
                <c:pt idx="2">
                  <c:v>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AVC</c:v>
                </c:pt>
                <c:pt idx="1">
                  <c:v>Auras Technology</c:v>
                </c:pt>
                <c:pt idx="2">
                  <c:v>Delta Electronics</c:v>
                </c:pt>
                <c:pt idx="3">
                  <c:v>Vertiv</c:v>
                </c:pt>
                <c:pt idx="4">
                  <c:v>Jentech Precision</c:v>
                </c:pt>
                <c:pt idx="5">
                  <c:v>Kaori Heat Treatment</c:v>
                </c:pt>
                <c:pt idx="6">
                  <c:v>Cooler Master</c:v>
                </c:pt>
                <c:pt idx="7">
                  <c:v>Boyd Thermal (Eaton)</c:v>
                </c:pt>
              </c:strCache>
            </c:strRef>
          </c:cat>
          <c:val>
            <c:numRef>
              <c:f>Hoja1!$B$2:$B$9</c:f>
              <c:numCache>
                <c:formatCode>0.0"%"</c:formatCode>
                <c:ptCount val="8"/>
                <c:pt idx="0">
                  <c:v>19.7</c:v>
                </c:pt>
                <c:pt idx="1">
                  <c:v>16</c:v>
                </c:pt>
                <c:pt idx="2">
                  <c:v>16.7</c:v>
                </c:pt>
                <c:pt idx="3">
                  <c:v>20.4</c:v>
                </c:pt>
                <c:pt idx="4">
                  <c:v>37.8</c:v>
                </c:pt>
                <c:pt idx="5">
                  <c:v>12.9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39666</c:v>
                </c:pt>
                <c:pt idx="1">
                  <c:v>47333</c:v>
                </c:pt>
                <c:pt idx="2">
                  <c:v>56017</c:v>
                </c:pt>
                <c:pt idx="3">
                  <c:v>59194</c:v>
                </c:pt>
                <c:pt idx="4">
                  <c:v>71761</c:v>
                </c:pt>
                <c:pt idx="5">
                  <c:v>139639</c:v>
                </c:pt>
                <c:pt idx="6">
                  <c:v>222305</c:v>
                </c:pt>
                <c:pt idx="7">
                  <c:v>306781</c:v>
                </c:pt>
                <c:pt idx="8">
                  <c:v>352798</c:v>
                </c:pt>
                <c:pt idx="9">
                  <c:v>381022</c:v>
                </c:pt>
                <c:pt idx="10">
                  <c:v>403884</c:v>
                </c:pt>
                <c:pt idx="11">
                  <c:v>424078</c:v>
                </c:pt>
                <c:pt idx="12">
                  <c:v>443161</c:v>
                </c:pt>
                <c:pt idx="13">
                  <c:v>460888</c:v>
                </c:pt>
                <c:pt idx="14">
                  <c:v>474714</c:v>
                </c:pt>
                <c:pt idx="15">
                  <c:v>486582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4516</c:v>
                </c:pt>
                <c:pt idx="1">
                  <c:v>6404</c:v>
                </c:pt>
                <c:pt idx="2">
                  <c:v>8022</c:v>
                </c:pt>
                <c:pt idx="3">
                  <c:v>9375</c:v>
                </c:pt>
                <c:pt idx="4">
                  <c:v>13285</c:v>
                </c:pt>
                <c:pt idx="5">
                  <c:v>30802</c:v>
                </c:pt>
                <c:pt idx="6">
                  <c:v>64024</c:v>
                </c:pt>
                <c:pt idx="7">
                  <c:v>88353</c:v>
                </c:pt>
                <c:pt idx="8">
                  <c:v>97020</c:v>
                </c:pt>
                <c:pt idx="9">
                  <c:v>97161</c:v>
                </c:pt>
                <c:pt idx="10">
                  <c:v>96932</c:v>
                </c:pt>
                <c:pt idx="11">
                  <c:v>97538</c:v>
                </c:pt>
                <c:pt idx="12">
                  <c:v>97496</c:v>
                </c:pt>
                <c:pt idx="13">
                  <c:v>99091</c:v>
                </c:pt>
                <c:pt idx="14">
                  <c:v>99690</c:v>
                </c:pt>
                <c:pt idx="15">
                  <c:v>102182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15.7</c:v>
                </c:pt>
                <c:pt idx="1">
                  <c:v>17.7</c:v>
                </c:pt>
                <c:pt idx="2">
                  <c:v>19.4</c:v>
                </c:pt>
                <c:pt idx="3">
                  <c:v>20.9</c:v>
                </c:pt>
                <c:pt idx="4">
                  <c:v>23.5</c:v>
                </c:pt>
                <c:pt idx="5">
                  <c:v>25.8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11.4</c:v>
                </c:pt>
                <c:pt idx="1">
                  <c:v>13.5</c:v>
                </c:pt>
                <c:pt idx="2">
                  <c:v>14.3</c:v>
                </c:pt>
                <c:pt idx="3">
                  <c:v>15.8</c:v>
                </c:pt>
                <c:pt idx="4">
                  <c:v>18.5</c:v>
                </c:pt>
                <c:pt idx="5">
                  <c:v>22.1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8.3</c:v>
                </c:pt>
                <c:pt idx="1">
                  <c:v>10.2</c:v>
                </c:pt>
                <c:pt idx="2">
                  <c:v>11.3</c:v>
                </c:pt>
                <c:pt idx="3">
                  <c:v>12.5</c:v>
                </c:pt>
                <c:pt idx="4">
                  <c:v>15.1</c:v>
                </c:pt>
                <c:pt idx="5">
                  <c:v>19.7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4.8</c:v>
                </c:pt>
                <c:pt idx="1">
                  <c:v>6.1</c:v>
                </c:pt>
                <c:pt idx="2">
                  <c:v>7.4</c:v>
                </c:pt>
                <c:pt idx="3">
                  <c:v>9</c:v>
                </c:pt>
                <c:pt idx="4">
                  <c:v>11.4</c:v>
                </c:pt>
                <c:pt idx="5">
                  <c:v>13.7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20.9</c:v>
                </c:pt>
                <c:pt idx="1">
                  <c:v>25</c:v>
                </c:pt>
                <c:pt idx="2">
                  <c:v>52.4</c:v>
                </c:pt>
                <c:pt idx="3">
                  <c:v>79.5</c:v>
                </c:pt>
                <c:pt idx="4">
                  <c:v>104.2</c:v>
                </c:pt>
                <c:pt idx="5">
                  <c:v>128.5</c:v>
                </c:pt>
                <c:pt idx="6">
                  <c:v>110.2</c:v>
                </c:pt>
                <c:pt idx="7">
                  <c:v>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c:v>
                </c:pt>
                <c:pt idx="1">
                  <c:v>48</c:v>
                </c:pt>
                <c:pt idx="2">
                  <c:v>31</c:v>
                </c:pt>
                <c:pt idx="3">
                  <c:v>40</c:v>
                </c:pt>
                <c:pt idx="4">
                  <c:v>40</c:v>
                </c:pt>
                <c:pt idx="5">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126</c:v>
                </c:pt>
                <c:pt idx="1">
                  <c:v>146</c:v>
                </c:pt>
                <c:pt idx="2">
                  <c:v>140</c:v>
                </c:pt>
                <c:pt idx="3">
                  <c:v>134</c:v>
                </c:pt>
                <c:pt idx="4">
                  <c:v>222</c:v>
                </c:pt>
                <c:pt idx="5">
                  <c:v>175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150</c:v>
                </c:pt>
                <c:pt idx="1">
                  <c:v>153</c:v>
                </c:pt>
                <c:pt idx="2">
                  <c:v>114</c:v>
                </c:pt>
                <c:pt idx="3">
                  <c:v>146</c:v>
                </c:pt>
                <c:pt idx="4">
                  <c:v>192</c:v>
                </c:pt>
                <c:pt idx="5">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2265</c:v>
                </c:pt>
                <c:pt idx="1">
                  <c:v>829</c:v>
                </c:pt>
                <c:pt idx="2">
                  <c:v>4052</c:v>
                </c:pt>
                <c:pt idx="3">
                  <c:v>6291</c:v>
                </c:pt>
                <c:pt idx="4">
                  <c:v>2131</c:v>
                </c:pt>
                <c:pt idx="5">
                  <c:v>26632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1916</c:v>
                </c:pt>
                <c:pt idx="1">
                  <c:v>2901</c:v>
                </c:pt>
                <c:pt idx="2">
                  <c:v>4162</c:v>
                </c:pt>
                <c:pt idx="3">
                  <c:v>5305</c:v>
                </c:pt>
                <c:pt idx="4">
                  <c:v>8172</c:v>
                </c:pt>
                <c:pt idx="5">
                  <c:v>19186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28.5</c:v>
                </c:pt>
                <c:pt idx="1">
                  <c:v>34.7</c:v>
                </c:pt>
                <c:pt idx="2">
                  <c:v>42.3</c:v>
                </c:pt>
                <c:pt idx="3">
                  <c:v>53.8</c:v>
                </c:pt>
                <c:pt idx="4">
                  <c:v>60.2</c:v>
                </c:pt>
                <c:pt idx="5">
                  <c:v>128.9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18.1</c:v>
                </c:pt>
                <c:pt idx="1">
                  <c:v>25.2</c:v>
                </c:pt>
                <c:pt idx="2">
                  <c:v>29.8</c:v>
                </c:pt>
                <c:pt idx="3">
                  <c:v>28.3</c:v>
                </c:pt>
                <c:pt idx="4">
                  <c:v>32.1</c:v>
                </c:pt>
                <c:pt idx="5">
                  <c:v>52.2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-0.7</c:v>
                </c:pt>
                <c:pt idx="1">
                  <c:v>-0.44</c:v>
                </c:pt>
                <c:pt idx="2">
                  <c:v>-0.93</c:v>
                </c:pt>
                <c:pt idx="3">
                  <c:v>-1.68</c:v>
                </c:pt>
                <c:pt idx="4">
                  <c:v>-1.26</c:v>
                </c:pt>
                <c:pt idx="5">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459</c:v>
                </c:pt>
                <c:pt idx="1">
                  <c:v>989</c:v>
                </c:pt>
                <c:pt idx="2">
                  <c:v>1519</c:v>
                </c:pt>
                <c:pt idx="3">
                  <c:v>1915</c:v>
                </c:pt>
                <c:pt idx="4">
                  <c:v>2683</c:v>
                </c:pt>
                <c:pt idx="5">
                  <c:v>3877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3</c:v>
                </c:pt>
                <c:pt idx="1">
                  <c:v>3</c:v>
                </c:pt>
                <c:pt idx="2">
                  <c:v>1</c:v>
                </c:pt>
                <c:pt idx="3">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Furukawa Electric</c:v>
                </c:pt>
                <c:pt idx="1">
                  <c:v>Consejo en conjunto (incluye Furukawa)</c:v>
                </c:pt>
                <c:pt idx="2">
                  <c:v>Inversores extranjeros (total)</c:v>
                </c:pt>
              </c:strCache>
            </c:strRef>
          </c:cat>
          <c:val>
            <c:numRef>
              <c:f>Hoja1!$B$2:$B$4</c:f>
              <c:numCache>
                <c:formatCode>0.0"%"</c:formatCode>
                <c:ptCount val="3"/>
                <c:pt idx="0">
                  <c:v>12.3</c:v>
                </c:pt>
                <c:pt idx="1">
                  <c:v>13.72</c:v>
                </c:pt>
                <c:pt idx="2">
                  <c:v>53.44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c:v>
                </c:pt>
                <c:pt idx="1">
                  <c:v>29.1</c:v>
                </c:pt>
                <c:pt idx="2">
                  <c:v>-22.1</c:v>
                </c:pt>
                <c:pt idx="3">
                  <c:v>65</c:v>
                </c:pt>
                <c:pt idx="4">
                  <c:v>58.7</c:v>
                </c:pt>
                <c:pt idx="5">
                  <c:v>33.4</c:v>
                </c:pt>
                <c:pt idx="6">
                  <c:v>27</c:v>
                </c:pt>
                <c:pt idx="7">
                  <c:v>203.9</c:v>
                </c:pt>
                <c:pt idx="8">
                  <c:v>85.1</c:v>
                </c:pt>
                <c:pt idx="9">
                  <c:v>142.4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c:v>
                </c:pt>
                <c:pt idx="1">
                  <c:v>15</c:v>
                </c:pt>
                <c:pt idx="2">
                  <c:v>-8.6</c:v>
                </c:pt>
                <c:pt idx="3">
                  <c:v>23.3</c:v>
                </c:pt>
                <c:pt idx="4">
                  <c:v>22.8</c:v>
                </c:pt>
                <c:pt idx="5">
                  <c:v>23.7</c:v>
                </c:pt>
                <c:pt idx="6">
                  <c:v>-22.4</c:v>
                </c:pt>
                <c:pt idx="7">
                  <c:v>26.8</c:v>
                </c:pt>
                <c:pt idx="8">
                  <c:v>28.5</c:v>
                </c:pt>
                <c:pt idx="9">
                  <c:v>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4.6</c:v>
                </c:pt>
                <c:pt idx="1">
                  <c:v>4.7</c:v>
                </c:pt>
                <c:pt idx="2">
                  <c:v>4.2</c:v>
                </c:pt>
                <c:pt idx="3">
                  <c:v>12.6</c:v>
                </c:pt>
                <c:pt idx="4">
                  <c:v>17.7</c:v>
                </c:pt>
                <c:pt idx="5">
                  <c:v>18.5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8.7</c:v>
                </c:pt>
                <c:pt idx="1">
                  <c:v>8.7</c:v>
                </c:pt>
                <c:pt idx="2">
                  <c:v>8.7</c:v>
                </c:pt>
                <c:pt idx="3">
                  <c:v>8.7</c:v>
                </c:pt>
                <c:pt idx="4">
                  <c:v>8.7</c:v>
                </c:pt>
                <c:pt idx="5">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Boyd Thermal (placas frías, CDU y refrigeración líquida)</c:v>
                </c:pt>
                <c:pt idx="1">
                  <c:v>PurgeRite (servicios de fluidos para refrigeración líquida)</c:v>
                </c:pt>
                <c:pt idx="2">
                  <c:v>Motivair (CDU y refrigeración líquida)</c:v>
                </c:pt>
                <c:pt idx="3">
                  <c:v>FläktGroup (climatización y refrigeración de centros de datos)</c:v>
                </c:pt>
              </c:strCache>
            </c:strRef>
          </c:cat>
          <c:val>
            <c:numRef>
              <c:f>Hoja1!$B$2:$B$5</c:f>
              <c:numCache>
                <c:formatCode>0.0"x"</c:formatCode>
                <c:ptCount val="4"/>
                <c:pt idx="0">
                  <c:v>22.5</c:v>
                </c:pt>
                <c:pt idx="1">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21935</c:v>
                </c:pt>
                <c:pt idx="1">
                  <c:v>34745</c:v>
                </c:pt>
                <c:pt idx="2">
                  <c:v>50288</c:v>
                </c:pt>
                <c:pt idx="3">
                  <c:v>52851</c:v>
                </c:pt>
                <c:pt idx="4">
                  <c:v>53333</c:v>
                </c:pt>
                <c:pt idx="5">
                  <c:v>54299</c:v>
                </c:pt>
                <c:pt idx="6">
                  <c:v>54345</c:v>
                </c:pt>
                <c:pt idx="7">
                  <c:v>55598</c:v>
                </c:pt>
                <c:pt idx="8">
                  <c:v>56521</c:v>
                </c:pt>
                <c:pt idx="9">
                  <c:v>58757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306414</c:v>
                </c:pt>
                <c:pt idx="1">
                  <c:v>293186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3.315,00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427.23</c:v>
                </c:pt>
                <c:pt idx="1">
                  <c:v>1287.41</c:v>
                </c:pt>
                <c:pt idx="2">
                  <c:v>1693.22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3.315,00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(1.120,00 – 3.700,00)</c:v>
                </c:pt>
                <c:pt idx="1">
                  <c:v>Precio objetivo de los analistas (3.327,00 – 5.200,00)</c:v>
                </c:pt>
                <c:pt idx="2">
                  <c:v>Comparables: PER NTM (2.902,59 – 6.179,22)</c:v>
                </c:pt>
                <c:pt idx="3">
                  <c:v>DCF (WACC y g ± 0,5) (1.165,31 – 1.440,64)</c:v>
                </c:pt>
                <c:pt idx="4">
                  <c:v>Escenarios (bajista – alcista) (427,23 – 1.693,22)</c:v>
                </c:pt>
                <c:pt idx="5">
                  <c:v>DCF con la prima implícita del mercado (4,2 %)</c:v>
                </c:pt>
                <c:pt idx="6">
                  <c:v>Precio actual (3.315,00)</c:v>
                </c:pt>
              </c:strCache>
            </c:strRef>
          </c:cat>
          <c:val>
            <c:numRef>
              <c:f>Hoja1!$B$2:$B$8</c:f>
              <c:numCache>
                <c:formatCode>#,##0</c:formatCode>
                <c:ptCount val="7"/>
                <c:pt idx="0">
                  <c:v>1120</c:v>
                </c:pt>
                <c:pt idx="1">
                  <c:v>3327</c:v>
                </c:pt>
                <c:pt idx="2">
                  <c:v>2902.59</c:v>
                </c:pt>
                <c:pt idx="3">
                  <c:v>1165.31</c:v>
                </c:pt>
                <c:pt idx="4">
                  <c:v>427.23</c:v>
                </c:pt>
                <c:pt idx="5">
                  <c:v>1496.04</c:v>
                </c:pt>
                <c:pt idx="6">
                  <c:v>3298.43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(1.120,00 – 3.700,00)</c:v>
                </c:pt>
                <c:pt idx="1">
                  <c:v>Precio objetivo de los analistas (3.327,00 – 5.200,00)</c:v>
                </c:pt>
                <c:pt idx="2">
                  <c:v>Comparables: PER NTM (2.902,59 – 6.179,22)</c:v>
                </c:pt>
                <c:pt idx="3">
                  <c:v>DCF (WACC y g ± 0,5) (1.165,31 – 1.440,64)</c:v>
                </c:pt>
                <c:pt idx="4">
                  <c:v>Escenarios (bajista – alcista) (427,23 – 1.693,22)</c:v>
                </c:pt>
                <c:pt idx="5">
                  <c:v>DCF con la prima implícita del mercado (4,2 %)</c:v>
                </c:pt>
                <c:pt idx="6">
                  <c:v>Precio actual (3.315,00)</c:v>
                </c:pt>
              </c:strCache>
            </c:strRef>
          </c:cat>
          <c:val>
            <c:numRef>
              <c:f>Hoja1!$C$2:$C$8</c:f>
              <c:numCache>
                <c:formatCode>#,##0</c:formatCode>
                <c:ptCount val="7"/>
                <c:pt idx="0">
                  <c:v>2580</c:v>
                </c:pt>
                <c:pt idx="1">
                  <c:v>1873</c:v>
                </c:pt>
                <c:pt idx="2">
                  <c:v>3276.63</c:v>
                </c:pt>
                <c:pt idx="3">
                  <c:v>275.33000000000015</c:v>
                </c:pt>
                <c:pt idx="4">
                  <c:v>1265.99</c:v>
                </c:pt>
                <c:pt idx="5">
                  <c:v>267.34000000000015</c:v>
                </c:pt>
                <c:pt idx="6">
                  <c:v>33.15000000000009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