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FedEx Freight Holding Company, Inc.</w:t>
      </w:r>
    </w:p>
    <w:p>
      <w:pPr>
        <w:spacing w:after="60"/>
        <w:rPr>
          <w:color w:val="52514E"/>
          <w:sz w:val="22"/>
          <w:szCs w:val="22"/>
        </w:rPr>
      </w:pPr>
      <w:r>
        <w:rPr>
          <w:color w:val="52514E"/>
          <w:sz w:val="22"/>
          <w:szCs w:val="22"/>
        </w:rPr>
        <w:t xml:space="preserve">FDXF · New York Stock Exchange · ISIN n.d.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16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110,50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122,26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+10,6 % (base +16,9 %)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78,27 USD · mercado 88,67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16.520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FedEx Freight Holding Company,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FDXF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Transporte por carretera (carga fraccionada, LTL)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Memphis, Tennessee (EE. UU.) · 1998 (primera compra de FedEx); cotiza desde 2026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fedexfreight.com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110,50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105,75 – 200,00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16.520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20.796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179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122,26 USD</w:t>
      </w:r>
      <w:r>
        <w:t xml:space="preserve"> frente a 110,50 · Rentabilidad a 12 meses </w:t>
      </w:r>
      <w:r>
        <w:rPr>
          <w:b/>
          <w:bCs/>
        </w:rPr>
        <w:t xml:space="preserve">+10,6 % (base +16,9 %)</w:t>
      </w:r>
      <w:r>
        <w:t xml:space="preserve"> · Valor intrínseco 78,27 USD · con la prima implícita del mercado: 88,67 (-19,8 %) · Alcista / bajista -14,9 % / -67,3 %</w:t>
      </w:r>
    </w:p>
    <w:p>
      <w:pPr>
        <w:spacing w:after="100"/>
      </w:pPr>
      <w:r>
        <w:rPr>
          <w:b/>
        </w:rPr>
        <w:t xml:space="preserve">La recomendación y por qué.</w:t>
      </w:r>
      <w:r>
        <w:t xml:space="preserve"> Mantener, con convicción media. El objetivo a 12 meses es de 122,26 USD (rentabilidad ponderada del 10,6 % y del 16,9 % en el caso base), frente a un precio de 110,50 USD (cierre del 15-oct-2026) y un objetivo medio de los analistas de 146,50 USD [19]. El valor intrínseco es de 78,27 USD (−29,2 %): el precio no tiene margen de seguridad. No llega a Comprar porque la ponderada no alcanza el 15 % y el valor real queda por debajo del precio; además, FedEx tiene que vender su 19,9 % antes de junio de 2028, lo que retrasa cualquier compra (regla 13). La convicción es media porque las dos reglas coinciden, pero sin historia de cotización la regla a 12 meses descansa en el PER de hoy y el coste de la estructura propia aún no está probado; subiría con un trimestre limpio y la venta de FedEx resuelta, y bajaría si el margen ajustado de jun-dic queda por debajo de la guía.</w:t>
      </w:r>
    </w:p>
    <w:p>
      <w:pPr>
        <w:spacing w:after="100"/>
      </w:pPr>
      <w:r>
        <w:rPr>
          <w:b/>
        </w:rPr>
        <w:t xml:space="preserve">El negocio.</w:t>
      </w:r>
      <w:r>
        <w:t xml:space="preserve"> Mayor transportista de carga fraccionada (LTL) de Norteamérica, con ≈17 % de un mercado de más de 50.000 M USD con unos diez operadores de escala [3]. Separada de FedEx el 1-jun-2026. Margen EBIT del 15,8 % en FY2025 con FedEx (Old Dominion, 24,8 %) [1, 10]. ROIC del 24,9 % frente a un WACC del 9,83 % en el cálculo del informe, pero ≈20 % con el balance de hoy y ≈15 % si se cuentan los arrendamientos de las terminales. La calidad sostiene el crecimiento que proyectamos (4,0 % anual, el del mercado; sostenibilidad «Sí»).</w:t>
      </w:r>
    </w:p>
    <w:p>
      <w:pPr>
        <w:spacing w:after="100"/>
      </w:pPr>
      <w:r>
        <w:rPr>
          <w:b/>
        </w:rPr>
        <w:t xml:space="preserve">Finanzas.</w:t>
      </w:r>
      <w:r>
        <w:t xml:space="preserve"> Ingresos de 8.795 M USD en FY2026 (−4,7 % anual desde FY2023, tres años de recesión del transporte), EBIT de 540 M tras 492 M de costes de la separación [1]. La escisión la dejó con 4.264 M de deuda (2,8 veces el EBITDA) y patrimonio negativo tras pagar 4.122 M a FedEx [1].</w:t>
      </w:r>
    </w:p>
    <w:p>
      <w:pPr>
        <w:spacing w:after="100"/>
      </w:pPr>
      <w:r>
        <w:rPr>
          <w:b/>
        </w:rPr>
        <w:t xml:space="preserve">Equipo y gobierno.</w:t>
      </w:r>
      <w:r>
        <w:t xml:space="preserve"> Consejero delegado que ya dirigió la empresa en 2018-2021 y director financiero externo; el presidente del consejo preside también FedEx. Sin compras de directivos y despido del responsable comercial en septiembre [14].</w:t>
      </w:r>
    </w:p>
    <w:p>
      <w:pPr>
        <w:spacing w:after="100"/>
      </w:pPr>
      <w:r>
        <w:rPr>
          <w:b/>
        </w:rPr>
        <w:t xml:space="preserve">Valoración.</w:t>
      </w:r>
      <w:r>
        <w:t xml:space="preserve"> El DCF da 73,27 USD y el DCF inverso pide un crecimiento del 9,5 % anual frente al 4,0 % de nuestro base. Cotiza a 24,7 veces nuestro BPA de FY2027e sin costes de la separación, por encima de la mediana de sus comparables (22,2x) y por debajo de los LTL puros (≈27x) [10]. Sin historia de PER, la regla a 12 meses mantiene el múltiplo de hoy (24,7x) sobre un BPA de FY2028e de 5,23 USD.</w:t>
      </w:r>
    </w:p>
    <w:p>
      <w:pPr>
        <w:spacing w:after="100"/>
      </w:pPr>
      <w:r>
        <w:rPr>
          <w:b/>
        </w:rPr>
        <w:t xml:space="preserve">Riesgos y catalizadores.</w:t>
      </w:r>
      <w:r>
        <w:t xml:space="preserve"> El mayor riesgo es que la recesión del transporte se alargue y que la estructura propia cueste más de lo previsto; con el múltiplo a 21x, −26 %. Resultados del trimestre jul-sep el 29-oct-2026 [25]. Riesgo de IA para el negocio: bajo.</w:t>
      </w:r>
    </w:p>
    <w:p>
      <w:pPr>
        <w:spacing w:after="100"/>
      </w:pPr>
      <w:r>
        <w:rPr>
          <w:b/>
        </w:rPr>
        <w:t xml:space="preserve">Qué cambiaría la decisión.</w:t>
      </w:r>
      <w:r>
        <w:t xml:space="preserve"> Comprar por debajo de 78,27 USD (valor intrínseco), con la venta de FedEx resuelta o descontada; vender por encima de 135,84 USD. Revisaríamos a la baja si el margen EBIT ajustado de jun-dic queda por debajo del 11,5 % o los envíos bajan de 85.000 al día.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122,26 USD</w:t>
      </w:r>
      <w:r>
        <w:t xml:space="preserve"> (rentabilidad +10,6 % (base +16,9 %)) · Valor intrínseco: 78,27 USD (-29,2 % sobre 110,50) · con la prima implícita del mercado: 88,67 (-19,8 %)</w:t>
      </w:r>
    </w:p>
    <w:p>
      <w:pPr>
        <w:spacing w:after="100"/>
      </w:pPr>
      <w:r>
        <w:t xml:space="preserve">FedEx Freight es el mayor transportista LTL de Norteamérica, un sector concentrado (unos diez operadores de escala) donde la red de terminales es casi imposible de replicar y los precios suben todos los años. Con FedEx ganaba un margen EBIT del 16-19 % [1]. Ahora, independiente, arranca en el fondo de una recesión del transporte de tres años, con 4.264 M de deuda y ≈600 M de costes propios que sustituyen a los asignados por FedEx [1, 6].</w:t>
      </w:r>
    </w:p>
    <w:p>
      <w:pPr>
        <w:spacing w:after="100"/>
      </w:pPr>
      <w:r>
        <w:t xml:space="preserve">La acción ha caído un 42 % desde junio y cotiza a 24,7 veces nuestro BPA de FY2027e: más barata que Old Dominion, Saia o XPO, pero no barata frente a lo que vale el negocio con crecimiento de mercado (DCF de 73,27 USD). El precio descuenta la recuperación del ciclo y un margen del 15 % que la dirección promete pero aún no ha demostrado como empresa independiente.</w:t>
      </w:r>
    </w:p>
    <w:p>
      <w:pPr>
        <w:spacing w:after="100"/>
      </w:pPr>
      <w:r>
        <w:t xml:space="preserve">Para invertir hay que creer que el ciclo gira en 2027 y que la capacidad libre (30 %) se llena con margen. Aun así, FedEx tiene que vender 29,75 M de acciones antes de junio de 2028: esa oferta pesa sobre el precio y aconseja esperar.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 × 3,88 = 81,48 · 24,7x × 5,23 = 129,18 · 24,7x × 6,04 = 149,19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 / 16,9 %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146,50 (nuestro base -11,8 %)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 / -67,3 %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frente a 9,8 % y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(FY2028e-FY2036e)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 frente a 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78,27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78,27 y 135,84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135,84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78,27 USD (valor intrínseco) con la venta de FedEx resuelta o descontada: pasaríamos a Comprar si la calidad se mantiene.</w:t>
      </w:r>
    </w:p>
    <w:p>
      <w:pPr>
        <w:pStyle w:val="ListParagraph"/>
        <w:numPr>
          <w:ilvl w:val="0"/>
          <w:numId w:val="2"/>
        </w:numPr>
        <w:spacing w:after="60"/>
      </w:pPr>
      <w:r>
        <w:t xml:space="preserve">Precio por encima de 135,84 USD: pasaríamos a Vender.</w:t>
      </w:r>
    </w:p>
    <w:p>
      <w:pPr>
        <w:pStyle w:val="ListParagraph"/>
        <w:numPr>
          <w:ilvl w:val="0"/>
          <w:numId w:val="2"/>
        </w:numPr>
        <w:spacing w:after="60"/>
      </w:pPr>
      <w:r>
        <w:t xml:space="preserve">Margen EBIT ajustado de jun-dic 2026 por debajo del 11,5 %: revisión a la baja.</w:t>
      </w:r>
    </w:p>
    <w:p>
      <w:pPr>
        <w:pStyle w:val="ListParagraph"/>
        <w:numPr>
          <w:ilvl w:val="0"/>
          <w:numId w:val="2"/>
        </w:numPr>
        <w:spacing w:after="60"/>
      </w:pPr>
      <w:r>
        <w:t xml:space="preserve">Anuncio de la colocación o el canje del 19,9 % de FedEx: se levanta el retraso de la regla 13.</w:t>
      </w:r>
    </w:p>
    <w:p>
      <w:pPr>
        <w:pStyle w:val="Heading2"/>
      </w:pPr>
      <w:r>
        <w:t xml:space="preserve">Dónde discrepamos del mercado</w:t>
      </w:r>
    </w:p>
    <w:p>
      <w:pPr>
        <w:keepNext/>
        <w:spacing w:after="100"/>
      </w:pPr>
      <w:r>
        <w:rPr>
          <w:b/>
          <w:bCs/>
        </w:rPr>
        <w:t xml:space="preserve">Lo que descuenta el precio.</w:t>
      </w:r>
    </w:p>
    <w:p>
      <w:pPr>
        <w:spacing w:after="100"/>
      </w:pPr>
      <w:r>
        <w:t xml:space="preserve">Recuperación del ciclo LTL en 2027 y margen EBIT ajustado del 15 %, con un múltiplo de sector de 22-27 veces el beneficio.</w:t>
      </w:r>
    </w:p>
    <w:p>
      <w:pPr>
        <w:keepNext/>
        <w:spacing w:after="100"/>
      </w:pPr>
      <w:r>
        <w:rPr>
          <w:b/>
          <w:bCs/>
        </w:rPr>
        <w:t xml:space="preserve">Lo que creemos nosotros.</w:t>
      </w:r>
    </w:p>
    <w:p>
      <w:pPr>
        <w:spacing w:after="100"/>
      </w:pPr>
      <w:r>
        <w:t xml:space="preserve">Recuperación más lenta, margen que tarda en llegar por los costes de ser independiente y cuota estable o a la baja frente a Old Dominion y Saia.</w:t>
      </w:r>
    </w:p>
    <w:p>
      <w:pPr>
        <w:keepNext/>
        <w:spacing w:after="100"/>
      </w:pPr>
      <w:r>
        <w:rPr>
          <w:b/>
          <w:bCs/>
        </w:rPr>
        <w:t xml:space="preserve">Por qué podemos tener razón.</w:t>
      </w:r>
    </w:p>
    <w:p>
      <w:pPr>
        <w:spacing w:after="100"/>
      </w:pPr>
      <w:r>
        <w:t xml:space="preserve">Los envíos de FedEx Freight caen más que los del sector (−5,9 % en el 4T FY26) y los costes propios superan los 600 M anualizados en los próximos 12 meses [5, 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1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Líder de un oligopolio</w:t>
      </w:r>
      <w:r>
        <w:t xml:space="preserve">: mayor red LTL de Norteamérica, ≈17 % del mercado y más de 26.000 muelles [3].</w:t>
      </w:r>
    </w:p>
    <w:p>
      <w:pPr>
        <w:pStyle w:val="ListParagraph"/>
        <w:numPr>
          <w:ilvl w:val="0"/>
          <w:numId w:val="2"/>
        </w:numPr>
        <w:spacing w:after="60"/>
      </w:pPr>
      <w:r>
        <w:rPr>
          <w:b/>
        </w:rPr>
        <w:t xml:space="preserve">Apalancamiento operativo</w:t>
      </w:r>
      <w:r>
        <w:t xml:space="preserve">: ≈30 % de capacidad libre y 10.000 envíos diarios más sin flota nueva [6].</w:t>
      </w:r>
    </w:p>
    <w:p>
      <w:pPr>
        <w:pStyle w:val="ListParagraph"/>
        <w:numPr>
          <w:ilvl w:val="0"/>
          <w:numId w:val="2"/>
        </w:numPr>
        <w:spacing w:after="60"/>
      </w:pPr>
      <w:r>
        <w:rPr>
          <w:b/>
        </w:rPr>
        <w:t xml:space="preserve">Caja</w:t>
      </w:r>
      <w:r>
        <w:t xml:space="preserve">: objetivo de más de 1.000 M de caja libre al año; dividendo y recompras desde 2027 [9].</w:t>
      </w:r>
    </w:p>
    <w:p>
      <w:pPr>
        <w:pStyle w:val="ListParagraph"/>
        <w:numPr>
          <w:ilvl w:val="0"/>
          <w:numId w:val="2"/>
        </w:numPr>
        <w:spacing w:after="60"/>
      </w:pPr>
      <w:r>
        <w:rPr>
          <w:b/>
        </w:rPr>
        <w:t xml:space="preserve">Precio ya castigado</w:t>
      </w:r>
      <w:r>
        <w:t xml:space="preserve">: −42 % desde junio y más barata que los LTL puros [10, 18].</w:t>
      </w:r>
    </w:p>
    <w:p>
      <w:pPr>
        <w:pStyle w:val="Heading2"/>
      </w:pPr>
      <w:r>
        <w:t xml:space="preserve">En contra</w:t>
      </w:r>
    </w:p>
    <w:p>
      <w:pPr>
        <w:pStyle w:val="ListParagraph"/>
        <w:numPr>
          <w:ilvl w:val="0"/>
          <w:numId w:val="2"/>
        </w:numPr>
        <w:spacing w:after="60"/>
      </w:pPr>
      <w:r>
        <w:rPr>
          <w:b/>
        </w:rPr>
        <w:t xml:space="preserve">Sin margen de seguridad</w:t>
      </w:r>
      <w:r>
        <w:t xml:space="preserve">: DCF de 73,27 USD frente a 110,50.</w:t>
      </w:r>
    </w:p>
    <w:p>
      <w:pPr>
        <w:pStyle w:val="ListParagraph"/>
        <w:numPr>
          <w:ilvl w:val="0"/>
          <w:numId w:val="2"/>
        </w:numPr>
        <w:spacing w:after="60"/>
      </w:pPr>
      <w:r>
        <w:rPr>
          <w:b/>
        </w:rPr>
        <w:t xml:space="preserve">Venta pendiente del 19,9 % de FedEx</w:t>
      </w:r>
      <w:r>
        <w:t xml:space="preserve"> antes de junio de 2028 [16].</w:t>
      </w:r>
    </w:p>
    <w:p>
      <w:pPr>
        <w:pStyle w:val="ListParagraph"/>
        <w:numPr>
          <w:ilvl w:val="0"/>
          <w:numId w:val="2"/>
        </w:numPr>
        <w:spacing w:after="60"/>
      </w:pPr>
      <w:r>
        <w:rPr>
          <w:b/>
        </w:rPr>
        <w:t xml:space="preserve">Costes de ser independiente</w:t>
      </w:r>
      <w:r>
        <w:t xml:space="preserve">: ≈600 M anualizados más 100 M de contratos de transición [6].</w:t>
      </w:r>
    </w:p>
    <w:p>
      <w:pPr>
        <w:pStyle w:val="ListParagraph"/>
        <w:numPr>
          <w:ilvl w:val="0"/>
          <w:numId w:val="2"/>
        </w:numPr>
        <w:spacing w:after="60"/>
      </w:pPr>
      <w:r>
        <w:rPr>
          <w:b/>
        </w:rPr>
        <w:t xml:space="preserve">Volumen débil</w:t>
      </w:r>
      <w:r>
        <w:t xml:space="preserve">: envíos −5,9 % en el 4T FY26 [5].</w:t>
      </w:r>
    </w:p>
    <w:p>
      <w:pPr>
        <w:pStyle w:val="ListParagraph"/>
        <w:numPr>
          <w:ilvl w:val="0"/>
          <w:numId w:val="2"/>
        </w:numPr>
        <w:spacing w:after="60"/>
      </w:pPr>
      <w:r>
        <w:rPr>
          <w:b/>
        </w:rPr>
        <w:t xml:space="preserve">Deuda</w:t>
      </w:r>
      <w:r>
        <w:t xml:space="preserve">: 2,8 veces el EBITDA y patrimonio negativo [1].</w:t>
      </w:r>
    </w:p>
    <w:p>
      <w:pPr>
        <w:pStyle w:val="Heading2"/>
      </w:pPr>
      <w:r>
        <w:t xml:space="preserve">Qué tiene que pasar para que la tesis funcione</w:t>
      </w:r>
    </w:p>
    <w:p>
      <w:pPr>
        <w:spacing w:after="100"/>
      </w:pPr>
      <w:r>
        <w:t xml:space="preserve">La tesis depende de que el margen ajustado suba del 12 % hacia el 15 % sin perder volumen. La señal de que no se cumple: margen EBIT ajustado de jun-dic 2026 por debajo del 11,5 % o envíos medios diarios por debajo de 85.000 dos trimestres seguidos.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Envíos medios diarios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86.700 (4T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85.000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 (4T FY26); guía jun-dic 11,5-12,0 %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real de ser independiente.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quintal sin combustible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 USD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 (may-26)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Convenio de 3,5x y grado de inversión.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13,5x / 11,4x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25,2x / 22,2x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(FY2023-FY2026)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 · 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FedEx Freight nace de las compras de FedEx en el transporte de carga fraccionada: Viking Freight (enero de 1998), American Freightways (febrero de 2001) y Watkins Motor Lines (mayo de 2006) [1]. En 2002 las dos primeras pasan a llamarse FedEx Freight East y West y en 2008 se fusionan en FedEx Freight; se integran en una sola red. Tras la quiebra de Yellow (2023), el sector se queda con unos diez operadores de escala [3]. El 8-abr-2026 celebra su primer día del inversor y el 1-jun-2026 FedEx reparte el 80,1 % de las acciones a sus accionistas (una por cada dos de FedEx) y se queda con el 19,9 %; empieza a cotizar en la Bolsa de Nueva York, entra en el S&amp;P 500 y en el Dow Jones Transportation [1,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FedEx compra Viking Freight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FedEx compra American Freightways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FedEx compra Watkins Motor Lines (FedEx National LTL)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FedEx Freight East y West en FedEx Freight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Quiebra de Yellow; el sector se reparte sus terminales y clientes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(8-abr), escisión y salida a bolsa (1-jun); entrada en el S&amp;P 500 [1, 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FedEx Freight es la mayor empresa de transporte de carga fraccionada (LTL: envíos de entre ≈70 kilos y unos pocos miles, que no llenan un camión) de Norteamérica: recoge envíos de muchos clientes, los consolida en más de 365 terminales con más de 26.000 muelles y los reparte por una red de líneas regulares [1, 3]. Tiene ≈40.000 empleados y casi 30.000 vehículos (≈17.000 tractoras) y cubre casi todos los códigos postales de EE. UU., Canadá y México [5]. Ofrece dos servicios en la misma red: Priority (rápido; 5.560 M USD de ingresos en FY2026) y Economy (más barato; 2.827 M), más Direct y FedEx Custom Critical (urgente; dentro de los 408 M de otros) [1]. El 97 % de los ingresos es de EE. UU. [1].</w:t>
      </w:r>
    </w:p>
    <w:p>
      <w:pPr>
        <w:pStyle w:val="Heading2"/>
      </w:pPr>
      <w:r>
        <w:t xml:space="preserve">Cómo gana dinero</w:t>
      </w:r>
    </w:p>
    <w:p>
      <w:pPr>
        <w:spacing w:after="100"/>
      </w:pPr>
      <w:r>
        <w:t xml:space="preserve">Cobra por envío según origen, destino, peso y clase de mercancía, con un recargo por combustible que repercute el gasoil con algo de retraso, y negocia tarifas anuales con los grandes clientes [1, 3]. El negocio es de costes fijos (red de terminales, flota, plantilla propia: los salarios son el 49 % de las ventas): con más volumen y más peso por envío el margen sube rápido; con menos, cae. El margen EBIT pasó del 18,8 % en FY2023 al 15,8 % en FY2025 con una caída de volumen de un dígito [1, 4]. La clave es la densidad (envíos por parada y por terminal) y el precio: en LTL el servicio (plazos, daños) permite subir precios todos los años, como demuestra Old Dominion [3, 10].</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FedEx Freight (LTL)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FedEx Freight (LTL)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≈108.000 clientes: el mayor pesa un 4 % de los ingresos, los cinco mayores un 9 % y los 25 mayores un 21 % [1]. La industria (fabricantes, distribuidores mayoristas) es el principal cliente; el comercio minorista, la entrega a domicilio de bultos voluminosos. Los ingresos con FedEx (partes vinculadas) son de 136-171 M al año [1]. El poder de precio es medio: ingreso por quintal sin combustible +0,8 % en 2025 con el volumen cayendo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Envíos medios diarios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90.833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88.391; 4T FY26: 86.700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y −5,9 %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años de caída por la recesión del transporte industrial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quintal sin combustible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33,79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34,07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casi plano; en el 4T FY26, ingreso por quintal con combustible +8,2 %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FY2025: 16,7 %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FY2026: 12,6 % (4T: 15,1 %)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sin costes de la separación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por envío (libras)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 FY25: 920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4T FY26: 948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peso sube el ingreso por envío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≈108.000; el mayor, 4 %; los 25 mayores, 21 %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muy diversificada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Capacidad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 de las instalaciones; 10.000 envíos/día sin flota nueva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Apalancamiento operativo si vuelve el volumen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transporte de carga fraccionada (LTL) en EE. UU.: más de 50.000 M USD de ingresos en 2025, con un crecimiento del 3,9 % anual en 2015-2025 según la empresa (fuentes JOC y SJ Consulting) [3]. No incluye el camión completo (TL), la paquetería ni la logística. FedEx Freight, con 8.778 M de ingresos en 2025 [4], tiene ≈17 % de ese mercado. Ficha corta del sector, de elaboración propia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&gt; 50.000 M USD en 2025 (EE. UU.; JOC y SJ Consulting citados por la empresa)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Recesión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Oligopolio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2025 real; 2026-2030 al 3,9 % anual, estimación propia con el crecimiento histórico que la empresa espera mantene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industrial de EE. UU. (ISM manufacturero)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años de caída de envíos (2023-2025); la dirección ve señales de estabilización [4,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Disciplina de precios tras la quiebra de Yellow</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diez operadores de escala; el sector sube tarifas pese al volumen débil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gasoil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recargo por combustible subió el ingreso por envío un 11,5 % en el 4T FY26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electrónico de bultos pesados y entrega a domicilio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entrega residencial y a minoristas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relocalización industrial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importación y más fábricas en EE. UU. y México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operadores de escala; Old Dominion y Saia ganan cuota con servicio; XPO mejora márgenes [3,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108.000 clientes, el mayor un 4 %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Conductores escasos (rotación del 10 % en FedEx Freight), gasoil, tractoras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red nacional de terminales cerca de las ciudades es casi imposible de replicar; los terminales de Yellow se subastaron a los ya existentes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Camión completo barato en recesión, paquetería pesada y plataformas digitales de carga [1].</w:t>
            </w:r>
          </w:p>
        </w:tc>
      </w:tr>
    </w:tbl>
    <w:p>
      <w:pPr>
        <w:spacing w:after="160" w:before="0"/>
      </w:pPr>
    </w:p>
    <w:p>
      <w:pPr>
        <w:pStyle w:val="Heading2"/>
      </w:pPr>
      <w:r>
        <w:t xml:space="preserve">Ciclo</w:t>
      </w:r>
    </w:p>
    <w:p>
      <w:pPr>
        <w:spacing w:after="100"/>
      </w:pPr>
      <w:r>
        <w:t xml:space="preserve">El transporte industrial de EE. UU. lleva tres años en recesión: los envíos de FedEx Freight cayeron un 2,7 % en 2025 y un 5,9 % en el 4T FY26 [4, 5]. En 2009 y en 2020 el volumen del sector cayó con fuerza y se recuperó en 12-18 meses; en 2021-2022 subieron precios y márgenes. La dirección cita la estabilización del ISM y de los precios del camión completo como señales tempranas [6]. Nuestra proyección supone una recuperación suave de volumen a partir de 2027.</w:t>
      </w:r>
    </w:p>
    <w:p>
      <w:pPr>
        <w:pStyle w:val="Heading2"/>
      </w:pPr>
      <w:r>
        <w:t xml:space="preserve">Regulación</w:t>
      </w:r>
    </w:p>
    <w:p>
      <w:pPr>
        <w:spacing w:after="100"/>
      </w:pPr>
      <w:r>
        <w:t xml:space="preserve">Regulación federal de seguridad (FMCSA: horas de conducción, controles de drogas, cámaras), normas de emisiones de la EPA para camiones de 2027 (encarecen las tractoras nuevas) y litigios por accidentes («veredictos nucleares») que encarecen el seguro [1].</w:t>
      </w:r>
    </w:p>
    <w:p>
      <w:pPr>
        <w:pStyle w:val="Heading2"/>
      </w:pPr>
      <w:r>
        <w:t xml:space="preserve">Tendencias y disrupción</w:t>
      </w:r>
    </w:p>
    <w:p>
      <w:pPr>
        <w:spacing w:after="100"/>
      </w:pPr>
      <w:r>
        <w:t xml:space="preserve">Tecnología de tarificación y enrutado con datos (y con IA), dimensionadores automáticos, seguimiento en tiempo real y, a largo plazo, camiones autónomos en las líneas troncales [1, 6]. El sector se concentra en los operadores con red densa y servicio: Old Dominion tiene un margen EBIT del 25 % frente al 9-16 % del resto [10].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operador LTL de Norteamérica por ingresos (8.778 M USD en 2025) y por muelles, con ≈17 % del mercado de EE. UU. [3,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Old Dominion Freight Line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ODFL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Referente de servicio y margen; ROIC del 25 % [10,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XPO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XPO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LTL de Norteamérica más transporte en Europa; plan de mejora de margen [10,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con terminales nuevas (compró terminales de Yellow) [10,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ArcBest (ABF Freight)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ARCB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LTL sindicalizado más logística [10,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TFI International (TForce Freight)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TFII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UPS Freight en 2021 [10,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Knight-Swift (AAA Cooper, MME)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Sobre todo camión completo; LTL regional en crecimiento [10, 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Densidad: más envíos por terminal y por ruta bajan el coste unitario; red con más muelles del sector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reparten carga entre varios operadores y cambian por servicio o precio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FedEx bajo licencia; reputación de servicio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26.000 muelles y la mayor red nacional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diez operadores de escala; terminales en zonas urbanas casi imposibles de replicar [2].</w:t>
            </w:r>
          </w:p>
        </w:tc>
      </w:tr>
    </w:tbl>
    <w:p>
      <w:pPr>
        <w:spacing w:after="160" w:before="0"/>
      </w:pPr>
    </w:p>
    <w:p>
      <w:pPr>
        <w:pStyle w:val="Heading2"/>
      </w:pPr>
      <w:r>
        <w:t xml:space="preserve">Amenazas</w:t>
      </w:r>
    </w:p>
    <w:p>
      <w:pPr>
        <w:spacing w:after="100"/>
      </w:pPr>
      <w:r>
        <w:t xml:space="preserve">Tres amenazas: (1) pérdida de cuota frente a Old Dominion y Saia, que crecen con mejor servicio mientras FedEx Freight pierde envíos (probabilidad media; −5,9 % de envíos en el 4T FY26) [5]; (2) una red que pierde densidad al separarse de FedEx (ventas cruzadas con FedEx Ground y Express, contratos de transición) (media) [1]; (3) camión completo barato que captura envíos grandes en la recesión (media) [6].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FY2023-FY2026: ingresos </w:t>
      </w:r>
      <w:r>
        <w:rPr>
          <w:b/>
          <w:bCs/>
        </w:rPr>
        <w:t xml:space="preserve">-4,5 %</w:t>
      </w:r>
      <w:r>
        <w:t xml:space="preserve">, EBITDA </w:t>
      </w:r>
      <w:r>
        <w:rPr>
          <w:b/>
          <w:bCs/>
        </w:rPr>
        <w:t xml:space="preserve">-12,9 %</w:t>
      </w:r>
      <w:r>
        <w:t xml:space="preserve">, BPA </w:t>
      </w:r>
      <w:r>
        <w:rPr>
          <w:b/>
          <w:bCs/>
        </w:rPr>
        <w:t xml:space="preserve">-25,5 %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FedEx Freight cotiza desde el 1-jun-2026; antes era un segmento de FedEx. Las cuentas son las combinadas «carve-out» auditadas de los ejercicios a mayo: FY2024-FY2026 del 10-K y FY2023 del folleto de la escisión [1, 3]. Son cuatro años, no cinco: el folleto solo da tres ejercicios auditados y el 10-K otros tres. Los ingresos caen de 10.084 M USD en FY2023 a 8.795 M en FY2026 (−4,7 % al año): tres años de recesión del transporte industrial de EE. UU., con envíos medios diarios de 90.833 en 2024 y 88.391 en 2025 (83.710 en el 4T25) e ingreso por quintal sin combustible casi plano (33,79 → 34,07 USD) [4]. El margen EBIT baja del 18,8 % (FY2023) al 15,8 % (FY2025) por volumen y salarios, y al 6,1 % en FY2026 por 492 M de costes de la separación (sistemas, marca, contratación de funciones propias) [1]; sin ellos, el 11,7 %. Los costes de la separación se tratan como no recurrentes y se devuelven al EBITDA. La cuenta lleva 573-628 M al año de costes asignados por FedEx (servicios compartidos, tecnología, ventas), que la empresa sustituye por unos 600 M de costes propios más 100 M anualizados de contratos de servicios transitorios con FedEx [1, 6]. Se presenta por naturaleza: salarios (4.276 M en FY2026, 49 % de las ventas), transporte comprado (807 M), combustible (486 M), alquileres, mantenimiento y otros [1].</w:t>
      </w:r>
    </w:p>
    <w:p>
      <w:pPr>
        <w:pStyle w:val="Heading2"/>
      </w:pPr>
      <w:r>
        <w:t xml:space="preserve">Ajustes y partidas no recurrentes</w:t>
      </w:r>
    </w:p>
    <w:p>
      <w:pPr>
        <w:spacing w:after="100"/>
      </w:pPr>
      <w:r>
        <w:t xml:space="preserve">Dos ajustes. (1) El resultado financiero de 2023-2026 (196-398 M) es casi todo interés cobrado a FedEx por la tesorería centralizada (330, 388 y 351 M en FY2024-FY2026) y no se repite: desde junio de 2026 la empresa paga intereses por 4.264 M de deuda (guía: ≈135 M en siete meses) [1, 5]. Por eso el beneficio neto y el BPA históricos (10,58-4,38 USD, calculados sobre las 149,5 M de acciones de la escisión) no son comparables con los futuros; nuestras proyecciones usan el interés de la deuda nueva. (2) La empresa publica un EBIT ajustado sin costes de la separación: 1.108 M en FY2026 para el segmento (margen 12,6 %), frente a 1.032 M en las cuentas combinadas [1, 5]; la diferencia es de perímetro (el segmento no lleva todos los costes asignados). Usamos las cuentas combinadas.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naturales de la cuenta reexpresada (8-K del 6-ago-2026); EBITDA sin costes de la separación (30 M en el 3T25 y 176 M en el 4T25); BPA contable con el interés de la tesorería de FedEx [4]. El último trimestre publicado es el 4T del ejercicio a mayo de 2026 (mar-may 2026), en la nota del 25-jun: ingresos de ≈2.400 M (+4,8 %), EBIT de 158 M y ajustado de 363 M (margen 15,1 %, −23,9 %), envíos medios diarios de 86.700 (−5,9 %) e ingreso por envío +11,5 % por el recargo de combustible y más peso por envío [5]. Guía del periodo de transición (jun-dic 2026): ingresos +4-6 % sobre 5.100 M, EBIT de 475-515 M (ajustado 605-645 M, margen 11,5-12,0 %), intereses de ≈135 M, tipo del 26 % y BPA de 1,75-1,95 USD (2,40-2,60 sin costes de la separación) [5]. La dirección habló de demanda «estabilizándose» (ISM y precios del camión completo) y de capacidad libre: 10.000 envíos diarios más sin flota nueva y ≈30 % de capacidad de instalaciones [6]. Lo que no se resuelve: cuánto cuesta de verdad ser independiente (≈600 M anualizados, «algo más» en los próximos 12 meses) y cuándo bajan [6]. El siguiente dato son los resultados del trimestre jul-sep, el 29-oct-2026.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(FY2026: el activo total crece un 37 % y los ingresos un -1 %).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Antes de la escisión la empresa no tenía deuda: la tesorería se centralizaba en FedEx, que cobraba las cuentas de clientes por un contrato de factoring (por eso las cuentas a cobrar eran de solo 132 M en FY2025) [1, 3]. En FY2026 emitió 4.264 M (préstamo de 600 M al 4,91 % y bonos de 1.000 M al 4,30 % a 2029, 1.000 M al 4,65 % a 2031, 700 M al 4,95 % a 2033 y 1.000 M al 5,25 % a 2036; tipo medio del 4,79 %), pagó a FedEx una distribución de 4.122 M, terminó el factoring el 30-nov-2025 y recompró ≈1.000 M de cuentas a cobrar [1]. Resultado: patrimonio neto contable negativo (−497 M) y deuda neta de 4.276 M con los arrendamientos financieros, 2,8 veces el EBITDA de FY2026 sin costes de la separación (1.544 M) [1]. El circulante pasa de casi cero a ≈12 % de las ventas.</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FY2023-FY2026: FCF </w:t>
      </w:r>
      <w:r>
        <w:rPr>
          <w:b/>
          <w:bCs/>
        </w:rPr>
        <w:t xml:space="preserve">3.068</w:t>
      </w:r>
      <w:r>
        <w:t xml:space="preserve">, conversión </w:t>
      </w:r>
      <w:r>
        <w:rPr>
          <w:b/>
          <w:bCs/>
        </w:rPr>
        <w:t xml:space="preserve">60 %</w:t>
      </w:r>
      <w:r>
        <w:t xml:space="preserve"> del beneficio neto; adquisiciones 0, dividendos 48, recompras 0.</w:t>
      </w:r>
    </w:p>
    <w:p>
      <w:pPr>
        <w:spacing w:after="100"/>
      </w:pPr>
      <w:r>
        <w:t xml:space="preserve">La caja operativa fue de 1.531-1.752 M USD al año en FY2023-FY2025 con un capex de 437-558 M (4,9-5,5 % de las ventas): caja libre de ≈1.000-1.200 M, que se transfería a FedEx (1.077-1.255 M al año) [1, 3]. FY2026 no es representativo: la caja operativa cae a 167 M por la recompra de ≈1.000 M de cuentas a cobrar al terminar el factoring y por los 492 M de costes de la separación [1]. La empresa no separa capex de mantenimiento y de crecimiento; estimación propia: el mantenimiento ronda la amortización (≈5,5 % de las ventas) en un negocio de camiones y terminales. Objetivo de la dirección: caja libre de más de 1.000 M al año a medio plazo y capex de ≈5 % de las ventas [9].</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Ernst &amp; Young audita a la empresa desde 2025 (también es el auditor de FedEx) [1]. La materia crítica de auditoría es la valoración de las reservas de autoseguro (accidentes de vehículos y laborales) asignadas por FedEx: 330 M asumidos por FedEx al cierre [1]. Las cuentas «carve-out» llevan costes asignados por la matriz (573-628 M al año) con criterios de reparto, no costes reales de una empresa independiente, y un interés cobrado a FedEx que no se repite: el beneficio histórico sobrestima el futuro [1]. FY2026 mezcla 492 M de costes de la separación y el fin del factoring. Lectura de los indicadores del informe: con cuatro años y una cuenta por naturaleza, el Beneish M es aproximado; el Altman y el Piotroski de FY2026 los distorsiona el patrimonio negativo creado por la distribución a FedEx, no un deterioro del negocio.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Cuentas «carve-out» con costes asignados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573-628 M al año de costes repartidos por FedEx; los costes reales de empresa independiente son ≈600 M más 100 M de servicios transitorios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Interés de la tesorería de FedEx en el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330-388 M al año de ingreso financiero que desaparece; el BPA histórico (9-10 USD) no es el normal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la separación elevados y prolongados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492 M en FY2026 y ≈150 M más de enero a mayo de 2027, según el director financiero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neto negativo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 crea la distribución de 4.122 M a FedEx, no las pérdidas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602 M en FY2026 (el 20 % del capital invertido medio); ha subido más de un 5 % en 0 de 2 años: sin compras. ROIC publicado 24,9 %; sin fondo de comercio, 31,0 %. Sin compras relevantes: el publicado ya es el ROIC del negocio.</w:t>
      </w:r>
    </w:p>
    <w:p>
      <w:pPr>
        <w:spacing w:after="100"/>
      </w:pPr>
      <w:r>
        <w:rPr>
          <w:b/>
          <w:bCs/>
        </w:rPr>
        <w:t xml:space="preserve">ROIC incremental</w:t>
      </w:r>
      <w:r>
        <w:t xml:space="preserve"> (variación del NOPAT sobre variación del capital invertido en el periodo): -55,6 % · </w:t>
      </w:r>
      <w:r>
        <w:rPr>
          <w:b/>
          <w:bCs/>
        </w:rPr>
        <w:t xml:space="preserve">WACC</w:t>
      </w:r>
      <w:r>
        <w:t xml:space="preserve">: 9,8 %.</w:t>
      </w:r>
    </w:p>
    <w:p>
      <w:pPr>
        <w:spacing w:after="100"/>
      </w:pPr>
      <w:r>
        <w:t xml:space="preserve">El ROIC del informe en FY2026 es del 24,9 % frente a un WACC del 9,83 % (diferencia de 15,07 puntos), pero hay que leerlo con cuidado. Los de FY2024 (64,5 %) y FY2025 (47,5 %) están inflados: antes de la escisión la empresa no tenía deuda y vendía sus cuentas a cobrar a FedEx, así que el capital invertido era artificialmente bajo; de ahí sale el ROIC − WACC de ≈48 del filtro del escáner, que exagera [1]. El de FY2026 usa el EBIT sin costes de la separación (1.032 M) y la media de un balance sin circulante (FY2025) y otro con él (FY2026). Con el capital de cierre de FY2026 (3.779 M, ya con las cuentas a cobrar y la deuda) el ROIC es del ≈20 % (≈10 puntos sobre el WACC); y si se suman los arrendamientos operativos de las terminales (1.838 M) al capital, baja al ≈14-15 %, cerca de 5 puntos sobre el WACC. Con el EBIT contable de FY2026 (540 M) quedaría por debajo del WACC. Conclusión: crea valor (margen EBIT normal del 13-16 % con poco capital), pero bastante menos de lo que sugieren los años de FedEx; Old Dominion tiene un ROIC del 25 % con caja neta y Saia del 9,5 % [10].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may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251 M USD a 31-may-2026 y una línea de crédito comprometida de 1.200 M a cinco años sin disponer [1, 8]. El convenio exige un apalancamiento total de 3,75 veces como máximo, que baja a 3,50 veces a partir del séptimo mes tras la escisión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según la empresa (objetivo de mantenerlo con un apalancamiento bruto de 2,5 veces en 12 meses) [9]; las calificaciones concretas no figuran en los documentos leídos.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Arrendamientos operativos de 1.838 M (172 corrientes y 1.666 a largo) por terminales y equipos, fuera de la deuda (US GAAP) [1]. FedEx asumió 330 M de reservas de autoseguro (accidentes, accidentes laborales) acumuladas hasta la escisión; desde junio la empresa genera las suyas [1]. Pensiones: FedEx le transfirió el plan de prestación definida de los empleados en activo con un pasivo neto «que se espera inmaterial» [1].</w:t>
      </w:r>
    </w:p>
    <w:p>
      <w:pPr>
        <w:pStyle w:val="Heading1"/>
      </w:pPr>
      <w:r>
        <w:t xml:space="preserve">12. Asignación de capital</w:t>
      </w:r>
    </w:p>
    <w:p>
      <w:pPr>
        <w:pStyle w:val="Confianza"/>
        <w:spacing w:after="100"/>
      </w:pPr>
      <w:r>
        <w:t xml:space="preserve">Confianza: Media</w:t>
      </w:r>
    </w:p>
    <w:p>
      <w:pPr>
        <w:spacing w:after="100"/>
      </w:pPr>
      <w:r>
        <w:t xml:space="preserve">La empresa prevé empezar a pagar dividendo a finales de 2026 o principios de 2027 y recompras a partir de 2027, con el objetivo de bajar el apalancamiento bruto a 2,5 veces en 12 meses y mantener el grado de inversión [6, 9]. Capex de ≈5 % de las ventas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Sin historia propia de asignación de capital: hasta mayo de 2026 FedEx se llevaba la caja libre (≈1.100 M al año de transferencias netas en FY2023-FY2025) [1, 3]. La última compra relevante fue Watkins Motor Lines en 2006 [1]. La primera decisión como empresa independiente fue endeudarse en 4.264 M para pagar a FedEx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A.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Dirigió FedEx Freight en 2018-2021 y volvió para la escisión; antes, cargos de dirección en FedEx [1]. Sin historial como consejero delegado de una cotizada.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Marshall Witt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Exdirector financiero de TD SYNNEX; en FedEx Freight desde octubre de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interno del bonus: EBIT ajustado de 1.492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ajustado de 1.108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Jun-dic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+4-6 %, EBIT ajustado 605-645 M, BPA 1,75-1,95 USD (2,40-2,60 ajustado)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(resultados del trimestre jul-sep el 29-oct)</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nuevo como empresa cotizada: el consejero delegado conoce el negocio (lo dirigió en 2018-2021) y el director financiero viene de fuera del transporte [1]. No hay historial de guías públicas; el único dato es el objetivo interno del bonus de FY2026 (EBIT ajustado de 1.492 M), que se quedó lejos (1.108 M) [1, 13]. En septiembre se despidió al responsable comercial por violar el código de conducta y su área pasó al resto del equipo [14].</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 Brad Martin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(también presidente de FedEx)</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A.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Sauerland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Frieson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auditor interno de FedEx)</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Salcido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Samantha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(empleada de FedEx)</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FedEx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Corporativo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Debe venderlas antes del 1-jun-2028 para que la escisión siga libre de impuestos; vota en proporción al resto [3, 16]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julio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13G de julio de 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36"/>
        <w:gridCol w:w="3381"/>
        <w:gridCol w:w="1521"/>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y directivos (formularios 3 y 4 desde el 27-may-2026)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Concesión</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3,44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9,32 M USD en FY2026: 0,93 M de fijo, 3,84 M de variable no en acciones y 3,44 M en acciones y opciones; el resto, pensión [1]. Para el periodo de transición, el bonus se mide con el EBIT ajustado (objetivo del 175 % del salario) y el incentivo a largo plazo TY26-CY28 (450 % del salario) es en un 75 % participaciones condicionadas a la caja libre ajustada y al BPA ajustado al 50 % y en un 25 % acciones restringidas [13]. Ligar el variable al BPA y la caja ajustados (sin costes de la separación) premia lo que la dirección controla, pero deja fuera el coste de la propia separación.</w:t>
      </w:r>
    </w:p>
    <w:p>
      <w:pPr>
        <w:pStyle w:val="Heading2"/>
      </w:pPr>
      <w:r>
        <w:t xml:space="preserve">Operaciones vinculadas, estructura de control y defensas</w:t>
      </w:r>
    </w:p>
    <w:p>
      <w:pPr>
        <w:spacing w:after="100"/>
      </w:pPr>
      <w:r>
        <w:t xml:space="preserve">Sin accionista de control: FedEx conserva el 19,9 % pero ha pactado votar en proporción al resto y debe venderlo en 24 meses [3, 16]. El presidente, R. Brad Martin, es también presidente de FedEx, y una consejera es empleada de FedEx: hay dos consejeros vinculados al vendedor de las acciones y a la contraparte de los contratos de transición [1]. Consejo escalonado hasta la quinta junta anual; la primera será el 5-may-2027 [1, 15]. Contratos relevantes con FedEx: servicios transitorios (≈100 M anualizados, hasta dos años), licencia de marca y acuerdos comerciales [1].</w:t>
      </w:r>
    </w:p>
    <w:p>
      <w:pPr>
        <w:pStyle w:val="Heading2"/>
      </w:pPr>
      <w:r>
        <w:t xml:space="preserve">Señales de alerta</w:t>
      </w:r>
    </w:p>
    <w:p>
      <w:pPr>
        <w:pStyle w:val="ListParagraph"/>
        <w:numPr>
          <w:ilvl w:val="0"/>
          <w:numId w:val="2"/>
        </w:numPr>
        <w:spacing w:after="60"/>
      </w:pPr>
      <w:r>
        <w:t xml:space="preserve">Presidente del consejo que preside también FedEx, accionista del 19,9 % y contraparte de los contratos de transición [1].</w:t>
      </w:r>
    </w:p>
    <w:p>
      <w:pPr>
        <w:pStyle w:val="ListParagraph"/>
        <w:numPr>
          <w:ilvl w:val="0"/>
          <w:numId w:val="2"/>
        </w:numPr>
        <w:spacing w:after="60"/>
      </w:pPr>
      <w:r>
        <w:t xml:space="preserve">Consejo escalonado durante los primeros años [1].</w:t>
      </w:r>
    </w:p>
    <w:p>
      <w:pPr>
        <w:pStyle w:val="ListParagraph"/>
        <w:numPr>
          <w:ilvl w:val="0"/>
          <w:numId w:val="2"/>
        </w:numPr>
        <w:spacing w:after="60"/>
      </w:pPr>
      <w:r>
        <w:t xml:space="preserve">Despido del responsable comercial por violar el código de conducta (2-sep-2026) [14].</w:t>
      </w:r>
    </w:p>
    <w:p>
      <w:pPr>
        <w:pStyle w:val="ListParagraph"/>
        <w:numPr>
          <w:ilvl w:val="0"/>
          <w:numId w:val="2"/>
        </w:numPr>
        <w:spacing w:after="60"/>
      </w:pPr>
      <w:r>
        <w:t xml:space="preserve">Ninguna compra de acciones en mercado de consejeros o directivos desde la salida a bolsa [17].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periodo de transición (1-jun a 31-dic-2026, dada el 25-jun-2026): ingresos +4-6 % sobre 5.100 M USD, EBIT de 475-515 M (ajustado 605-645 M), intereses de ≈135 M, tipo del 26 % y BPA de 1,75-1,95 USD (2,40-2,60 sin costes de la separación) sobre 149,5 M de acciones [5]. Objetivos de medio plazo del día del inversor (8-abr-2026): ingresos +4-6 % anual, EBIT ajustado +10-12 % anual, margen operativo ajustado del ≈12 % al 15 %, caja libre de más de 1.000 M al año, capex de ≈5 % de las ventas y apalancamiento bruto de 2,5 veces en 12 meses [9]. El ejercicio pasa a cerrar en diciembre: el próximo informe anual (10-KT) cubrirá junio-diciembre de 2026. Próximos resultados (trimestre jul-sep): 29-oct-2026, tras el cierre del mercado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jun-dic 2026 (punto medio, BPA ajustado 2,50 USD) + 5/12 del consenso de 2027 de MarketScreener; estimación propia [5, 11]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14 analistas: 7/12 de 2027 + 5/12 de 2028 (BPA ajustado) [11]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7/12 de 2028 + 5/12 de 2029 [11]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108,00 – 200,00</w:t>
            </w:r>
          </w:p>
        </w:tc>
      </w:tr>
    </w:tbl>
    <w:p>
      <w:pPr>
        <w:spacing w:after="160" w:before="0"/>
      </w:pPr>
    </w:p>
    <w:p>
      <w:pPr>
        <w:pStyle w:val="Heading2"/>
      </w:pPr>
      <w:r>
        <w:t xml:space="preserve">Revisiones de estimaciones</w:t>
      </w:r>
    </w:p>
    <w:p>
      <w:pPr>
        <w:spacing w:after="100"/>
      </w:pPr>
      <w:r>
        <w:t xml:space="preserve">Los objetivos bajan con fuerza en septiembre y octubre: Goldman Sachs 186 → 171 USD (Comprar, 21-sep), Bank of America 157 → 140 (Comprar, 29-sep; además la saca de su lista de favoritas), JPMorgan 160 → 149 (Comprar, 5-oct), Bernstein 133 (Mantener, 5-oct), BMO 163 → 130 y Truist 155 → 115 (Mantener, 7-oct), Stifel 160 → 129 (Mantener, 8-oct) y Raymond James 180 → 165 (Comprar, 15-oct) [19]. El objetivo medio es de 146,5 USD (mediana 140,5; mínimo 108, máximo 200) con consenso de Comprar [19]. El consenso de MarketScreener está en años naturales (2027: ventas 9.588 M, EBITDA 1.717 M, BPA 5,08 USD; 2028: 10.145 M, 1.993 M y 6,27 USD; 2029: 10.345 M, 2.118 M y 6,84 USD) y lo pasamos a ejercicios a mayo con pesos de 7/12 y 5/12; el EBITDA de consenso excluye los costes de la separación, que a partir de FY2028e son residuales, por lo que lo tratamos como contable [11].</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Cotiza desde el 1-jun-2026 (antes, en «when-issued» desde el 27-may): sin historia anual ni beta propia [18]. Abrió el 1-jun a 149,53 USD, subió a 188,46 el 9-jun y desde entonces ha caído un 42 % hasta 110,50 (cierre del 15-oct), con un mínimo de 105,75 el 14-oct [18]. Desde el 1-jun pierde un 26,1 % frente al −4,6 % del índice de transporte (IYT) y el +1,7 % del S&amp;P 500; desde el 1-sep, un 13,4 % mientras los comparables LTL suben un 0-3 % [10, 18].</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 / -27,4 % / n.d.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-41,4 % / +1,7 %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retrasa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FedEx debe vender 29,75 M de acciones (19,9 %, ≈18 sesiones de volumen medio) antes del 1-jun-2028: hasta que anuncie la colocación o el canje, o hasta un precio que la descuente, no se abre una compra aunque la regla la diera.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9-jun a 10-jul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todo el sector LTL tras el arranque de la cotización (Saia −29 %, TFI −27 % desde el 1-jun) por el volumen débil y la presión de los vendedores naturales de la escisión (fondos de FedEx que no quieren un transportista pequeño) [10,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propia frente a un sector plano: recortes de objetivo de ocho bancos, Bank of America la saca de su lista de favoritas, despido del responsable comercial y gasoil caro; los artículos hablan de una acción «valorada para un trimestre limpio que aún no ha tenido» [14, 19,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FedEx reparte el 80,1 % y conserva el 19,9 % (29,75 M de acciones, ≈3.300 M USD al precio de hoy), que debe vender antes del 1-jun-2028 para no perder la exención fiscal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que FedEx coloque o canjee su 19,9 % (o anuncie cómo y cuándo), o hasta que el precio baje lo bastante para descontar esa venta.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4T FY26: ingresos +4,8 %, EBIT ajustado −23,9 %, envíos −5,9 %; guía de jun-dic 2026 con EBIT ajustado plano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Despido del vicepresidente ejecutivo comercial por violar el código de conducta; sin efecto en las cuentas según la empresa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Ocho recortes de objetivo en septiembre-octubre (Truist 115, Stifel 129, BMO 130, BofA 140); el objetivo medio sigue en 146,5 USD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Primeros resultados trimestrales como empresa independiente (jul-sep 2026) y actualización del coste de los contratos de transición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acción está en mínimos (−41 % desde el máximo de junio) con un movimiento en dos tramos: junio-julio, con todo el sector LTL; septiembre-octubre, propio, con recortes de objetivo y dudas sobre los costes de ser independiente. Hay un hecho pendiente con fecha que puede mover el precio: FedEx tiene que vender su 19,9 % antes de junio de 2028 por motivos fiscales, y esa oferta (≈3.300 M USD, unas 18 sesiones de volumen) pesa sobre la cotización, como en el precedente de Rai Way con la participación de la RAI. Los resultados del 29-oct no retrasan la decisión (regla 11). Veredicto: retrasa, hasta que FedEx anuncie cómo y cuándo vende o el precio lo descuente.</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Sin historia: la acción cotiza desde el 1-jun-2026. Hoy cotiza a ≈24,5 veces nuestro BPA ajustado del ejercicio a mayo de 2027 (4,50 USD) y a ≈13,5 veces el EBITDA de FY2026 sin costes de la separación [18]. La referencia son los comparables: Old Dominion ≈29x, Saia ≈25x y XPO ≈32x el beneficio de los próximos 12 meses; ArcBest y TFI, ≈16,5x [10].</w:t>
      </w:r>
    </w:p>
    <w:p>
      <w:pPr>
        <w:pStyle w:val="Heading1"/>
      </w:pPr>
      <w:r>
        <w:t xml:space="preserve">18. Comparables cotizados</w:t>
      </w:r>
    </w:p>
    <w:p>
      <w:pPr>
        <w:pStyle w:val="Confianza"/>
        <w:spacing w:after="100"/>
      </w:pPr>
      <w:r>
        <w:t xml:space="preserve">Confianza: Media</w:t>
      </w:r>
    </w:p>
    <w:p>
      <w:pPr>
        <w:spacing w:after="100"/>
      </w:pPr>
      <w:r>
        <w:t xml:space="preserve">Los cuatro grandes LTL cotizados de EE. UU. (Old Dominion, Saia, XPO, ArcBest), más TFI International (TForce Freight) y Knight-Swift (AAA Cooper y MME), que tienen LTL pero también camión completo. Cifras de Stock Analysis del 16-oct-2026 (capitalización, EV, EV/EBITDA, ROIC y rentabilidad de la caja libre) y consenso de MarketScreener para el PER de los próximos 12 meses (BPA de 2026 × 0,21 + 2027 × 0,79) y el crecimiento de ventas de 2026 [10, 11]. La deuda neta sobre EBITDA es (EV − capitalización) ÷ EBITDA implícito; el EV/EBITDA de los próximos 12 meses usa el EBITDA de consenso de 2026 y 2027 con los mismos pesos. Margen EBITDA solo donde Stock Analysis lo publica.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FedEx Freight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Old Dominion Freight Line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XPO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ArcBest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TFI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Knight-Swift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 / 10,4x / 14,7x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 / 13,8x / 17,8x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 / 22,2x / 28,0x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139,55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1" name="Gráfico 21"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rPr>
        <w:t xml:space="preserve">Regresión EV/EBITDA NTM sobre crecimiento</w:t>
      </w:r>
      <w:r>
        <w:t xml:space="preserve"> (6 comparables): múltiplo = 21,2 + -0,89 × crecimiento; R² = 0,11. El crecimiento explica poco los múltiplos de estos comparables (R² &lt; 0,3): la regresión no se usa en la valoración.</w:t>
      </w:r>
    </w:p>
    <w:p>
      <w:pPr>
        <w:spacing w:after="100"/>
      </w:pPr>
      <w:r>
        <w:t xml:space="preserve">La mediana del PER de los próximos 12 meses es de 22,2x; solo los LTL puros, ≈27x (Old Dominion 29x, Saia 25x, XPO 32x) [10, 11]. FedEx Freight cotiza a ≈24,5x nuestro BPA de 2027e, entre ArcBest y TFI (16,5x) y los LTL puros: el mercado le da prima sobre los más débiles y descuento sobre los mejores. Old Dominion merece su prima (margen EBIT del 25 %, caja neta); FedEx Freight tiene un margen intermedio (15,8 % en FY2025) y más deuda (2,8 veces el EBITDA frente a caja neta de Old Dominion y 0,3 veces de Saia).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Cooper Transportation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Knight-Swift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2021e de 140 M; ventas de 780 M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Midwest Motor Express (MME)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Knight-Swift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2021e de 27 M; ventas de 137 M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UPS Freight (TForce Freight)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TFI International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con pérdidas; ventas de ≈3.000 M [24].</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compras de LTL se pagaron a 6-10 veces el EBITDA en 2021, antes de la subida de múltiplos del sector y de la quiebra de Yellow [22, 23, 24]. FedEx Freight cotiza a ≈13,5 veces su EBITDA sin costes de la separación. No es objetivo realista de una compra (17.000 M USD de capitalización).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es fijo: siete meses con guía (ingresos +4-6 % sobre 5.100 M) y ene-may 2027 con un +4 %, que dan un +4,5 % [5]. FY2028e crece un 5,5 % por recuperación de volumen (+2,5 %) desde el fondo del ciclo y precio (+3 %), en línea con el consenso (9.823 M, frente a nuestros 9.696 M) [11]. Después bajamos hasta el 3 %, el crecimiento del mercado LTL (3,9 % anual en 2015-2025) [3]. El crecimiento medio proyectado (4,0 %) parte de unos ingresos un 13 % por debajo del máximo de FY2023 (10.084 M): no recupera ese nivel hasta FY2031e.</w:t>
      </w:r>
    </w:p>
    <w:p>
      <w:pPr>
        <w:keepNext/>
        <w:spacing w:after="100"/>
      </w:pPr>
      <w:r>
        <w:rPr>
          <w:b/>
          <w:bCs/>
        </w:rPr>
        <w:t xml:space="preserve">Márgenes.</w:t>
      </w:r>
    </w:p>
    <w:p>
      <w:pPr>
        <w:spacing w:after="100"/>
      </w:pPr>
      <w:r>
        <w:t xml:space="preserve">Margen EBITDA contable del 14,8 % en FY2027e (con ≈280 M de costes de la separación y los contratos de transición) que sube al 18,5 % en FY2028e y al 20,5 % desde FY2031e. El objetivo de la empresa es un margen EBIT ajustado del 15 % a medio plazo (EBITDA ≈ 20,5 % con una amortización del 5,6 %) [9]; el consenso llega al 20,5 % en 2029 [11]. El histórico con FedEx fue del 23,2 % (FY2023) y del 23,4 % (FY2024), pero con más volumen y sin los costes de una empresa independiente [1]. No suponemos volver ahí.</w:t>
      </w:r>
    </w:p>
    <w:p>
      <w:pPr>
        <w:keepNext/>
        <w:spacing w:after="100"/>
      </w:pPr>
      <w:r>
        <w:rPr>
          <w:b/>
          <w:bCs/>
        </w:rPr>
        <w:t xml:space="preserve">Inversión y circulante.</w:t>
      </w:r>
    </w:p>
    <w:p>
      <w:pPr>
        <w:spacing w:after="100"/>
      </w:pPr>
      <w:r>
        <w:t xml:space="preserve">Capex del 5,5 % de las ventas (5,8 % al final), en línea con el ≈5 % que guía la empresa y el 4,3-5,5 % histórico; amortización del 5,6 % [1, 9]. Circulante del 12 % de las ventas, el nivel tras terminar el factoring (cuentas a cobrar de 1.154 M frente a proveedores de 106 M) [1]. Tipo impositivo del 26 % (guía) [5].</w:t>
      </w:r>
    </w:p>
    <w:p>
      <w:pPr>
        <w:keepNext/>
        <w:spacing w:after="100"/>
      </w:pPr>
      <w:r>
        <w:rPr>
          <w:b/>
          <w:bCs/>
        </w:rPr>
        <w:t xml:space="preserve">Coste del capital.</w:t>
      </w:r>
    </w:p>
    <w:p>
      <w:pPr>
        <w:spacing w:after="100"/>
      </w:pPr>
      <w:r>
        <w:t xml:space="preserve">Tasa libre del 5,10 % (bono a 10 años de EE. UU. del 15-oct-2026) [21]; beta de 1,25 (beta desapalancada de ≈1,05 de los comparables LTL, reapalancada con una deuda sobre capitalización de 0,27; la acción no tiene beta propia) [10]; prima de mercado del 5,0 %; coste de la deuda del 5,8 % antes de impuestos (cupones del 4,30-5,25 % de bonos emitidos con la curva más baja) y peso de la deuda del 21,5 % a valor de mercado. WACC del 9,83 %. Con la prima implícita del mercado (4,20 %) baja al 9,05 % [20].</w:t>
      </w:r>
    </w:p>
    <w:p>
      <w:pPr>
        <w:keepNext/>
        <w:spacing w:after="100"/>
      </w:pPr>
      <w:r>
        <w:rPr>
          <w:b/>
          <w:bCs/>
        </w:rPr>
        <w:t xml:space="preserve">Valor terminal.</w:t>
      </w:r>
    </w:p>
    <w:p>
      <w:pPr>
        <w:spacing w:after="100"/>
      </w:pPr>
      <w:r>
        <w:t xml:space="preserve">Gordon con un crecimiento del 3,0 % en USD (≈1 % real + 2 % de inflación), en línea con el mercado LTL a largo plazo. El valor terminal pesa un 55 % del valor y equivale a 7,7 veces el EBITDA del último año, por debajo de los 11-22 veces a los que cotizan hoy los comparables: el DCF supone que el sector acaba cotizando como una industria madura.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 (reinvierte el 58 %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 (histórico: -55,6 %)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frente al 4,0 %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 parte: el crecimiento proyectado (4,0 %) supera con holgura el histórico de ingresos (-4,5 %)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FY2036e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 (hoy: 17,0 %)</w:t>
            </w:r>
          </w:p>
        </w:tc>
      </w:tr>
    </w:tbl>
    <w:p>
      <w:pPr>
        <w:spacing w:after="160" w:before="0"/>
      </w:pPr>
    </w:p>
    <w:p>
      <w:pPr>
        <w:spacing w:after="100"/>
      </w:pPr>
      <w:r>
        <w:t xml:space="preserve">La proyección apenas necesita inversión neta de la amortización (reinversión acumulada de 540 M, el 5 % del NOPAT, con un capex bruto medio del 5,6 % de las ventas). En un negocio de activos ligeros, el crecimiento medio del 4,0 % tiene que salir de subir precios y de ganar volumen sin capital nuevo, y la prueba es el poder de precios y la cuota (17,1 % del mercado en FY2036e, frente al 17,0 %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jun-dic: ingresos +4-6 % con envíos aún a la baja, más peso por envío y recargo por combustible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 volumen desde el fondo (capacidad libre del 30 %) y precio del 3 %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2 % con el ciclo normalizado; precio del 3 %.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1,5 %, en línea con la producción industrial.</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de mercado con cuota estable.</w:t>
            </w:r>
          </w:p>
        </w:tc>
      </w:tr>
    </w:tbl>
    <w:p>
      <w:pPr>
        <w:spacing w:after="160" w:before="0"/>
      </w:pPr>
    </w:p>
    <w:p>
      <w:pPr>
        <w:spacing w:after="100"/>
      </w:pPr>
      <w:r>
        <w:t xml:space="preserve">Sí, con salvedades. El crecimiento proyectado (4,0 % anual) es el del mercado LTL (3,9 % anual en 2015-2025) [3] y la cuota implícita en FY2036e (13.027 M sobre ≈76.000 M, 17,1 %) es la de hoy (≈17 %): no suponemos ganar cuota. El histórico negativo (−4,5 % anual en FY2023-FY2026) es una recesión del transporte desde un máximo cíclico, no una pérdida estructural; aun así, FedEx Freight pierde envíos más deprisa que el sector, y por eso no proyectamos volver al margen de FY2023-FY2024. La reinversión que pide la proyección es la normal de un transportista (capex ≈ amortización y circulante del 12 % de las ventas), que el negocio ha financiado siempre con su caja; el rendimiento de esa reinversión es el ROIC normal, del ≈15-20 %. La salvedad: los costes de ser independiente aún no están probados.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(FY2028e-FY2036e)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 (base: 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25,7 % (base: 20,5 %)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(WACC: 9,8 %)</w:t>
            </w:r>
          </w:p>
        </w:tc>
      </w:tr>
    </w:tbl>
    <w:p>
      <w:pPr>
        <w:spacing w:after="160" w:before="0"/>
      </w:pPr>
    </w:p>
    <w:p>
      <w:pPr>
        <w:spacing w:after="100"/>
      </w:pPr>
      <w:r>
        <w:t xml:space="preserve">El DCF da 73,27 USD por acción, un 33,7 % por debajo del precio, con un WACC del 9,83 % y un valor terminal que pesa el 55 %. El DCF inverso dice qué descuenta el precio: un crecimiento anual del 9,5 % en FY2028e-FY2036e con nuestro margen, frente al 4,0 % de nuestro caso base y al 3,9 % que se espera del mercado; o una rentabilidad anual del 8,0 %, por debajo del 9,8 % que pedimos y del 9,1 % que pide hoy el mercado. Es exigente: el precio supone una recuperación fuerte y un margen como el de los años con FedEx, o un múltiplo de sector que cotiza caro (Old Dominion a 22 veces el EBITDA). Con la prima implícita del mercado el valor sube a 86,58 USD, aún un 22 % por debajo. El DCF no decide la recomendación (lo hace la regla a 12 meses), pero dice que no hay margen de seguridad.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recesión del transporte dura dos años más, FedEx Freight sigue perdiendo envíos frente a Old Dominion y Saia y la estructura propia cuesta más: 3 puntos menos de crecimiento y 2,5 puntos menos de margen EBITDA al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suave del volumen desde 2027, precio del 3 % y margen EBITDA que sube al 20,5 % cuando desaparecen los costes de la separación y los contratos de transición.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ciclo industrial gira en 2027 y la capacidad libre (30 %) se llena con mucho margen: 1,5 puntos más de crecimiento y de margen, cerca del margen de los años con FedEx.</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11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69,19 USD (-37,4 %).</w:t>
      </w:r>
    </w:p>
    <w:p>
      <w:pPr>
        <w:spacing w:after="100"/>
      </w:pPr>
      <w:r>
        <w:t xml:space="preserve">La asimetría del valor intrínseco es mala: incluso el alcista (94,08 USD) queda un 14,9 % por debajo del precio y el bajista (36,13 USD) un 67 %. La de 12 meses es más equilibrada: el bajista (21,0x × 3,88) da 81,48 USD (−26,3 %) y el alcista (24,7x × 6,04) 149,19 USD (+35,0 %). El precio de hoy solo se sostiene con el múltiplo de mercado del sector; nuestro DCF no lo da.</w:t>
      </w:r>
    </w:p>
    <w:p>
      <w:pPr>
        <w:pStyle w:val="Heading1"/>
      </w:pPr>
      <w:r>
        <w:t xml:space="preserve">22. Suma de partes</w:t>
      </w:r>
    </w:p>
    <w:p>
      <w:pPr>
        <w:pStyle w:val="Confianza"/>
        <w:spacing w:after="100"/>
      </w:pPr>
      <w:r>
        <w:t xml:space="preserve">Confianza: Media</w:t>
      </w:r>
    </w:p>
    <w:p>
      <w:pPr>
        <w:spacing w:after="100"/>
      </w:pPr>
      <w:r>
        <w:t xml:space="preserve">No aplica: un solo negocio (transporte de carga fraccionada en una red única; Custom Critical es pequeño y comparte red) y un solo segmento de información.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11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78,27 USD (-29,2 % sobre 110,50).</w:t>
      </w:r>
    </w:p>
    <w:p>
      <w:pPr>
        <w:spacing w:after="100"/>
      </w:pPr>
      <w:r>
        <w:t xml:space="preserve">Pesos: DCF 50 %, escenarios 30 % y comparables 20 %; transacciones 0 % (tres operaciones de 2021, pequeñas y de otro momento del ciclo). El DCF es el método más fiable para un negocio estable, aunque depende mucho de la tasa libre del 5,10 % y del margen a largo plazo. Los comparables (PER de 22,2x de mediana, EV/EBITDA de los últimos 12 meses) dan 98-114 USD (EV/EBITDA de los próximos y de los últimos 12 meses, valor central) y 111 USD (PER), cerca del precio: FedEx Freight cotiza en línea con su sector. La dispersión entre métodos (de 73 a 114 USD) es amplia: el sector entero cotiza por encima de lo que da un DCF con crecimiento de mercado. Como no hay historia de cotización, la regla a 12 meses descansa en el PER de hoy y en el de los comparables.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149,19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r>
    </w:tbl>
    <w:p>
      <w:pPr>
        <w:spacing w:after="160" w:before="0"/>
      </w:pPr>
    </w:p>
    <w:p>
      <w:pPr>
        <w:spacing w:after="100"/>
      </w:pPr>
      <w:r>
        <w:rPr>
          <w:b/>
          <w:bCs/>
        </w:rPr>
        <w:t xml:space="preserve">Objetivo a 12 meses (ponderado):</w:t>
      </w:r>
      <w:r>
        <w:t xml:space="preserve"> 122,26 USD · rentabilidad +10,6 % (base +16,9 %) · señal Mantener.</w:t>
      </w:r>
    </w:p>
    <w:p>
      <w:pPr>
        <w:keepNext/>
        <w:spacing w:after="100"/>
      </w:pPr>
      <w:r>
        <w:rPr>
          <w:b/>
          <w:bCs/>
        </w:rPr>
        <w:t xml:space="preserve">Frente al consenso (solo contraste).</w:t>
      </w:r>
    </w:p>
    <w:p>
      <w:pPr>
        <w:spacing w:after="100"/>
      </w:pPr>
      <w:r>
        <w:t xml:space="preserve">Nuestro BPA de FY2028e (5,23 USD) queda un 6,1 % por debajo del consenso pasado a ejercicios a mayo (5,57) [11], por el margen (EBITDA del 18,5 % frente al 18,7 %), unas ventas un 1,3 % más bajas y por no suponer recompras. El de FY2027e (4,48, sin costes de la separación) queda un 3 % por debajo de la guía más el consenso (4,62). Nuestro precio base (129,20 USD) queda un 11,8 % por debajo del objetivo medio de los analistas (146,50): ellos aplican un múltiplo de LTL puro (≈27x) a un BPA algo mayor. No hay razón para mover supuestos: la tendencia de los objetivos es a la baja (ocho recortes en un mes) [19].</w:t>
      </w:r>
    </w:p>
    <w:p>
      <w:pPr>
        <w:keepNext/>
        <w:spacing w:after="100"/>
      </w:pPr>
      <w:r>
        <w:rPr>
          <w:b/>
          <w:bCs/>
        </w:rPr>
        <w:t xml:space="preserve">Del valor intrínseco al objetivo a 12 meses.</w:t>
      </w:r>
    </w:p>
    <w:p>
      <w:pPr>
        <w:spacing w:after="100"/>
      </w:pPr>
      <w:r>
        <w:t xml:space="preserve">El objetivo a 12 meses (122,26 USD, ponderado) está un 56 % por encima del valor intrínseco (78,27 USD). La distancia es el múltiplo: el mercado paga a los LTL 22-32 veces el beneficio porque descuenta una recuperación del ciclo y un sector con precios disciplinados, y nuestro DCF con un WACC del 9,8 % y un crecimiento de mercado no lo da. Para cerrarla haría falta un crecimiento sostenido del 9,5 % anual (DCF inverso) o volver al margen de los años con FedEx. A 12 meses, la acción puede subir con el ciclo; el valor real está por debajo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trimestre jul-sep 2026 (primeros como empresa independiente)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precio y coste real de la estructura propia frente a la guía de jun-dic (EBIT ajustado de 605-645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del 1-jun-2028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o canje del 19,9 % de FedEx (29,75 M de acciones)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≈3.300 M USD que pesa sobre el precio hasta que se coloque; una vez fuera, desaparece el lastre.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 o principios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y anuncio de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confianza en la caja (consenso: 1,20 USD por acción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jun-dic 2026 (10-KT)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natural completo; el consenso espera un BPA de 5,08 USD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los contratos de servicios transitorios con FedEx</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M anualizados que desaparecen y costes duplicados que bajan desde la segunda mitad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del ciclo industrial (ISM &gt; 50)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≈30 % de capacidad libre, cada envío adicional deja mucho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Recesión del transporte que se alarga (cuarto o quinto año)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a 12 meses (bajista de la regla: 21,0x × 3,88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Recargo por combustible, precio disciplinado del sector y capacidad para recortar costes variables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medios diarios por debajo de 85.000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empresa independiente mayores o más largos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100 M anuales de costes recurrentes de más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para salir antes de los contratos de transición y productividad desde la segunda mitad de 2027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ajustado de jun-dic por debajo del 11,5 %.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del 19,9 % de FedEx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en torno a la colocación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hacerse por canje de deuda o de acciones de FedEx, sin salir al mercado de una vez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de una oferta secundaria o de un canje.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Old Dominion y Saia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el crecimiento queda 1 punto por debajo del mercado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red y doble servicio (Priority y Economy) en la misma red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cayendo más que los del sector en los datos trimestrales.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y convenio de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Limita recompras y dividendo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a tipo fijo del 4,79 % con vencimientos desde 2029; 1.200 M de línea sin disponer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3 veces el EBITDA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Gasoil, salarios y seguros (accidentes)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por cada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Recargo por combustible repercutido con retraso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 por quintal sin combustible por debajo de la inflación salarial.</w:t>
            </w:r>
          </w:p>
        </w:tc>
      </w:tr>
    </w:tbl>
    <w:p>
      <w:pPr>
        <w:spacing w:after="160" w:before="0"/>
      </w:pPr>
    </w:p>
    <w:p>
      <w:pPr>
        <w:pStyle w:val="Heading2"/>
      </w:pPr>
      <w:r>
        <w:t xml:space="preserve">Pre-mortem</w:t>
      </w:r>
    </w:p>
    <w:p>
      <w:pPr>
        <w:spacing w:after="100"/>
      </w:pPr>
      <w:r>
        <w:t xml:space="preserve">Octubre de 2029: la acción ha perdido un 40 %. La recesión del transporte industrial duró hasta 2028: los envíos siguieron cayendo un 2-3 % al año, Old Dominion y Saia se quedaron con los clientes que pedían servicio y FedEx Freight tuvo que bajar precios en Economy para llenar la red. A la vez, la estructura propia costó más de lo previsto: los contratos de transición se alargaron hasta 2028, los sistemas nuevos fallaron en la migración y el margen EBIT se quedó en el 10-11 % en lugar del 15 % prometido. FedEx colocó su 19,9 % en dos tramos con descuento, y el mercado, que pagaba 25 veces un beneficio que no llegó, la puso a 16 veces como ArcBest. La señal que lo habría anticipado: los envíos por debajo de 85.000 al día y el margen ajustado de jun-dic 2026 por debajo de la guía.</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±5 %</w:t>
      </w:r>
    </w:p>
    <w:p>
      <w:pPr>
        <w:spacing w:after="100"/>
      </w:pPr>
      <w:r>
        <w:t xml:space="preserve">El servicio es físico (recoger, consolidar y repartir mercancía) y la IA no lo sustituye. La ayuda: tarificación y enrutado con datos, previsión de demanda, dimensionado automático y productividad administrativa, que la empresa cita en su plan de tecnología [6]. El riesgo: que las plataformas digitales de carga hagan más transparente el precio y lo presionen en la parte de menor servicio (Economy), y, a largo plazo, los camiones autónomos en las líneas troncales, que bajarían costes a todo el sector, no solo a FedEx Freight. Riesgo de IA para el negocio: bajo. Señal: cuota de envíos contratados por plataformas y precio de Economy frente a Priority.</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seguridad vial y laboral (récord de accidentes evitables según el Departamento de Transporte en el 4T FY26) [5], las emisiones de la flota de gasoil y la gestión de los conductores (rotación del ≈10 %) [1]. La empresa es nueva y no ha publicado aún un informe de sostenibilidad propio.</w:t>
      </w:r>
    </w:p>
    <w:p>
      <w:pPr>
        <w:pStyle w:val="Heading2"/>
      </w:pPr>
      <w:r>
        <w:t xml:space="preserve">Controversias</w:t>
      </w:r>
    </w:p>
    <w:p>
      <w:pPr>
        <w:spacing w:after="100"/>
      </w:pPr>
      <w:r>
        <w:t xml:space="preserve">Despido del vicepresidente ejecutivo comercial por violar el código de conducta (2-sep-2026), sin efecto en las cuentas según la empresa [1]. Litigios por accidentes, habituales en el sector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cuesta la estructura propia en régimen (sin contratos de transición ni duplicidades) y cuándo se alcanza?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un margen EBIT del 12 % y del 15 %.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envíos se han perdido por la separación de FedEx (ventas cruzadas con Ground y Express) y cuántos se recuperan?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Envíos −5,9 % en el 4T FY26, peor que el sector.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FedEx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y cuándo venderá FedEx su 19,9 %: colocación, canje de deuda o canje de acciones?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principal oferta pendiente sobre el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subida de tarifa general y de contratos se está consiguiendo en 2026 sin combustible?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ingreso por quintal sin combustible apenas subió en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reparto entre dividendo, recompras y reducción de deuda se prevé con la caja libre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apalancamiento objetivo es 2,5 veces en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Seguros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cuesta al año el autoseguro propio que ahora asume la empresa?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FedEx asumió 330 M de reservas antiguas; las nuevas son coste propio.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($FDXF)</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Frustración por la caída continua («cotiza como si fuera a cerrar»), quejas por el gasoil caro y comentarios sobre las opiniones de Jim Cramer; pocos mensajes de fondo [27].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 a 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«37 veces el beneficio adelantado en el cuarto año de recesión» (15-jun) y «buena historia a precio completo» (13-jul) a «la capacidad libre hace atractiva una recuperación temprana» (17-jul) y «valorada para un trimestre limpio que aún no ha tenido» (25-sep); Jefferies la llamó «la historia más atractiva del LTL» (23-jun) y JPMorgan ve «recorrido» (8-sep) [26].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 Analysis (cambios de objetivo)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Ocho recortes de objetivo en un mes; cuatro bancos en Mantener [19].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ser independiente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≈600 M anualizados más 100 M de contratos de transición y 150 M más de costes de separación hasta mayo de 2027 (transcripción del 4T FY26).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del ciclo LTL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Aún sin pruebas en el volumen (envíos −5,9 % en el 4T FY26); la capacidad libre es real.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frente a Old Dominion y Saia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≈24,5x el BPA de 2027e, más barata que los LTL puros pero con peor margen y más deuda.</w:t>
            </w:r>
          </w:p>
        </w:tc>
      </w:tr>
    </w:tbl>
    <w:p>
      <w:pPr>
        <w:spacing w:after="160" w:before="0"/>
      </w:pPr>
    </w:p>
    <w:p>
      <w:pPr>
        <w:spacing w:after="100"/>
      </w:pPr>
      <w:r>
        <w:t xml:space="preserve">El inversor particular está desanimado tras una caída del 42 % en cuatro meses y los analistas recortan objetivos sin cambiar la recomendación. Es el ánimo típico de una escisión que los accionistas originales venden; no aporta un riesgo nuevo, pero sí indica que el precio puede seguir presionado hasta que haya un trimestre limpio y se aclare la venta del 19,9 % de FedEx.</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23 controles correctos y 3 explicados. Fuentes: 27 (16 primarias); citas distintas en el texto: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37 % y los ingresos un -1 %: si hubo una compra cerca del cierre, decláralo en financieros.cambios_perimetro y explícalo. Explicación: No hubo compras: el activo total crece porque terminó el factoring con FedEx y la empresa recompró ≈1.000 M de cuentas a cobrar, y por los derechos de uso de arrendamientos nuevos (1.824 M frente a 1.352 M); el pasivo, por los 4.264 M de deuda de la escisión.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«En parte» (el crecimiento proyectado (4,0 %) supera con holgura el histórico de ingresos (-4,5 %)): razónalo en la justificación. Explicación: El histórico de ingresos (−4,5 % anual en FY2023-FY2026) es el de una recesión del transporte desde un máximo cíclico; el mercado LTL creció un 3,9 % anual en 2015-2025. El 4,0 % proyectado es crecimiento de mercado con la cuota estable (17 %): ver la justificación de la sostenibilidad.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17,1 % en FY2036e frente al 17,0 %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12,0 % frente a 11,9 % real: genera una variación de circulante de 55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0,11: el crecimiento no explica los múltiplos de estos comparables; no uses el valor de la regresión. Explicación: En el LTL el múltiplo lo explica el margen y el servicio (Old Dominion) más que el crecimiento de 2026, que en todos es una salida de la recesión (8-13 %); no usamos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8,4x a 12,3x según qué comparable se quite (74,33 a 122,12 por acción): la muestra es frágil; explícalo y no le des mucho peso.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ArcBest (11,3x → 7,3x), TFI International (12,3x → 8,4x), Knight-Swift (12,5x → 8,3x): el salto implica un crecimiento del EBITDA que no cuadra con el de las ventas. ¿EBITDA de proveedores distintos, o un cambio de perímetro?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 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Propia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ISIN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folleto: solo dan el CUSIP en la portada de algunos anexos, no el ISIN; 2) Yahoo Finance: no lo publica; 3) búsqueda web: sin fuente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no las cita; 2) MSCI y Sustainalytics: de pago y sin ficha de la nueva sociedad; 3) web de la empresa: sin informe de sostenibilidad propio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 recomendaciones (comprar/mantener/vender)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da el consenso «Comprar» y los cambios recientes; 2) MarketScreener: «Outperform» medio sin desglose gratuito; 3) Yahoo Finance: sin datos de la nueva cotización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los ocho cambios de septiembre-octubre)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menos de cinco meses de historia, sin beta; 2) Stock Analysis: sin beta publicada; 3) Yahoo: posición corta no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(beta del WACC por comparables)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a 31-may-2026 (estados combinados auditados FY2024-FY2026; gastos por naturaleza; deuda; partes vinculadas; factoring; escisión; gobierno y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FedEx Freight Holding Company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https://www.sec.gov/Archives/edgar/data/2082247/000162828026053359/fdxf-20260531.htm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FY2024-FY2026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https://data.sec.gov/api/xbrl/companyfacts/CIK0002082247.json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Statement de la escisión (anexo 99.1 del Form 10): cuentas FY2023-FY2025, negocio, sector LTL, deuda, acuerdos con FedEx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FedEx Freight Holding Company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https://www.sec.gov/Archives/edgar/data/2082247/000110465926060223/tm2520565d14_ex99-1.htm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 reexpresada por años naturales 2024 y 2025 y por trimestres naturales, con datos operativos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FedEx Freight Holding Company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https://www.sec.gov/Archives/edgar/data/2082247/000162828026054314/fdxf-cy2025cy2024recast.htm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FedEx Freight Reports Fourth Quarter and Full Fiscal Year 2026 Financial Results; guía del periodo de transición jun-dic 2026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FedEx Freight Holding Company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https://www.sec.gov/Archives/edgar/data/2082247/000162828026045515/fdxf-q4fy2026juneearningsr.htm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FedEx Freight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https://d1io3yog0oux5.cloudfront.net/_3f3801753a78500dbf98de77199d3d74/fedexfreight/db/3594/34565/webcast_transcript/FedEx+Freight+Q4+FY2026+Earnings+Transcript.pdf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4T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FedEx Freight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https://d1io3yog0oux5.cloudfront.net/_3f3801753a78500dbf98de77199d3d74/fedexfreight/db/3594/34565/presentation/FedEx+Freight+Q4+FY2026+Earnings+Presentation.pdf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culminación de la escisión, acuerdos con FedEx y líneas de crédito (1-jun-2026)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FedEx Freight Holding Company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https://www.sec.gov/Archives/edgar/data/2082247/000110465926068521/tm2615735d2_8k.htm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FedEx Freight embarks on journey as standalone LTL carrier (día del inversor: ingresos +4-6 % anual, margen operativo ajustado del 12 % al 15 %, caja libre &gt; 1.000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FreightWaves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https://www.freightwaves.com/news/fedex-freight-embarks-on-journey-as-standalone-ltl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ODFL, SAIA, XPO, ARCB, TFII y KNX (capitalización, EV, EV/EBITDA, PER adelantado, ROIC, rentabilidad de la caja libre, beta)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https://stockanalysis.com/stocks/odfl/statistics/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FedEx Freight: consenso de ventas, EBITDA, EBIT, BPA, dividendo y deuda neta 2027-2029 (14 analistas) y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https://www.marketscreener.com/quote/stock/FEDEX-FREIGHT-HOLDING-CO/finances/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corta del transporte LTL de EE. UU. (notas/ficha-sector.md)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planes de incentivos TY26 y TY26-CY28 (punto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FedEx Freight Holding Company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https://www.sec.gov/Archives/edgar/data/2082247/000110465926078270/tm2619027d1_8k.htm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despido del vicepresidente ejecutivo comercial (Michael B. Lyons) por violar el código de conducta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FedEx Freight Holding Company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https://www.sec.gov/Archives/edgar/data/2082247/000110465926104793/tm2624680d1_8k.htm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fecha de la primera junta de accionistas (5-may-2027)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FedEx Freight Holding Company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https://www.sec.gov/Archives/edgar/data/2082247/000110465926113295/tm2626881d1_8k.htm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FedEx Corporation: 29.751.545 acciones (19,9 %)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https://www.sec.gov/Archives/edgar/data/2082247/000110465926092744/xslSCHEDULE_13G_X02/primary_doc.xml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Formularios 3 y 4 presentados desde el 27-may-2026 (concesiones; sin compras ni ventas en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https://www.sec.gov/cgi-bin/browse-edgar?action=getcompany&amp;CIK=0002082247&amp;type=4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FDXF, SPY e IYT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https://finance.yahoo.com/quote/FDXF/history/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FDXF stock forecast: objetivo medio 146,5 USD, mediana 140,5, mínimo 108, máximo 200; cambios de objetivo de septiembre-octubre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https://stockanalysis.com/stocks/fdxf/forecast/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5,10 %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Knight-Swift enters LTL arena with $1.35B acquisition of AAA Cooper (ventas 2021e 780 M, EBITDA 140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FreightWaves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https://www.freightwaves.com/news/knight-swift-enters-ltl-arena-with-1-35b-acquisition-of-aaa-cooper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Knight-Swift Expands Its LTL Footprint Through the Acquisition of Midwest Motor Express (8-K, anexo 99.1: 150 M USD; ventas 137 M y EBITDA ajustado 27 M en 2021e)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Knight-Swift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https://www.sec.gov/Archives/edgar/data/1492691/000149269121000090/knx-exhibit99112062021.htm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TFI International Completes Previously Announced UPS Freight Acquisition (800 M USD, sin caja ni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TFI International /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https://www.globenewswire.com/news-release/2021/04/30/2220839/0/en/TFI-International-Completes-Previously-Announced-UPS-Freight-Acquisition.html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FedEx Freight to Report Earnings on October 29, 2026 (nota del 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FedEx Freight (web de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https://investors.fedexfreight.com/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análisis y noticias de FDXF (titulares de junio-octubre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https://seekingalpha.com/symbol/FDXF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$FDXF (septiembre-octubre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https://stocktwits.com/symbol/FDXF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85,0 %</w:t>
      </w:r>
      <w:r>
        <w:t xml:space="preserve"> · Secciones con menos del 60 % de campos cubiertos: </w:t>
      </w:r>
      <w:r>
        <w:rPr>
          <w:b/>
          <w:bCs/>
        </w:rPr>
        <w:t xml:space="preserve">capital</w:t>
      </w:r>
      <w:r>
        <w:t xml:space="preserve"> · Generado el 16 oct 2026.</w:t>
      </w:r>
    </w:p>
    <w:p>
      <w:pPr>
        <w:pStyle w:val="Nota"/>
        <w:spacing w:after="100"/>
      </w:pPr>
      <w:r>
        <w:t xml:space="preserve">Línea cotizada: acciones ordinarias en la Bolsa de Nueva York (FDXF), en USD, la misma divisa de las cuentas. Precio: cierre del 15-oct-2026 (110,50 USD); la sesión del 16-oct no había abierto al hacer el informe. La empresa cotiza desde el 1-jun-2026 (escisión de FedEx): no hay historia de cotización anual, ni beta propia, ni historia de PER, y la regla a 12 meses usa la variante sin historia (base = PER actual). Cuentas combinadas «carve-out» auditadas de cuatro ejercicios a mayo (FY2023-FY2026), con costes asignados por FedEx y un ingreso financiero de la tesorería de FedEx que no se repite. El ejercicio pasa a cerrar en diciembre: el próximo informe anual cubrirá junio-diciembre de 2026 (10-KT); este informe proyecta en ejercicios a mayo (FY2027e = jun-26 a may-27) y pasa el consenso de años naturales a esos ejercicios con pesos de 7/12 y 5/12. Arrendamientos operativos (1.838 M) fuera de la deuda (US GAAP).</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FedEx Freight Holding Company, Inc. (FDXF)</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110,50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(105,75 – 200,00)</c:v>
                </c:pt>
                <c:pt idx="1">
                  <c:v>Precio objetivo de los analistas (108,00 – 200,00)</c:v>
                </c:pt>
                <c:pt idx="2">
                  <c:v>Comparables: EV/EBITDA NTM (73,41 – 151,53)</c:v>
                </c:pt>
                <c:pt idx="3">
                  <c:v>Comparables: PER NTM (85,65 – 139,55)</c:v>
                </c:pt>
                <c:pt idx="4">
                  <c:v>DCF (WACC y g ± 0,5) (62,89 – 87,09)</c:v>
                </c:pt>
                <c:pt idx="5">
                  <c:v>Escenarios (bajista – alcista) (36,13 – 94,08)</c:v>
                </c:pt>
                <c:pt idx="6">
                  <c:v>DCF con la prima implícita del mercado (4,2 %)</c:v>
                </c:pt>
                <c:pt idx="7">
                  <c:v>Precio actual (110,50)</c:v>
                </c:pt>
              </c:strCache>
            </c:strRef>
          </c:cat>
          <c:val>
            <c:numRef>
              <c:f>Hoja1!$B$2:$B$9</c:f>
              <c:numCache>
                <c:formatCode>#,##0</c:formatCode>
                <c:ptCount val="8"/>
                <c:pt idx="0">
                  <c:v>105.75</c:v>
                </c:pt>
                <c:pt idx="1">
                  <c:v>108</c:v>
                </c:pt>
                <c:pt idx="2">
                  <c:v>73.41</c:v>
                </c:pt>
                <c:pt idx="3">
                  <c:v>85.65</c:v>
                </c:pt>
                <c:pt idx="4">
                  <c:v>62.89</c:v>
                </c:pt>
                <c:pt idx="5">
                  <c:v>36.13</c:v>
                </c:pt>
                <c:pt idx="6">
                  <c:v>77.73</c:v>
                </c:pt>
                <c:pt idx="7">
                  <c:v>109.95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(105,75 – 200,00)</c:v>
                </c:pt>
                <c:pt idx="1">
                  <c:v>Precio objetivo de los analistas (108,00 – 200,00)</c:v>
                </c:pt>
                <c:pt idx="2">
                  <c:v>Comparables: EV/EBITDA NTM (73,41 – 151,53)</c:v>
                </c:pt>
                <c:pt idx="3">
                  <c:v>Comparables: PER NTM (85,65 – 139,55)</c:v>
                </c:pt>
                <c:pt idx="4">
                  <c:v>DCF (WACC y g ± 0,5) (62,89 – 87,09)</c:v>
                </c:pt>
                <c:pt idx="5">
                  <c:v>Escenarios (bajista – alcista) (36,13 – 94,08)</c:v>
                </c:pt>
                <c:pt idx="6">
                  <c:v>DCF con la prima implícita del mercado (4,2 %)</c:v>
                </c:pt>
                <c:pt idx="7">
                  <c:v>Precio actual (110,50)</c:v>
                </c:pt>
              </c:strCache>
            </c:strRef>
          </c:cat>
          <c:val>
            <c:numRef>
              <c:f>Hoja1!$C$2:$C$9</c:f>
              <c:numCache>
                <c:formatCode>#,##0</c:formatCode>
                <c:ptCount val="8"/>
                <c:pt idx="0">
                  <c:v>94.25</c:v>
                </c:pt>
                <c:pt idx="1">
                  <c:v>92</c:v>
                </c:pt>
                <c:pt idx="2">
                  <c:v>78.12</c:v>
                </c:pt>
                <c:pt idx="3">
                  <c:v>53.900000000000006</c:v>
                </c:pt>
                <c:pt idx="4">
                  <c:v>24.200000000000003</c:v>
                </c:pt>
                <c:pt idx="5">
                  <c:v>57.949999999999996</c:v>
                </c:pt>
                <c:pt idx="6">
                  <c:v>19.310000000000002</c:v>
                </c:pt>
                <c:pt idx="7">
                  <c:v>1.0999999999999943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FedEx Freight (LTL)</c:v>
                </c:pt>
              </c:strCache>
            </c:strRef>
          </c:tx>
          <c:spPr>
            <a:solidFill>
              <a:srgbClr val="2A78D6"/>
            </a:solidFill>
            <a:ln w="12700">
              <a:noFill/>
            </a:ln>
          </c:spPr>
          <c:invertIfNegative val="0"/>
          <c:cat>
            <c:strRef>
              <c:f>Hoja1!$A$2:$A$5</c:f>
              <c:strCache>
                <c:ptCount val="4"/>
                <c:pt idx="0">
                  <c:v>FY2023</c:v>
                </c:pt>
                <c:pt idx="1">
                  <c:v>FY2024</c:v>
                </c:pt>
                <c:pt idx="2">
                  <c:v>FY2025</c:v>
                </c:pt>
                <c:pt idx="3">
                  <c:v>FY2026</c:v>
                </c:pt>
              </c:strCache>
            </c:strRef>
          </c:cat>
          <c:val>
            <c:numRef>
              <c:f>Hoja1!$B$2:$B$5</c:f>
              <c:numCache>
                <c:formatCode>#,##0</c:formatCode>
                <c:ptCount val="4"/>
                <c:pt idx="0">
                  <c:v>10084</c:v>
                </c:pt>
                <c:pt idx="1">
                  <c:v>9424</c:v>
                </c:pt>
                <c:pt idx="2">
                  <c:v>8892</c:v>
                </c:pt>
                <c:pt idx="3">
                  <c:v>8795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FedEx Freight (LTL)</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Internacional (Canadá, México y otros)</c:v>
                </c:pt>
              </c:strCache>
            </c:strRef>
          </c:cat>
          <c:val>
            <c:numRef>
              <c:f>Hoja1!$B$2:$B$3</c:f>
              <c:numCache>
                <c:formatCode>0"%"</c:formatCode>
                <c:ptCount val="2"/>
                <c:pt idx="0">
                  <c:v>97.2</c:v>
                </c:pt>
                <c:pt idx="1">
                  <c:v>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(2025 real; 2026-2030 al 3,9 % anual, estimación propia con el crecimiento histórico que la empresa espera mantener))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50</c:v>
                </c:pt>
                <c:pt idx="1">
                  <c:v>52</c:v>
                </c:pt>
                <c:pt idx="2">
                  <c:v>54</c:v>
                </c:pt>
                <c:pt idx="3">
                  <c:v>56</c:v>
                </c:pt>
                <c:pt idx="4">
                  <c:v>58</c:v>
                </c:pt>
                <c:pt idx="5">
                  <c:v>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FedEx Freight</c:v>
                </c:pt>
                <c:pt idx="1">
                  <c:v>Old Dominion Freight Line</c:v>
                </c:pt>
                <c:pt idx="2">
                  <c:v>XPO</c:v>
                </c:pt>
                <c:pt idx="3">
                  <c:v>Saia</c:v>
                </c:pt>
                <c:pt idx="4">
                  <c:v>ArcBest (ABF Freight)</c:v>
                </c:pt>
                <c:pt idx="5">
                  <c:v>TFI International (TForce Freight)</c:v>
                </c:pt>
                <c:pt idx="6">
                  <c:v>Knight-Swift (AAA Cooper, MME)</c:v>
                </c:pt>
              </c:strCache>
            </c:strRef>
          </c:cat>
          <c:val>
            <c:numRef>
              <c:f>Hoja1!$B$2:$B$8</c:f>
              <c:numCache>
                <c:formatCode>0.0"%"</c:formatCode>
                <c:ptCount val="7"/>
                <c:pt idx="0">
                  <c:v>11.7</c:v>
                </c:pt>
                <c:pt idx="1">
                  <c:v>24.8</c:v>
                </c:pt>
                <c:pt idx="2">
                  <c:v>9.2</c:v>
                </c:pt>
                <c:pt idx="3">
                  <c:v>10.4</c:v>
                </c:pt>
                <c:pt idx="4">
                  <c:v>3.1</c:v>
                </c:pt>
                <c:pt idx="5">
                  <c:v>7.2</c:v>
                </c:pt>
                <c:pt idx="6">
                  <c:v>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1</c:v>
                </c:pt>
                <c:pt idx="2">
                  <c:v>2</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FY2023</c:v>
                </c:pt>
                <c:pt idx="1">
                  <c:v>FY2024</c:v>
                </c:pt>
                <c:pt idx="2">
                  <c:v>FY2025</c:v>
                </c:pt>
                <c:pt idx="3">
                  <c:v>FY2026</c:v>
                </c:pt>
                <c:pt idx="4">
                  <c:v>FY2027e</c:v>
                </c:pt>
                <c:pt idx="5">
                  <c:v>FY2028e</c:v>
                </c:pt>
                <c:pt idx="6">
                  <c:v>FY2029e</c:v>
                </c:pt>
                <c:pt idx="7">
                  <c:v>FY2030e</c:v>
                </c:pt>
                <c:pt idx="8">
                  <c:v>FY2031e</c:v>
                </c:pt>
                <c:pt idx="9">
                  <c:v>FY2032e</c:v>
                </c:pt>
                <c:pt idx="10">
                  <c:v>FY2033e</c:v>
                </c:pt>
                <c:pt idx="11">
                  <c:v>FY2034e</c:v>
                </c:pt>
                <c:pt idx="12">
                  <c:v>FY2035e</c:v>
                </c:pt>
                <c:pt idx="13">
                  <c:v>FY2036e</c:v>
                </c:pt>
              </c:strCache>
            </c:strRef>
          </c:cat>
          <c:val>
            <c:numRef>
              <c:f>Hoja1!$B$2:$B$15</c:f>
              <c:numCache>
                <c:formatCode>#,##0</c:formatCode>
                <c:ptCount val="14"/>
                <c:pt idx="0">
                  <c:v>10084</c:v>
                </c:pt>
                <c:pt idx="1">
                  <c:v>9424</c:v>
                </c:pt>
                <c:pt idx="2">
                  <c:v>8892</c:v>
                </c:pt>
                <c:pt idx="3">
                  <c:v>8795</c:v>
                </c:pt>
                <c:pt idx="4">
                  <c:v>9191</c:v>
                </c:pt>
                <c:pt idx="5">
                  <c:v>9696</c:v>
                </c:pt>
                <c:pt idx="6">
                  <c:v>10181</c:v>
                </c:pt>
                <c:pt idx="7">
                  <c:v>10639</c:v>
                </c:pt>
                <c:pt idx="8">
                  <c:v>11065</c:v>
                </c:pt>
                <c:pt idx="9">
                  <c:v>11485</c:v>
                </c:pt>
                <c:pt idx="10">
                  <c:v>11887</c:v>
                </c:pt>
                <c:pt idx="11">
                  <c:v>12280</c:v>
                </c:pt>
                <c:pt idx="12">
                  <c:v>12648</c:v>
                </c:pt>
                <c:pt idx="13">
                  <c:v>13027</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FY2023</c:v>
                </c:pt>
                <c:pt idx="1">
                  <c:v>FY2024</c:v>
                </c:pt>
                <c:pt idx="2">
                  <c:v>FY2025</c:v>
                </c:pt>
                <c:pt idx="3">
                  <c:v>FY2026</c:v>
                </c:pt>
                <c:pt idx="4">
                  <c:v>FY2027e</c:v>
                </c:pt>
                <c:pt idx="5">
                  <c:v>FY2028e</c:v>
                </c:pt>
                <c:pt idx="6">
                  <c:v>FY2029e</c:v>
                </c:pt>
                <c:pt idx="7">
                  <c:v>FY2030e</c:v>
                </c:pt>
                <c:pt idx="8">
                  <c:v>FY2031e</c:v>
                </c:pt>
                <c:pt idx="9">
                  <c:v>FY2032e</c:v>
                </c:pt>
                <c:pt idx="10">
                  <c:v>FY2033e</c:v>
                </c:pt>
                <c:pt idx="11">
                  <c:v>FY2034e</c:v>
                </c:pt>
                <c:pt idx="12">
                  <c:v>FY2035e</c:v>
                </c:pt>
                <c:pt idx="13">
                  <c:v>FY2036e</c:v>
                </c:pt>
              </c:strCache>
            </c:strRef>
          </c:cat>
          <c:val>
            <c:numRef>
              <c:f>Hoja1!$C$2:$C$15</c:f>
              <c:numCache>
                <c:formatCode>#,##0</c:formatCode>
                <c:ptCount val="14"/>
                <c:pt idx="0">
                  <c:v>2339</c:v>
                </c:pt>
                <c:pt idx="1">
                  <c:v>2208</c:v>
                </c:pt>
                <c:pt idx="2">
                  <c:v>1875</c:v>
                </c:pt>
                <c:pt idx="3">
                  <c:v>1544</c:v>
                </c:pt>
                <c:pt idx="4">
                  <c:v>1360</c:v>
                </c:pt>
                <c:pt idx="5">
                  <c:v>1794</c:v>
                </c:pt>
                <c:pt idx="6">
                  <c:v>1985</c:v>
                </c:pt>
                <c:pt idx="7">
                  <c:v>2128</c:v>
                </c:pt>
                <c:pt idx="8">
                  <c:v>2268</c:v>
                </c:pt>
                <c:pt idx="9">
                  <c:v>2354</c:v>
                </c:pt>
                <c:pt idx="10">
                  <c:v>2437</c:v>
                </c:pt>
                <c:pt idx="11">
                  <c:v>2517</c:v>
                </c:pt>
                <c:pt idx="12">
                  <c:v>2593</c:v>
                </c:pt>
                <c:pt idx="13">
                  <c:v>2671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FY2023</c:v>
                </c:pt>
                <c:pt idx="1">
                  <c:v>FY2024</c:v>
                </c:pt>
                <c:pt idx="2">
                  <c:v>FY2025</c:v>
                </c:pt>
                <c:pt idx="3">
                  <c:v>FY2026</c:v>
                </c:pt>
              </c:strCache>
            </c:strRef>
          </c:cat>
          <c:val>
            <c:numRef>
              <c:f>Hoja1!$B$2:$B$5</c:f>
              <c:numCache>
                <c:formatCode>0"%"</c:formatCode>
                <c:ptCount val="4"/>
                <c:pt idx="0">
                  <c:v>81.9</c:v>
                </c:pt>
                <c:pt idx="1">
                  <c:v>84.7</c:v>
                </c:pt>
                <c:pt idx="2">
                  <c:v>85.8</c:v>
                </c:pt>
                <c:pt idx="3">
                  <c:v>85.3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FY2023</c:v>
                </c:pt>
                <c:pt idx="1">
                  <c:v>FY2024</c:v>
                </c:pt>
                <c:pt idx="2">
                  <c:v>FY2025</c:v>
                </c:pt>
                <c:pt idx="3">
                  <c:v>FY2026</c:v>
                </c:pt>
              </c:strCache>
            </c:strRef>
          </c:cat>
          <c:val>
            <c:numRef>
              <c:f>Hoja1!$C$2:$C$5</c:f>
              <c:numCache>
                <c:formatCode>0"%"</c:formatCode>
                <c:ptCount val="4"/>
                <c:pt idx="0">
                  <c:v>23.2</c:v>
                </c:pt>
                <c:pt idx="1">
                  <c:v>23.4</c:v>
                </c:pt>
                <c:pt idx="2">
                  <c:v>21.1</c:v>
                </c:pt>
                <c:pt idx="3">
                  <c:v>17.6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FY2023</c:v>
                </c:pt>
                <c:pt idx="1">
                  <c:v>FY2024</c:v>
                </c:pt>
                <c:pt idx="2">
                  <c:v>FY2025</c:v>
                </c:pt>
                <c:pt idx="3">
                  <c:v>FY2026</c:v>
                </c:pt>
              </c:strCache>
            </c:strRef>
          </c:cat>
          <c:val>
            <c:numRef>
              <c:f>Hoja1!$D$2:$D$5</c:f>
              <c:numCache>
                <c:formatCode>0"%"</c:formatCode>
                <c:ptCount val="4"/>
                <c:pt idx="0">
                  <c:v>18.8</c:v>
                </c:pt>
                <c:pt idx="1">
                  <c:v>18.6</c:v>
                </c:pt>
                <c:pt idx="2">
                  <c:v>15.8</c:v>
                </c:pt>
                <c:pt idx="3">
                  <c:v>11.7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Hoja1!$A$2:$A$5</c:f>
              <c:strCache>
                <c:ptCount val="4"/>
                <c:pt idx="0">
                  <c:v>FY2023</c:v>
                </c:pt>
                <c:pt idx="1">
                  <c:v>FY2024</c:v>
                </c:pt>
                <c:pt idx="2">
                  <c:v>FY2025</c:v>
                </c:pt>
                <c:pt idx="3">
                  <c:v>FY2026</c:v>
                </c:pt>
              </c:strCache>
            </c:strRef>
          </c:cat>
          <c:val>
            <c:numRef>
              <c:f>Hoja1!$E$2:$E$5</c:f>
              <c:numCache>
                <c:formatCode>0"%"</c:formatCode>
                <c:ptCount val="4"/>
                <c:pt idx="0">
                  <c:v>15.7</c:v>
                </c:pt>
                <c:pt idx="1">
                  <c:v>16.7</c:v>
                </c:pt>
                <c:pt idx="2">
                  <c:v>15.1</c:v>
                </c:pt>
                <c:pt idx="3">
                  <c:v>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1T24</c:v>
                </c:pt>
                <c:pt idx="1">
                  <c:v>2T24</c:v>
                </c:pt>
                <c:pt idx="2">
                  <c:v>3T24</c:v>
                </c:pt>
                <c:pt idx="3">
                  <c:v>4T24</c:v>
                </c:pt>
                <c:pt idx="4">
                  <c:v>1T25</c:v>
                </c:pt>
                <c:pt idx="5">
                  <c:v>2T25</c:v>
                </c:pt>
                <c:pt idx="6">
                  <c:v>3T25</c:v>
                </c:pt>
                <c:pt idx="7">
                  <c:v>4T25</c:v>
                </c:pt>
              </c:strCache>
            </c:strRef>
          </c:cat>
          <c:val>
            <c:numRef>
              <c:f>Hoja1!$B$2:$B$9</c:f>
              <c:numCache>
                <c:formatCode>0.0"%"</c:formatCode>
                <c:ptCount val="8"/>
                <c:pt idx="4">
                  <c:v>-5.7</c:v>
                </c:pt>
                <c:pt idx="5">
                  <c:v>-2.8</c:v>
                </c:pt>
                <c:pt idx="6">
                  <c:v>-2.3</c:v>
                </c:pt>
                <c:pt idx="7">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Hoja1!$A$2:$A$4</c:f>
              <c:strCache>
                <c:ptCount val="3"/>
                <c:pt idx="0">
                  <c:v>FY2024</c:v>
                </c:pt>
                <c:pt idx="1">
                  <c:v>FY2025</c:v>
                </c:pt>
                <c:pt idx="2">
                  <c:v>FY2026</c:v>
                </c:pt>
              </c:strCache>
            </c:strRef>
          </c:cat>
          <c:val>
            <c:numRef>
              <c:f>Hoja1!$B$2:$B$4</c:f>
              <c:numCache>
                <c:formatCode>0</c:formatCode>
                <c:ptCount val="3"/>
                <c:pt idx="0">
                  <c:v>5</c:v>
                </c:pt>
                <c:pt idx="1">
                  <c:v>5</c:v>
                </c:pt>
                <c:pt idx="2">
                  <c:v>48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Hoja1!$A$2:$A$4</c:f>
              <c:strCache>
                <c:ptCount val="3"/>
                <c:pt idx="0">
                  <c:v>FY2024</c:v>
                </c:pt>
                <c:pt idx="1">
                  <c:v>FY2025</c:v>
                </c:pt>
                <c:pt idx="2">
                  <c:v>FY2026</c:v>
                </c:pt>
              </c:strCache>
            </c:strRef>
          </c:cat>
          <c:val>
            <c:numRef>
              <c:f>Hoja1!$C$2:$C$4</c:f>
              <c:numCache>
                <c:formatCode>0</c:formatCode>
                <c:ptCount val="3"/>
                <c:pt idx="0">
                  <c:v>1</c:v>
                </c:pt>
                <c:pt idx="1">
                  <c:v>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Hoja1!$A$2:$A$4</c:f>
              <c:strCache>
                <c:ptCount val="3"/>
                <c:pt idx="0">
                  <c:v>FY2024</c:v>
                </c:pt>
                <c:pt idx="1">
                  <c:v>FY2025</c:v>
                </c:pt>
                <c:pt idx="2">
                  <c:v>FY2026</c:v>
                </c:pt>
              </c:strCache>
            </c:strRef>
          </c:cat>
          <c:val>
            <c:numRef>
              <c:f>Hoja1!$D$2:$D$4</c:f>
              <c:numCache>
                <c:formatCode>0</c:formatCode>
                <c:ptCount val="3"/>
                <c:pt idx="0">
                  <c:v>7</c:v>
                </c:pt>
                <c:pt idx="1">
                  <c:v>8</c:v>
                </c:pt>
                <c:pt idx="2">
                  <c:v>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Hoja1!$A$2:$A$5</c:f>
              <c:strCache>
                <c:ptCount val="4"/>
                <c:pt idx="0">
                  <c:v>FY2023</c:v>
                </c:pt>
                <c:pt idx="1">
                  <c:v>FY2024</c:v>
                </c:pt>
                <c:pt idx="2">
                  <c:v>FY2025</c:v>
                </c:pt>
                <c:pt idx="3">
                  <c:v>FY2026</c:v>
                </c:pt>
              </c:strCache>
            </c:strRef>
          </c:cat>
          <c:val>
            <c:numRef>
              <c:f>Hoja1!$B$2:$B$5</c:f>
              <c:numCache>
                <c:formatCode>#,##0</c:formatCode>
                <c:ptCount val="4"/>
                <c:pt idx="0">
                  <c:v>1193</c:v>
                </c:pt>
                <c:pt idx="1">
                  <c:v>1079</c:v>
                </c:pt>
                <c:pt idx="2">
                  <c:v>1031</c:v>
                </c:pt>
                <c:pt idx="3">
                  <c:v>-235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Hoja1!$A$2:$A$5</c:f>
              <c:strCache>
                <c:ptCount val="4"/>
                <c:pt idx="0">
                  <c:v>FY2023</c:v>
                </c:pt>
                <c:pt idx="1">
                  <c:v>FY2024</c:v>
                </c:pt>
                <c:pt idx="2">
                  <c:v>FY2025</c:v>
                </c:pt>
                <c:pt idx="3">
                  <c:v>FY2026</c:v>
                </c:pt>
              </c:strCache>
            </c:strRef>
          </c:cat>
          <c:val>
            <c:numRef>
              <c:f>Hoja1!$C$2:$C$5</c:f>
              <c:numCache>
                <c:formatCode>#,##0</c:formatCode>
                <c:ptCount val="4"/>
                <c:pt idx="0">
                  <c:v>1581</c:v>
                </c:pt>
                <c:pt idx="1">
                  <c:v>1574</c:v>
                </c:pt>
                <c:pt idx="2">
                  <c:v>1346</c:v>
                </c:pt>
                <c:pt idx="3">
                  <c:v>655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FY2023</c:v>
                </c:pt>
                <c:pt idx="1">
                  <c:v>FY2024</c:v>
                </c:pt>
                <c:pt idx="2">
                  <c:v>FY2025</c:v>
                </c:pt>
                <c:pt idx="3">
                  <c:v>FY2026</c:v>
                </c:pt>
              </c:strCache>
            </c:strRef>
          </c:cat>
          <c:val>
            <c:numRef>
              <c:f>Hoja1!$B$2:$B$5</c:f>
              <c:numCache>
                <c:formatCode>0"%"</c:formatCode>
                <c:ptCount val="4"/>
                <c:pt idx="1">
                  <c:v>64.5</c:v>
                </c:pt>
                <c:pt idx="2">
                  <c:v>47.5</c:v>
                </c:pt>
                <c:pt idx="3">
                  <c:v>24.9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FY2023</c:v>
                </c:pt>
                <c:pt idx="1">
                  <c:v>FY2024</c:v>
                </c:pt>
                <c:pt idx="2">
                  <c:v>FY2025</c:v>
                </c:pt>
                <c:pt idx="3">
                  <c:v>FY2026</c:v>
                </c:pt>
              </c:strCache>
            </c:strRef>
          </c:cat>
          <c:val>
            <c:numRef>
              <c:f>Hoja1!$C$2:$C$5</c:f>
              <c:numCache>
                <c:formatCode>0"%"</c:formatCode>
                <c:ptCount val="4"/>
                <c:pt idx="0">
                  <c:v>9.8</c:v>
                </c:pt>
                <c:pt idx="1">
                  <c:v>9.8</c:v>
                </c:pt>
                <c:pt idx="2">
                  <c:v>9.8</c:v>
                </c:pt>
                <c:pt idx="3">
                  <c:v>9.8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FY2023</c:v>
                </c:pt>
                <c:pt idx="1">
                  <c:v>FY2024</c:v>
                </c:pt>
                <c:pt idx="2">
                  <c:v>FY2025</c:v>
                </c:pt>
                <c:pt idx="3">
                  <c:v>FY2026</c:v>
                </c:pt>
              </c:strCache>
            </c:strRef>
          </c:cat>
          <c:val>
            <c:numRef>
              <c:f>Hoja1!$D$2:$D$5</c:f>
              <c:numCache>
                <c:formatCode>0"%"</c:formatCode>
                <c:ptCount val="4"/>
                <c:pt idx="1">
                  <c:v>74.1</c:v>
                </c:pt>
                <c:pt idx="2">
                  <c:v>59.6</c:v>
                </c:pt>
                <c:pt idx="3">
                  <c:v>69.1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FY2024</c:v>
                </c:pt>
                <c:pt idx="1">
                  <c:v>FY2025</c:v>
                </c:pt>
                <c:pt idx="2">
                  <c:v>FY2026</c:v>
                </c:pt>
              </c:strCache>
            </c:strRef>
          </c:cat>
          <c:val>
            <c:numRef>
              <c:f>Hoja1!$B$2:$B$4</c:f>
              <c:numCache>
                <c:formatCode>0.0"x"</c:formatCode>
                <c:ptCount val="3"/>
                <c:pt idx="0">
                  <c:v>-0.03</c:v>
                </c:pt>
                <c:pt idx="1">
                  <c:v>-0.02</c:v>
                </c:pt>
                <c:pt idx="2">
                  <c:v>2.77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2027</c:v>
                </c:pt>
                <c:pt idx="1">
                  <c:v>2028</c:v>
                </c:pt>
                <c:pt idx="2">
                  <c:v>2029</c:v>
                </c:pt>
                <c:pt idx="3">
                  <c:v>2030</c:v>
                </c:pt>
                <c:pt idx="4">
                  <c:v>2031+</c:v>
                </c:pt>
              </c:strCache>
            </c:strRef>
          </c:cat>
          <c:val>
            <c:numRef>
              <c:f>Hoja1!$B$2:$B$6</c:f>
              <c:numCache>
                <c:formatCode>#,##0</c:formatCode>
                <c:ptCount val="5"/>
                <c:pt idx="0">
                  <c:v>43</c:v>
                </c:pt>
                <c:pt idx="1">
                  <c:v>0</c:v>
                </c:pt>
                <c:pt idx="2">
                  <c:v>1600</c:v>
                </c:pt>
                <c:pt idx="3">
                  <c:v>0</c:v>
                </c:pt>
                <c:pt idx="4">
                  <c:v>2700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Hoja1!$B$2:$B$5</c:f>
              <c:numCache>
                <c:formatCode>#,##0</c:formatCode>
                <c:ptCount val="4"/>
                <c:pt idx="0">
                  <c:v>0</c:v>
                </c:pt>
                <c:pt idx="1">
                  <c:v>0</c:v>
                </c:pt>
                <c:pt idx="2">
                  <c:v>0</c:v>
                </c:pt>
                <c:pt idx="3">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Hoja1!$C$2:$C$5</c:f>
              <c:numCache>
                <c:formatCode>#,##0</c:formatCode>
                <c:ptCount val="4"/>
                <c:pt idx="0">
                  <c:v>0</c:v>
                </c:pt>
                <c:pt idx="1">
                  <c:v>0</c:v>
                </c:pt>
                <c:pt idx="2">
                  <c:v>0</c:v>
                </c:pt>
                <c:pt idx="3">
                  <c:v>48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Hoja1!$A$2:$A$5</c:f>
              <c:strCache>
                <c:ptCount val="4"/>
                <c:pt idx="0">
                  <c:v>FY2023</c:v>
                </c:pt>
                <c:pt idx="1">
                  <c:v>FY2024</c:v>
                </c:pt>
                <c:pt idx="2">
                  <c:v>FY2025</c:v>
                </c:pt>
                <c:pt idx="3">
                  <c:v>FY2026</c:v>
                </c:pt>
              </c:strCache>
            </c:strRef>
          </c:cat>
          <c:val>
            <c:numRef>
              <c:f>Hoja1!$D$2:$D$5</c:f>
              <c:numCache>
                <c:formatCode>#,##0</c:formatCode>
                <c:ptCount val="4"/>
                <c:pt idx="0">
                  <c:v>0</c:v>
                </c:pt>
                <c:pt idx="1">
                  <c:v>0</c:v>
                </c:pt>
                <c:pt idx="2">
                  <c:v>0</c:v>
                </c:pt>
                <c:pt idx="3">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2</c:v>
                </c:pt>
                <c:pt idx="1">
                  <c:v>1</c:v>
                </c:pt>
                <c:pt idx="2">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FedEx Corporation</c:v>
                </c:pt>
                <c:pt idx="1">
                  <c:v>BlackRock</c:v>
                </c:pt>
                <c:pt idx="2">
                  <c:v>The Vanguard Group</c:v>
                </c:pt>
              </c:strCache>
            </c:strRef>
          </c:cat>
          <c:val>
            <c:numRef>
              <c:f>Hoja1!$B$2:$B$4</c:f>
              <c:numCache>
                <c:formatCode>0.0"%"</c:formatCode>
                <c:ptCount val="3"/>
                <c:pt idx="0">
                  <c:v>19.9</c:v>
                </c:pt>
                <c:pt idx="1">
                  <c:v>5.6</c:v>
                </c:pt>
                <c:pt idx="2">
                  <c:v>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FedEx Freight</c:v>
                </c:pt>
                <c:pt idx="1">
                  <c:v>Old Dominion Freight Line</c:v>
                </c:pt>
                <c:pt idx="2">
                  <c:v>Saia</c:v>
                </c:pt>
                <c:pt idx="3">
                  <c:v>XPO</c:v>
                </c:pt>
                <c:pt idx="4">
                  <c:v>ArcBest</c:v>
                </c:pt>
                <c:pt idx="5">
                  <c:v>TFI International</c:v>
                </c:pt>
                <c:pt idx="6">
                  <c:v>Knight-Swift</c:v>
                </c:pt>
              </c:strCache>
            </c:strRef>
          </c:cat>
          <c:val>
            <c:numRef>
              <c:f>Hoja1!$B$2:$B$8</c:f>
              <c:numCache>
                <c:formatCode>0.0"x"</c:formatCode>
                <c:ptCount val="7"/>
                <c:pt idx="0">
                  <c:v>11.4</c:v>
                </c:pt>
                <c:pt idx="1">
                  <c:v>17.9</c:v>
                </c:pt>
                <c:pt idx="2">
                  <c:v>12.3</c:v>
                </c:pt>
                <c:pt idx="3">
                  <c:v>15.5</c:v>
                </c:pt>
                <c:pt idx="4">
                  <c:v>7.3</c:v>
                </c:pt>
                <c:pt idx="5">
                  <c:v>8.4</c:v>
                </c:pt>
                <c:pt idx="6">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FedEx Freight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c:v>
                </c:pt>
              </c:numCache>
            </c:numRef>
          </c:xVal>
          <c:yVal>
            <c:numRef>
              <c:f>Hoja1!$C$2</c:f>
              <c:numCache>
                <c:formatCode>0.0"x"</c:formatCode>
                <c:ptCount val="1"/>
                <c:pt idx="0">
                  <c:v>11.4</c:v>
                </c:pt>
              </c:numCache>
            </c:numRef>
          </c:yVal>
          <c:smooth val="0"/>
        </c:ser>
        <c:ser>
          <c:idx val="1"/>
          <c:order val="1"/>
          <c:tx>
            <c:strRef>
              <c:f>Hoja1!$A$3</c:f>
              <c:strCache>
                <c:ptCount val="1"/>
                <c:pt idx="0">
                  <c:v>Old Dominion Freight Line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8.5</c:v>
                </c:pt>
              </c:numCache>
            </c:numRef>
          </c:xVal>
          <c:yVal>
            <c:numRef>
              <c:f>Hoja1!$C$3</c:f>
              <c:numCache>
                <c:formatCode>0.0"x"</c:formatCode>
                <c:ptCount val="1"/>
                <c:pt idx="0">
                  <c:v>17.9</c:v>
                </c:pt>
              </c:numCache>
            </c:numRef>
          </c:yVal>
          <c:smooth val="0"/>
        </c:ser>
        <c:ser>
          <c:idx val="2"/>
          <c:order val="2"/>
          <c:tx>
            <c:strRef>
              <c:f>Hoja1!$A$4</c:f>
              <c:strCache>
                <c:ptCount val="1"/>
                <c:pt idx="0">
                  <c:v>Saia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12.7</c:v>
                </c:pt>
              </c:numCache>
            </c:numRef>
          </c:xVal>
          <c:yVal>
            <c:numRef>
              <c:f>Hoja1!$C$4</c:f>
              <c:numCache>
                <c:formatCode>0.0"x"</c:formatCode>
                <c:ptCount val="1"/>
                <c:pt idx="0">
                  <c:v>12.3</c:v>
                </c:pt>
              </c:numCache>
            </c:numRef>
          </c:yVal>
          <c:smooth val="0"/>
        </c:ser>
        <c:ser>
          <c:idx val="3"/>
          <c:order val="3"/>
          <c:tx>
            <c:strRef>
              <c:f>Hoja1!$A$5</c:f>
              <c:strCache>
                <c:ptCount val="1"/>
                <c:pt idx="0">
                  <c:v>XPO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11.3</c:v>
                </c:pt>
              </c:numCache>
            </c:numRef>
          </c:xVal>
          <c:yVal>
            <c:numRef>
              <c:f>Hoja1!$C$5</c:f>
              <c:numCache>
                <c:formatCode>0.0"x"</c:formatCode>
                <c:ptCount val="1"/>
                <c:pt idx="0">
                  <c:v>15.5</c:v>
                </c:pt>
              </c:numCache>
            </c:numRef>
          </c:yVal>
          <c:smooth val="0"/>
        </c:ser>
        <c:ser>
          <c:idx val="4"/>
          <c:order val="4"/>
          <c:tx>
            <c:strRef>
              <c:f>Hoja1!$A$6</c:f>
              <c:strCache>
                <c:ptCount val="1"/>
                <c:pt idx="0">
                  <c:v>ArcBest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12.4</c:v>
                </c:pt>
              </c:numCache>
            </c:numRef>
          </c:xVal>
          <c:yVal>
            <c:numRef>
              <c:f>Hoja1!$C$6</c:f>
              <c:numCache>
                <c:formatCode>0.0"x"</c:formatCode>
                <c:ptCount val="1"/>
                <c:pt idx="0">
                  <c:v>7.3</c:v>
                </c:pt>
              </c:numCache>
            </c:numRef>
          </c:yVal>
          <c:smooth val="0"/>
        </c:ser>
        <c:ser>
          <c:idx val="5"/>
          <c:order val="5"/>
          <c:tx>
            <c:strRef>
              <c:f>Hoja1!$A$7</c:f>
              <c:strCache>
                <c:ptCount val="1"/>
                <c:pt idx="0">
                  <c:v>TFI International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9.4</c:v>
                </c:pt>
              </c:numCache>
            </c:numRef>
          </c:xVal>
          <c:yVal>
            <c:numRef>
              <c:f>Hoja1!$C$7</c:f>
              <c:numCache>
                <c:formatCode>0.0"x"</c:formatCode>
                <c:ptCount val="1"/>
                <c:pt idx="0">
                  <c:v>8.4</c:v>
                </c:pt>
              </c:numCache>
            </c:numRef>
          </c:yVal>
          <c:smooth val="0"/>
        </c:ser>
        <c:ser>
          <c:idx val="6"/>
          <c:order val="6"/>
          <c:tx>
            <c:strRef>
              <c:f>Hoja1!$A$8</c:f>
              <c:strCache>
                <c:ptCount val="1"/>
                <c:pt idx="0">
                  <c:v>Knight-Swift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10.4</c:v>
                </c:pt>
              </c:numCache>
            </c:numRef>
          </c:xVal>
          <c:yVal>
            <c:numRef>
              <c:f>Hoja1!$C$8</c:f>
              <c:numCache>
                <c:formatCode>0.0"x"</c:formatCode>
                <c:ptCount val="1"/>
                <c:pt idx="0">
                  <c:v>8.3</c:v>
                </c:pt>
              </c:numCache>
            </c:numRef>
          </c:yVal>
          <c:smooth val="0"/>
        </c:ser>
        <c:axId val="10"/>
        <c:axId val="20"/>
      </c:scatterChart>
      <c:valAx>
        <c:axId val="10"/>
        <c:scaling>
          <c:orientation val="minMax"/>
          <c:max val="15"/>
          <c:min val="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AAA Cooper Transportation</c:v>
                </c:pt>
                <c:pt idx="1">
                  <c:v>Midwest Motor Express (MME)</c:v>
                </c:pt>
                <c:pt idx="2">
                  <c:v>UPS Freight (TForce Freight)</c:v>
                </c:pt>
              </c:strCache>
            </c:strRef>
          </c:cat>
          <c:val>
            <c:numRef>
              <c:f>Hoja1!$B$2:$B$4</c:f>
              <c:numCache>
                <c:formatCode>0.0"x"</c:formatCode>
                <c:ptCount val="3"/>
                <c:pt idx="0">
                  <c:v>9.6</c:v>
                </c:pt>
                <c:pt idx="1">
                  <c:v>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580</c:v>
                </c:pt>
                <c:pt idx="1">
                  <c:v>875</c:v>
                </c:pt>
                <c:pt idx="2">
                  <c:v>999</c:v>
                </c:pt>
                <c:pt idx="3">
                  <c:v>1089</c:v>
                </c:pt>
                <c:pt idx="4">
                  <c:v>1180</c:v>
                </c:pt>
                <c:pt idx="5">
                  <c:v>1227</c:v>
                </c:pt>
                <c:pt idx="6">
                  <c:v>1251</c:v>
                </c:pt>
                <c:pt idx="7">
                  <c:v>1282</c:v>
                </c:pt>
                <c:pt idx="8">
                  <c:v>1325</c:v>
                </c:pt>
                <c:pt idx="9">
                  <c:v>1365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6887</c:v>
                </c:pt>
                <c:pt idx="1">
                  <c:v>8344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110,50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36.13</c:v>
                </c:pt>
                <c:pt idx="1">
                  <c:v>73.27</c:v>
                </c:pt>
                <c:pt idx="2">
                  <c:v>94.08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110,50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(105,75 – 200,00)</c:v>
                </c:pt>
                <c:pt idx="1">
                  <c:v>Precio objetivo de los analistas (108,00 – 200,00)</c:v>
                </c:pt>
                <c:pt idx="2">
                  <c:v>Comparables: EV/EBITDA NTM (73,41 – 151,53)</c:v>
                </c:pt>
                <c:pt idx="3">
                  <c:v>Comparables: PER NTM (85,65 – 139,55)</c:v>
                </c:pt>
                <c:pt idx="4">
                  <c:v>DCF (WACC y g ± 0,5) (62,89 – 87,09)</c:v>
                </c:pt>
                <c:pt idx="5">
                  <c:v>Escenarios (bajista – alcista) (36,13 – 94,08)</c:v>
                </c:pt>
                <c:pt idx="6">
                  <c:v>DCF con la prima implícita del mercado (4,2 %)</c:v>
                </c:pt>
                <c:pt idx="7">
                  <c:v>Precio actual (110,50)</c:v>
                </c:pt>
              </c:strCache>
            </c:strRef>
          </c:cat>
          <c:val>
            <c:numRef>
              <c:f>Hoja1!$B$2:$B$9</c:f>
              <c:numCache>
                <c:formatCode>#,##0</c:formatCode>
                <c:ptCount val="8"/>
                <c:pt idx="0">
                  <c:v>105.75</c:v>
                </c:pt>
                <c:pt idx="1">
                  <c:v>108</c:v>
                </c:pt>
                <c:pt idx="2">
                  <c:v>73.41</c:v>
                </c:pt>
                <c:pt idx="3">
                  <c:v>85.65</c:v>
                </c:pt>
                <c:pt idx="4">
                  <c:v>62.89</c:v>
                </c:pt>
                <c:pt idx="5">
                  <c:v>36.13</c:v>
                </c:pt>
                <c:pt idx="6">
                  <c:v>77.73</c:v>
                </c:pt>
                <c:pt idx="7">
                  <c:v>109.95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(105,75 – 200,00)</c:v>
                </c:pt>
                <c:pt idx="1">
                  <c:v>Precio objetivo de los analistas (108,00 – 200,00)</c:v>
                </c:pt>
                <c:pt idx="2">
                  <c:v>Comparables: EV/EBITDA NTM (73,41 – 151,53)</c:v>
                </c:pt>
                <c:pt idx="3">
                  <c:v>Comparables: PER NTM (85,65 – 139,55)</c:v>
                </c:pt>
                <c:pt idx="4">
                  <c:v>DCF (WACC y g ± 0,5) (62,89 – 87,09)</c:v>
                </c:pt>
                <c:pt idx="5">
                  <c:v>Escenarios (bajista – alcista) (36,13 – 94,08)</c:v>
                </c:pt>
                <c:pt idx="6">
                  <c:v>DCF con la prima implícita del mercado (4,2 %)</c:v>
                </c:pt>
                <c:pt idx="7">
                  <c:v>Precio actual (110,50)</c:v>
                </c:pt>
              </c:strCache>
            </c:strRef>
          </c:cat>
          <c:val>
            <c:numRef>
              <c:f>Hoja1!$C$2:$C$9</c:f>
              <c:numCache>
                <c:formatCode>#,##0</c:formatCode>
                <c:ptCount val="8"/>
                <c:pt idx="0">
                  <c:v>94.25</c:v>
                </c:pt>
                <c:pt idx="1">
                  <c:v>92</c:v>
                </c:pt>
                <c:pt idx="2">
                  <c:v>78.12</c:v>
                </c:pt>
                <c:pt idx="3">
                  <c:v>53.900000000000006</c:v>
                </c:pt>
                <c:pt idx="4">
                  <c:v>24.200000000000003</c:v>
                </c:pt>
                <c:pt idx="5">
                  <c:v>57.949999999999996</c:v>
                </c:pt>
                <c:pt idx="6">
                  <c:v>19.310000000000002</c:v>
                </c:pt>
                <c:pt idx="7">
                  <c:v>1.0999999999999943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