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Fortune Electric Co., Ltd. (華城電機股份有限公司)</w:t>
      </w:r>
    </w:p>
    <w:p>
      <w:pPr>
        <w:spacing w:after="60"/>
        <w:rPr>
          <w:color w:val="52514E"/>
          <w:sz w:val="22"/>
          <w:szCs w:val="22"/>
        </w:rPr>
      </w:pPr>
      <w:r>
        <w:rPr>
          <w:color w:val="52514E"/>
          <w:sz w:val="22"/>
          <w:szCs w:val="22"/>
        </w:rPr>
        <w:t xml:space="preserve">1519 · Bolsa de Taiwán (TWSE) · ISIN TW0001519001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656,00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599,58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-7,1 % (base +13,6 %)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231,40 TWD · mercado 263,33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227.940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Fortune Electric Co., Ltd. (華城電機股份有限公司)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1519 / TW0001519001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 (MSCI Taiwan)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(transformadores y aparamenta)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Taoyuan (Taiwán)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https://www.fortune.com.tw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656,00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528,18 – 1.013,64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227.940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226.722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1.085 M TWD/día (3 meses; 1,56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599,58 TWD</w:t>
      </w:r>
      <w:r>
        <w:t xml:space="preserve"> frente a 656,00 · Rentabilidad a 12 meses </w:t>
      </w:r>
      <w:r>
        <w:rPr>
          <w:b/>
          <w:bCs/>
        </w:rPr>
        <w:t xml:space="preserve">-7,1 % (base +13,6 %)</w:t>
      </w:r>
      <w:r>
        <w:t xml:space="preserve"> · Valor intrínseco 231,40 TWD · con la prima implícita del mercado: 263,33 (-59,9 %) · Alcista / bajista -66,0 % / -83,7 %</w:t>
      </w:r>
    </w:p>
    <w:p>
      <w:pPr>
        <w:spacing w:after="100"/>
      </w:pPr>
      <w:r>
        <w:rPr>
          <w:b/>
        </w:rPr>
        <w:t xml:space="preserve">La recomendación y por qué.</w:t>
      </w:r>
      <w:r>
        <w:t xml:space="preserve"> Mantener, con convicción media: las dos reglas coinciden y la ponderada está lejos del umbral de compra, pero el precio está a solo un 3 % de la zona de venta y el BPA de 2028e depende de cuánto dure la escasez; subiría la convicción un 3T26 con margen bruto por encima del 43 % y la bajaría un nuevo recorte del consenso. El objetivo a 12 meses es de 599,58 TWD, con una rentabilidad ponderada del −7,1 % y del +13,6 % en el caso base (con dividendo), frente a un precio de 656 TWD; el valor intrínseco es de 231,40 TWD, un 64,7 % por debajo, y el objetivo medio de los analistas, 863,64. No es Comprar porque la ponderada no llega al 15 % y el valor intrínseco queda muy por debajo del precio; no es Vender porque la ponderada está por encima del −10 %. </w:t>
      </w:r>
      <w:r>
        <w:rPr>
          <w:b/>
        </w:rPr>
        <w:t xml:space="preserve">El negocio.</w:t>
      </w:r>
      <w:r>
        <w:t xml:space="preserve"> Fortune Electric es el primer fabricante de transformadores de Taiwán y el que más exporta a EE. UU., donde faltan transformadores: ventas de 9.020 M TWD en 2021 a 24.423 M en 2025 y margen de explotación del 4 % al 21 % [2]. El ROIC de 2025 es del 51,6 % frente a un WACC del 8,94 %, inflado por los anticipos de clientes y por el pico de ciclo. </w:t>
      </w:r>
      <w:r>
        <w:rPr>
          <w:b/>
        </w:rPr>
        <w:t xml:space="preserve">La duda.</w:t>
      </w:r>
      <w:r>
        <w:t xml:space="preserve"> 2026 trae ventas planas (nueve meses −0,7 %) y el consenso recorta un 22 % [7, 20]; el precio, a 39 veces nuestro BPA de 2027e, descuenta que el margen de pico dura. Sostenibilidad del crecimiento: «Sí» (financiable con capital propio y cartera firmada), pero el riesgo es de precio, no de volumen. </w:t>
      </w:r>
      <w:r>
        <w:rPr>
          <w:b/>
        </w:rPr>
        <w:t xml:space="preserve">Qué cambiaría la recomendación.</w:t>
      </w:r>
      <w:r>
        <w:t xml:space="preserve"> Por debajo de 231,40 TWD sería compra en valor; por encima de 677,31 TWD la regla daría Vender.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599,58 TWD</w:t>
      </w:r>
      <w:r>
        <w:t xml:space="preserve"> (rentabilidad -7,1 % (base +13,6 %)) · Valor intrínseco: 231,40 TWD (-64,7 % sobre 656,00) · con la prima implícita del mercado: 263,33 (-59,9 %)</w:t>
      </w:r>
    </w:p>
    <w:p>
      <w:pPr>
        <w:spacing w:after="100"/>
      </w:pPr>
      <w:r>
        <w:t xml:space="preserve">Fortune Electric aprovecha la mayor escasez de transformadores en décadas: en EE. UU. falta un 30 % de la oferta de transformadores de potencia y los plazos de entrega son de 2-3 años [12]. Es el primer fabricante de Taiwán, con el 60 % del mercado local de potencia, y ha convertido la exportación en el 55 % de sus ventas, con margen bruto del 40-44 % y una cartera hasta 2029 [1, 6]. El negocio es excelente hoy, pero cíclico: hace cuatro años ganaba un 4-6 % de margen. A 656 TWD el mercado paga 39 veces nuestro beneficio de 2027e, más del doble que sus comparables coreanos, y el DCF no encuentra supuestos razonables que lo justifiquen.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599,58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 × 11,30 = 224,87 · 37,9x × 19,40 = 735,26 · 37,9x × 21,70 = 822,43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 13,6 %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3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863,64 (nuestro base -14,9 %)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231,40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 / -83,7 %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8,9 %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263,33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(9,7 % anual proyectado; financiable al ROIC actual: 11,7 %)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231,40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231,40 y 677,31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677,31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231,40 TWD, el valor intrínseco justificaría comprar (y la regla a 12 meses también).</w:t>
      </w:r>
    </w:p>
    <w:p>
      <w:pPr>
        <w:pStyle w:val="ListParagraph"/>
        <w:numPr>
          <w:ilvl w:val="0"/>
          <w:numId w:val="2"/>
        </w:numPr>
        <w:spacing w:after="60"/>
      </w:pPr>
      <w:r>
        <w:t xml:space="preserve">Si el precio sube por encima de 677,31 TWD, la regla a 12 meses daría Vender.</w:t>
      </w:r>
    </w:p>
    <w:p>
      <w:pPr>
        <w:pStyle w:val="ListParagraph"/>
        <w:numPr>
          <w:ilvl w:val="0"/>
          <w:numId w:val="2"/>
        </w:numPr>
        <w:spacing w:after="60"/>
      </w:pPr>
      <w:r>
        <w:t xml:space="preserve">Si el margen bruto del 3T26 o del 4T26 baja del 38 %, revisaríamos el BPA a la baja y probablemente pasaríamos a Vender.</w:t>
      </w:r>
    </w:p>
    <w:p>
      <w:pPr>
        <w:pStyle w:val="ListParagraph"/>
        <w:numPr>
          <w:ilvl w:val="0"/>
          <w:numId w:val="2"/>
        </w:numPr>
        <w:spacing w:after="60"/>
      </w:pPr>
      <w:r>
        <w:t xml:space="preserve">Si las ventas del 4T26 superan los 10.000 M TWD con margen bruto por encima del 43 %,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valor de IA con crecimiento de dos dígitos durante años: el consenso espera un BPA de 25,22 TWD en 2028 (base nueva) y un objetivo medio de 863,64, con todos los analistas en compra [20, 22].</w:t>
      </w:r>
    </w:p>
    <w:p>
      <w:pPr>
        <w:keepNext/>
        <w:spacing w:after="100"/>
      </w:pPr>
      <w:r>
        <w:rPr>
          <w:b/>
          <w:bCs/>
        </w:rPr>
        <w:t xml:space="preserve">Lo que creemos nosotros.</w:t>
      </w:r>
    </w:p>
    <w:p>
      <w:pPr>
        <w:spacing w:after="100"/>
      </w:pPr>
      <w:r>
        <w:t xml:space="preserve">Un fabricante de transformadores en el pico de un ciclo largo: crecerá con la capacidad nueva en 2027-2028, pero con un BPA de 2028e de 19,40 TWD (−23 % frente al consenso) y un margen que empezará a bajar cuando entre la capacidad de los rivales.</w:t>
      </w:r>
    </w:p>
    <w:p>
      <w:pPr>
        <w:keepNext/>
        <w:spacing w:after="100"/>
      </w:pPr>
      <w:r>
        <w:rPr>
          <w:b/>
          <w:bCs/>
        </w:rPr>
        <w:t xml:space="preserve">Por qué podemos tener razón.</w:t>
      </w:r>
    </w:p>
    <w:p>
      <w:pPr>
        <w:spacing w:after="100"/>
      </w:pPr>
      <w:r>
        <w:t xml:space="preserve">Las ventas de 2026 ya se han frenado pese a la cartera y el consenso lleva cinco meses recortando; si el 3T26 (≈13-nov) no confirma el 4T fuerte, los recortes siguen.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65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Escasez estructural en EE. UU.</w:t>
      </w:r>
      <w:r>
        <w:t xml:space="preserve">: déficit del 30 % en transformadores de potencia y plazos de 2-3 años [12].</w:t>
      </w:r>
    </w:p>
    <w:p>
      <w:pPr>
        <w:pStyle w:val="ListParagraph"/>
        <w:numPr>
          <w:ilvl w:val="0"/>
          <w:numId w:val="2"/>
        </w:numPr>
        <w:spacing w:after="60"/>
      </w:pPr>
      <w:r>
        <w:rPr>
          <w:b/>
        </w:rPr>
        <w:t xml:space="preserve">Rentabilidad muy alta</w:t>
      </w:r>
      <w:r>
        <w:t xml:space="preserve">: ROIC del 51,6 % frente a un WACC del 8,94 % (≈26 % sin anticipos de clientes).</w:t>
      </w:r>
    </w:p>
    <w:p>
      <w:pPr>
        <w:pStyle w:val="ListParagraph"/>
        <w:numPr>
          <w:ilvl w:val="0"/>
          <w:numId w:val="2"/>
        </w:numPr>
        <w:spacing w:after="60"/>
      </w:pPr>
      <w:r>
        <w:rPr>
          <w:b/>
        </w:rPr>
        <w:t xml:space="preserve">Cartera firmada hasta 2029</w:t>
      </w:r>
      <w:r>
        <w:t xml:space="preserve">, con 22.000 M ligados a centros de datos de IA [6, 11].</w:t>
      </w:r>
    </w:p>
    <w:p>
      <w:pPr>
        <w:pStyle w:val="ListParagraph"/>
        <w:numPr>
          <w:ilvl w:val="0"/>
          <w:numId w:val="2"/>
        </w:numPr>
        <w:spacing w:after="60"/>
      </w:pPr>
      <w:r>
        <w:rPr>
          <w:b/>
        </w:rPr>
        <w:t xml:space="preserve">Balance con caja neta</w:t>
      </w:r>
      <w:r>
        <w:t xml:space="preserve"> y anticipos de clientes que financian el crecimiento [5].</w:t>
      </w:r>
    </w:p>
    <w:p>
      <w:pPr>
        <w:pStyle w:val="ListParagraph"/>
        <w:numPr>
          <w:ilvl w:val="0"/>
          <w:numId w:val="2"/>
        </w:numPr>
        <w:spacing w:after="60"/>
      </w:pPr>
      <w:r>
        <w:rPr>
          <w:b/>
        </w:rPr>
        <w:t xml:space="preserve">Capacidad +30 % en 2026 y el doble en 2027-2028</w:t>
      </w:r>
      <w:r>
        <w:t xml:space="preserve">, financiada con caja propia [1, 11].</w:t>
      </w:r>
    </w:p>
    <w:p>
      <w:pPr>
        <w:pStyle w:val="Heading2"/>
      </w:pPr>
      <w:r>
        <w:t xml:space="preserve">En contra</w:t>
      </w:r>
    </w:p>
    <w:p>
      <w:pPr>
        <w:pStyle w:val="ListParagraph"/>
        <w:numPr>
          <w:ilvl w:val="0"/>
          <w:numId w:val="2"/>
        </w:numPr>
        <w:spacing w:after="60"/>
      </w:pPr>
      <w:r>
        <w:rPr>
          <w:b/>
        </w:rPr>
        <w:t xml:space="preserve">Precio exigente</w:t>
      </w:r>
      <w:r>
        <w:t xml:space="preserve">: 39 veces nuestro BPA de 2027e; valor intrínseco de 231,40 TWD (−64,7 %) y DCF inverso sin solución.</w:t>
      </w:r>
    </w:p>
    <w:p>
      <w:pPr>
        <w:pStyle w:val="ListParagraph"/>
        <w:numPr>
          <w:ilvl w:val="0"/>
          <w:numId w:val="2"/>
        </w:numPr>
        <w:spacing w:after="60"/>
      </w:pPr>
      <w:r>
        <w:rPr>
          <w:b/>
        </w:rPr>
        <w:t xml:space="preserve">Pico de ciclo</w:t>
      </w:r>
      <w:r>
        <w:t xml:space="preserve">: margen bruto del 43,55 % frente al 16 % de 2021; los rivales amplían capacidad [4, 18].</w:t>
      </w:r>
    </w:p>
    <w:p>
      <w:pPr>
        <w:pStyle w:val="ListParagraph"/>
        <w:numPr>
          <w:ilvl w:val="0"/>
          <w:numId w:val="2"/>
        </w:numPr>
        <w:spacing w:after="60"/>
      </w:pPr>
      <w:r>
        <w:rPr>
          <w:b/>
        </w:rPr>
        <w:t xml:space="preserve">2026 plano</w:t>
      </w:r>
      <w:r>
        <w:t xml:space="preserve">: ventas de nueve meses −0,7 % y consenso recortando un 22 % desde mayo [7, 20].</w:t>
      </w:r>
    </w:p>
    <w:p>
      <w:pPr>
        <w:pStyle w:val="ListParagraph"/>
        <w:numPr>
          <w:ilvl w:val="0"/>
          <w:numId w:val="2"/>
        </w:numPr>
        <w:spacing w:after="60"/>
      </w:pPr>
      <w:r>
        <w:rPr>
          <w:b/>
        </w:rPr>
        <w:t xml:space="preserve">Clientes concentrados y aranceles</w:t>
      </w:r>
      <w:r>
        <w:t xml:space="preserve">: tres clientes el 49 % de las ventas; aranceles de EE. UU. compartidos [2, 10].</w:t>
      </w:r>
    </w:p>
    <w:p>
      <w:pPr>
        <w:pStyle w:val="ListParagraph"/>
        <w:numPr>
          <w:ilvl w:val="0"/>
          <w:numId w:val="2"/>
        </w:numPr>
        <w:spacing w:after="60"/>
      </w:pPr>
      <w:r>
        <w:rPr>
          <w:b/>
        </w:rPr>
        <w:t xml:space="preserve">Gobierno familiar</w:t>
      </w:r>
      <w:r>
        <w:t xml:space="preserve"> con proyectos ajenos al negocio (centro comercial, recarga, hidrógeno) [1].</w:t>
      </w:r>
    </w:p>
    <w:p>
      <w:pPr>
        <w:pStyle w:val="Heading2"/>
      </w:pPr>
      <w:r>
        <w:t xml:space="preserve">Qué tiene que pasar para que la tesis funcione</w:t>
      </w:r>
    </w:p>
    <w:p>
      <w:pPr>
        <w:spacing w:after="100"/>
      </w:pPr>
      <w:r>
        <w:t xml:space="preserve">La tesis de Mantener depende de que 2027 recupere el crecimiento con la capacidad nueva sin que el margen bruto baje del 40 %. Nos equivocaríamos por arriba si el 4T26 supera los 10.000 M de ventas y la cartera sigue creciendo con margen; por abajo, si los plazos de entrega en EE. UU. bajan de dos años o el margen bruto trimestral cae por debajo del 38 %.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(sep-2026); nueve meses −0,7 %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por debajo de 8.100 M (plano)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si los retrasos se recuperan.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normalización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de contrato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escasez y financia el circulante.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 de BPA 2027e (FactSet)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 base antigua (21,10 nueva)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Nuevos recortes &gt;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Plazos de entrega de transformadores de potencia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18 meses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 escasez.</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47,2x / 33,0x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Fortune Electric (華城電機) se fundó en 1969 en Taoyuan como fabricante de transformadores y cuadros para el mercado taiwanés [1]. Durante décadas fue un proveedor de Taipower y de la industria local, con márgenes bajos. Desde 2019 empezó a exportar transformadores de potencia a EE. UU., y entre 2022 y 2025 las ventas se triplicaron con la escasez de transformadores allí [1, 2]. En 2025 entró en proyectos de centros de datos (incluido Stargate) y lanzó la fábrica de muy alta tensión de Taichung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Taoyuan (Taiwán)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pedidos grandes de transformadores de potencia para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+79 % y margen de explotación del 20,5 % por la exportación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24.423 M TWD; exportación del 55 %; primeros pedidos de centros de datos Stargate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Guanyin 3B (+30 % de capacidad); fábrica de Taichung prevista para el 2T27 [11].</w:t>
            </w:r>
          </w:p>
        </w:tc>
      </w:tr>
    </w:tbl>
    <w:p>
      <w:pPr>
        <w:spacing w:after="160" w:before="0"/>
      </w:pPr>
    </w:p>
    <w:p>
      <w:pPr>
        <w:pStyle w:val="Heading1"/>
      </w:pPr>
      <w:r>
        <w:t xml:space="preserve">2. Modelo de negocio</w:t>
      </w:r>
    </w:p>
    <w:p>
      <w:pPr>
        <w:spacing w:after="100"/>
      </w:pPr>
      <w:r>
        <w:t xml:space="preserve">Fortune Electric diseña y fabrica transformadores de potencia (hasta muy alta tensión), transformadores de distribución, cuadros eléctricos y aparamenta de media y baja tensión, y hace obras llave en mano de subestaciones [1]. En 2025 los transformadores fueron el 73,6 % de las ventas, los cuadros el 7,3 %, las obras el 5,7 % y la aparamenta el 3,7 % [1]. Fabrica solo en Taiwán (Guanyin, Hukou y, desde 2027, Taichung) y exporta el 55 % de las ventas, casi todo a EE. UU. [1].</w:t>
      </w:r>
    </w:p>
    <w:p>
      <w:pPr>
        <w:pStyle w:val="Heading2"/>
      </w:pPr>
      <w:r>
        <w:t xml:space="preserve">Cómo gana dinero</w:t>
      </w:r>
    </w:p>
    <w:p>
      <w:pPr>
        <w:spacing w:after="100"/>
      </w:pPr>
      <w:r>
        <w:t xml:space="preserve">Gana con cada transformador vendido: precio fijado al aceptar el pedido, coste de acero eléctrico, cobre y horas de fábrica [1]. Con la escasez, los pedidos se firman con 2-3 años de plazo, anticipos y precios mucho más altos que en 2019, lo que llevó el margen bruto del 16 % (2021) al 40-44 % (2025-2026) [2]. Los ingresos dependen de la capacidad de las fábricas (por eso crece a saltos al ampliar) y del precio medio; el margen, de la mezcla (potencia de exportación es lo más rentable) y del precio de las materias primas.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eléctricos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Resultado de segmento (antes de gastos generales)</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llave en mano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Resultado de segmento (antes de gastos generales)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eléctricos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llave en mano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Concentrados: el primer cliente (probablemente Taipower) fue el 22 % de las ventas de 2025, el segundo el 14 % y el tercero el 13 %; los clientes nuevos entre los diez primeros sumaron el 18 % [2]. En EE. UU. vende a eléctricas, promotores de renovables y centros de datos, en parte a través de distribuidores. Poder de precios demostrado en el ciclo actual: subió el margen bruto 25 puntos en cuatro años y ahora pone cláusulas de arancel en los contratos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exportación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(2025); &gt;60 % esperado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toda a EE. UU.: eléctricas, renovables y centros de datos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&gt;30.000 M TWD (feb-2025)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visibilidad hasta 2029; 22.000 M ligados a centros de datos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la cifra total de forma periódica [6,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 (2025); 43,55 %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pp / +5,1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transformadores de potencia de exportación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transformadores de potencia vendidos en Taiwán (volumen)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 &gt;90 % de los exportados desde Taiwán; 30 % y &gt;70 % en distribución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filiales en el extranjero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Primer cliente (probablemente Taipower)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de las ventas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clientes suman el 49 %; el cliente C creció un 325 %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transformadores eléctricos (de potencia y de distribución) y equipos de red de media y alta tensión, en Taiwán y, sobre todo, en EE. UU., adonde va el 59 % de las ventas [1, 2]. GlobalData lo cifra en 89.340 M USD en 2030 en el mundo (35.830 M de potencia y 53.510 M de distribución) y MarketsandMarkets da 30.380 M USD en 2025 solo para potencia, con un +6,5 % anual hasta 2030 [15, 16]. Usamos el perímetro mundial de GlobalData (potencia + distribución) porque Fortune vende las dos cosas; para 2025 estimamos ~65.200 M USD descontando el 6,5 % anual (estimación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65.200 M USD en 2025 (estimación propia a partir de GlobalData y MarketsandMarkets); 89.340 M en 2030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transformadores de potencia y distribución,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Déficit de transformadores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Déficit de oferta del 30 % en potencia y del 10 % en distribución en 2025; demanda +116 % y +41 % desde 2019; el 80 % y el 50 % se importa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de IA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Fortune ligada a centros de datos de ~22.000 M TWD; el DOE prevé un 7-8 % anual de demanda de transformadores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red de Taipower y renovables en Taiwán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564.500 M TWD en 10 años; objetivo del 60-70 % de renovables en 2050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unitarios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del 45-95 % desde 2019 según tipo [14]; bajarían cuando entren las ampliaciones de capacidad (1.800 M USD anunciados en EE. UU. desde 2023)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Fortune comparte el 30-40 % del arancel en envíos ya hechos y pone cláusulas en los contratos nuevos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Ampliaciones de capacidad de los rivales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HD Hyundai, Hyosung, LS, Siemens Energy, Hitachi Energy y Prolec GE amplían fábricas en EE. UU. y México [11,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fabricantes mundiales (Hitachi Energy, Siemens Energy, GE Vernova/Prolec, coreanos, Hammond, WEG); hoy la escasez la suaviza, pero todos amplían capacidad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Eléctricas y Taipower compran por concurso; tres clientes suman el 49 % de las ventas de Fortune [2]. Con plazos de 2-3 años, hoy aceptan anticipos y subidas.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magnético de grano orientado y cobre, con pocos proveedores de acero eléctrico; el precio se repercute con retraso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cada eléctrica, ensayos de muy alta tensión y 2-3 años para levantar una fábrica; los grandes entran por ampliación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transformador en la red; la electrónica de potencia (transformadores de estado sólido) aún no compite en potencia [1].</w:t>
            </w:r>
          </w:p>
        </w:tc>
      </w:tr>
    </w:tbl>
    <w:p>
      <w:pPr>
        <w:spacing w:after="160" w:before="0"/>
      </w:pPr>
    </w:p>
    <w:p>
      <w:pPr>
        <w:pStyle w:val="Heading2"/>
      </w:pPr>
      <w:r>
        <w:t xml:space="preserve">Ciclo</w:t>
      </w:r>
    </w:p>
    <w:p>
      <w:pPr>
        <w:spacing w:after="100"/>
      </w:pPr>
      <w:r>
        <w:t xml:space="preserve">El sector está en un pico de ciclo: escasez, plazos de 2-3 años, precios +45-95 % desde 2019 y anticipos de clientes [12, 14]. Los transformadores han tenido ciclos largos: tras el auge de 2005-2008, precios y márgenes cayeron casi una década. Fortune lo vivió: en 2021-2022 ganaba un margen de explotación del 4-6 % y en 2025 del 21 % [2]. La duda no es si la demanda sigue creciendo, sino qué pasa con precio y margen cuando lleguen las ampliaciones de capacidad en 2027-2029.</w:t>
      </w:r>
    </w:p>
    <w:p>
      <w:pPr>
        <w:pStyle w:val="Heading2"/>
      </w:pPr>
      <w:r>
        <w:t xml:space="preserve">Regulación</w:t>
      </w:r>
    </w:p>
    <w:p>
      <w:pPr>
        <w:spacing w:after="100"/>
      </w:pPr>
      <w:r>
        <w:t xml:space="preserve">En Taiwán, Taipower compra por concurso público y fija las especificaciones; el plan de refuerzo de red de 2022 destina 564.500 M TWD en 10 años [1]. En EE. UU., la norma de eficiencia del DOE para transformadores de distribución (2024) eleva el contenido de acero eléctrico, y los aranceles de 2025 sobre importaciones de Taiwán (con exenciones parciales para equipos de red) se negocian contrato a contrato [1].</w:t>
      </w:r>
    </w:p>
    <w:p>
      <w:pPr>
        <w:pStyle w:val="Heading2"/>
      </w:pPr>
      <w:r>
        <w:t xml:space="preserve">Tendencias y disrupción</w:t>
      </w:r>
    </w:p>
    <w:p>
      <w:pPr>
        <w:spacing w:after="100"/>
      </w:pPr>
      <w:r>
        <w:t xml:space="preserve">La demanda crece por cuatro motivos a la vez: centros de datos de IA, renovables y almacenamiento con más transformadores elevadores, sustitución de una red envejecida en EE. UU. y electrificación [1, 12, 13]. A medio plazo, los grandes fabricantes amplían capacidad en Norteamérica y aparecen transformadores de estado sólido para centros de datos; la IA aparece sobre todo como demanda.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transformadores de Taiwán y primer exportador: según la empresa, el 60 % del volumen de transformadores de potencia vendidos en Taiwán y más del 90 % de los exportados; el 30 % y más del 70 % en distribución; ~10 % en cuadros [1]. En el mundo es un fabricante mediano: ~1,2 % del mercado de transformadores (estimación propia con ingresos del grupo) [15,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267260.KS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exportador de transformadores de potencia a EE. UU., con fábrica en Alabama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298040.KS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de potencia con fábrica en Memphis (EE. UU.)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010120.KS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de distribución y transformadores; centros de datos en EE. UU.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Hammond Power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HPS-A.TO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secos y de distribución en Norteamérica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Shihlin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1503.TW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local en transformadores y aparamenta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Chung-Hsin Electric &amp; Machinery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1513.TW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local en transformadores de potencia y obras para Taipower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Allis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1514.TW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Cuadros y transformadores de media tensión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Hitachi Energy / Siemens Energy / GE Vernova (Prolec 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Suiza-Japón / Alemania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tres grandes mundiales de la red, todos ampliando capacidad en Norteamérica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equipos.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con cada eléctrica y diseño a medida; una vez aprobado, el proveedor repite, pero cada pedido se concursa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de muy alta tensión y 56 años de historial; I+D del 1,6 % de las ventas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Taiwán con costes de mano de obra por debajo de EE. UU. y escala local: margen de explotación del 21 % frente al 9-13 % de Hyosung, LS o Hammond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 de los transformadores de potencia de Taiwán: un mercado local que no admite muchos fabricantes [1].</w:t>
            </w:r>
          </w:p>
        </w:tc>
      </w:tr>
    </w:tbl>
    <w:p>
      <w:pPr>
        <w:spacing w:after="160" w:before="0"/>
      </w:pPr>
    </w:p>
    <w:p>
      <w:pPr>
        <w:pStyle w:val="Heading2"/>
      </w:pPr>
      <w:r>
        <w:t xml:space="preserve">Amenazas</w:t>
      </w:r>
    </w:p>
    <w:p>
      <w:pPr>
        <w:spacing w:after="100"/>
      </w:pPr>
      <w:r>
        <w:t xml:space="preserve">Tres amenazas. La primera, la capacidad nueva de los rivales en EE. UU. y México a partir de 2027, que bajaría precios y plazos (probabilidad alta a 3 años) [12, 18]. La segunda, los aranceles de EE. UU. sobre productos de Taiwán, que favorecen a quien fabrica allí; Fortune no tiene fábrica en EE. UU. [1]. La tercera, que Taipower reparta más los concursos entre Shihlin y Chung-Hsin cuando estos amplíen capacidad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28,3 %</w:t>
      </w:r>
      <w:r>
        <w:t xml:space="preserve">, EBITDA </w:t>
      </w:r>
      <w:r>
        <w:rPr>
          <w:b/>
          <w:bCs/>
        </w:rPr>
        <w:t xml:space="preserve">80,0 %</w:t>
      </w:r>
      <w:r>
        <w:t xml:space="preserve">, BPA </w:t>
      </w:r>
      <w:r>
        <w:rPr>
          <w:b/>
          <w:bCs/>
        </w:rPr>
        <w:t xml:space="preserve">97,9 %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9.020 M TWD en 2021 a 24.423 M en 2025 (+28 % anual; +47 % anual desde el valle de 2022), por la exportación de transformadores a EE. UU., donde falta capacidad, y por el plan de red de Taipower [1, 2]. El margen bruto saltó del 15,6 % (2021) al 31,2 % (2023) y al 40,5 % (2025): precio y mezcla de transformadores de potencia [2, 3]. El beneficio de explotación pasó de 392 M a 5.227 M, aunque en 2025 los gastos comerciales y generales casi se duplicaron (4.177 M frente a 2.162 M) por fletes, aranceles de EE. UU. compartidos con clientes y comisiones de exportación [2, 10]. 2026 es un año de pausa: ventas de nueve meses −0,7 % (retrasos de entregas a EE. UU.) con margen bruto del 43,55 % en el 1S26, +5,1 puntos [6, 7, 8].</w:t>
      </w:r>
    </w:p>
    <w:p>
      <w:pPr>
        <w:pStyle w:val="Heading2"/>
      </w:pPr>
      <w:r>
        <w:t xml:space="preserve">Ajustes y partidas no recurrentes</w:t>
      </w:r>
    </w:p>
    <w:p>
      <w:pPr>
        <w:spacing w:after="100"/>
      </w:pPr>
      <w:r>
        <w:t xml:space="preserve">Usamos las cifras publicadas. El BPA y el DPA de todos los años están reexpresados sobre 347,47 M de acciones, la base tras la ampliación gratuita 1:10 del 5-ago-2026, para que se comparen con el precio de hoy; el BPA publicado de 2025 era 13,99 TWD sobre 315,9 M [2, 5]. El DPA es el dividendo en efectivo con cargo a cada ejercicio (importe total pagado al año siguiente) repartido sobre esa base: 2025, 11 TWD por acción antigua (3.474,7 M), pagado en agosto de 2026 [5]. El resultado no operativo de 2022 incluye 468,3 M de plusvalía por la pérdida de control de una filial: no se repite [4]. Los minoritarios son pérdidas (filiales de recarga, hidrógeno y un centro comercial en obra) y suman al beneficio atribuido [2]. La amortización incluye la de derechos de uso.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 (solo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no da guía numérica. Con los resultados del 1S26 (10-ago) explicó que las ventas del semestre cayeron un 1,4 % por retrasos de entregas a EE. UU. (calendarios de obra de clientes y despacho en aduana), que el margen bruto subió al 43,55 % por la mezcla de transformadores de potencia y que el segundo semestre será mejor que el primero [5, 6]. La cartera de pedidos supera los 30.000 M TWD, con visibilidad hasta 2029 y plazos de entrega de 2,5-3 años para exportación (2 años para Taipower); la ligada a centros de datos de IA es de unos 22.000 M [6, 11]. Las ventas del 3T26 (5.994,8 M, +2,8 %) todavía no muestran la aceleración [7, 8]; los trimestres de 2024-2025 vienen de la cuenta trimestral de Stock Analysis, cuadrada con los semestrales [5, 9]. El consejo del 3T26 será a mediados de noviembre.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Pérdida de control de Fortune Electric Value (recarga de vehículos eléctricos): plusvalía no operativa de 468,3 M TWD y salida neta de caja de 72,1 M [4]. En 2025 la filial vuelve a consolidarse con el 60,95 %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pasó de una deuda neta de 2.471 M TWD en 2021 a una caja neta de 4.042 M en 2025 (6.472 M en junio de 2026 antes del dividendo de agosto), financiado por el beneficio y por los anticipos de clientes: los pasivos de contrato subieron de 495 M a 9.314 M [2, 5]. El circulante comercial neto (existencias + clientes + activos de contrato − proveedores − anticipos) bajó del 26 % de las ventas en 2024 al 15,7 % en 2025 y a ~11 % en junio de 2026: mientras falten transformadores los clientes pagan por adelantado, pero es circulante prestado que se devolvería en una caída [2, 5]. Existencias de 10.316 M (≈ 5 meses de ventas) por la cartera de pedidos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11.656</w:t>
      </w:r>
      <w:r>
        <w:t xml:space="preserve">, conversión </w:t>
      </w:r>
      <w:r>
        <w:rPr>
          <w:b/>
          <w:bCs/>
        </w:rPr>
        <w:t xml:space="preserve">94 %</w:t>
      </w:r>
      <w:r>
        <w:t xml:space="preserve"> del beneficio neto; adquisiciones 0, dividendos 5.404, recompras 0.</w:t>
      </w:r>
    </w:p>
    <w:p>
      <w:pPr>
        <w:spacing w:after="100"/>
      </w:pPr>
      <w:r>
        <w:t xml:space="preserve">De 2021 a 2025 el flujo operativo sumó 14.087 M TWD frente a 12.411 M de beneficio atribuido (114 %), con 2023 muy alto (4.281 M) por el salto de los anticipos de clientes [2, 3, 4]. 2021 fue negativo (−438 M) porque las existencias y los activos de contrato crecieron con pedidos de renovables [4]. El capex se multiplicó: de 94-184 M en 2021-2023 a 513 M en 2024 y 1.273 M en 2025 (5,2 % de las ventas), más ~1.580 M de altas de derechos de uso en 2025 (suelo de Taichung) que no pasan por caja [2]. En el 1S26 el flujo operativo fue de 3.497 M, inflado por 1.114 M de cobros provisionales; el capex, de 896 M [5]. Las entradas de minoritarios (45 M, 180 M y 244,8 M) son aportaciones a filiales de recarga, hidrógeno y el centro comercial [2, 4]. Intereses pagados dentro del flujo operativo (47 M en 2025)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(Taiwán)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consolidadas en NIIF adoptadas en Taiwán, auditadas por Deloitte sin salvedades; el semestral de 2026 tiene revisión limitada [2, 5]. Cuestión clave de auditoría de 2025: el reconocimiento de ingresos de clientes nuevos entre los diez primeros (18 % de las ventas), por el riesgo de corte de período en exportaciones [2]. Las pérdidas crediticias esperadas pasaron de reversiones (2022-2023) a una dotación de 83,2 M en 2025 [2]. No capitaliza I+D (398 M en 2025, 1,6 % de las ventas) [2]. Tres cosas distorsionan la lectura: la plusvalía de 2022 (468 M, no operativa), los anticipos de clientes que inflan la caja y el flujo operativo, y el BPA publicado de cada año en una base de acciones distinta por las ampliaciones gratuitas anuales [2, 3, 4,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nuevos con el 18 % de las ventas (cuestión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a clientes recién llegados de EE. UU.; Deloitte revisó el corte de período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de 9.314 M (38 %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y caja dependen de que sigan entrando pedidos; en una caída se devuelven en circulante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comerciales +93 %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compartidos (30-40 % en envíos ya hechos), fletes y comisiones de exportación [2,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 no operativa de 468 M en 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control de Fortune Electric Value; explicada en las notas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212,5 % · </w:t>
      </w:r>
      <w:r>
        <w:rPr>
          <w:b/>
          <w:bCs/>
        </w:rPr>
        <w:t xml:space="preserve">WACC</w:t>
      </w:r>
      <w:r>
        <w:t xml:space="preserve">: 8,9 %.</w:t>
      </w:r>
    </w:p>
    <w:p>
      <w:pPr>
        <w:spacing w:after="100"/>
      </w:pPr>
      <w:r>
        <w:t xml:space="preserve">Fortune crea mucho valor hoy: el ROIC de 2025 es del 51,6 % frente a un WACC del 8,94 %, tras el 64,6 % de 2024 y el 41,1 % de 2023. Pero ese ROIC exagera por dos razones. Primera, el capital invertido (7.884 M TWD) es pequeño porque los anticipos de clientes (7.533 M de pasivos de contrato) financian casi todo el circulante: sin ellos el capital sería de ~15.400 M y el ROIC de ~26 %, todavía muy por encima del WACC [2]. Segunda, es un ROIC de pico de ciclo: en 2021-2022, con márgenes de explotación del 4-6 %, fue del 5,0 % y del 5,9 %, por debajo del WACC [4]. El ROE (45,9 % en 2025) cuenta lo mismo. Lo que decide el valor es cuánto del ROIC actual sobrevive a la normalización de precios cuando entre la capacidad nueva del sector.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7.162,3 M TWD a 30-jun-2026, más 555,6 M de depósitos a plazo en activos financieros a coste amortizado, frente a 690 M de deuda bancaria [5]. De esa caja salieron en agosto 3.474,7 M de dividendo, que a 30-jun figuraba como dividendo a pagar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de 2.142,1 M TWD a 30-jun-2026 (2.119,8 M a fin de 2025, desde 541,9 M en 2024): sobre todo el suelo arrendado para la fábrica nueva de muy alta tensión en Taichung; NIIF 16, van al puente [2, 5]. Pasivos de contrato (anticipos de clientes) de 9.313,7 M, de ellos 3.874,7 M a más de un año: financian el circulante y caerían si los pedidos frenan [5]. Otros pasivos corrientes incluyen 1.114,4 M de «cobros provisionales» que inflan el flujo operativo del 1S26 [5]. Plan de pensiones de prestación definida pequeño [2].</w:t>
      </w:r>
    </w:p>
    <w:p>
      <w:pPr>
        <w:pStyle w:val="Heading1"/>
      </w:pPr>
      <w:r>
        <w:t xml:space="preserve">12. Asignación de capital</w:t>
      </w:r>
    </w:p>
    <w:p>
      <w:pPr>
        <w:pStyle w:val="Confianza"/>
        <w:spacing w:after="100"/>
      </w:pPr>
      <w:r>
        <w:t xml:space="preserve">Confianza: Alta</w:t>
      </w:r>
    </w:p>
    <w:p>
      <w:pPr>
        <w:spacing w:after="100"/>
      </w:pPr>
      <w:r>
        <w:t xml:space="preserve">Reparte en efectivo la mayor parte del beneficio y añade una ampliación gratuita de 1 acción por cada 10 cada año desde 2024: 11 TWD por acción antigua en efectivo con cargo a 2025 (3.474,7 M, 79 % del beneficio) más 1 TWD en acciones [2, 5]. No hay recompras. El capex sube para doblar capacidad en 2027-2028: 1.273 M en 2025 y 1.225 M previstos en 2026 según el informe anual, más la fábrica de Taichung (filial de muy alta tensión) para el 2T27 y la ampliación de Guanyin 3B en 2026 (+30 % de capacidad)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En el negocio principal la asignación de capital es buena: la capacidad se amplía con caja propia y anticipos de clientes, sin deuda ni ampliaciones de capital, y el dividendo sube con el beneficio [1, 2]. Fuera de él hay tres proyectos que no encajan con un fabricante de transformadores: Fortune Nev, un centro comercial en obra (83,85 %, apertura prevista en el 2S27), Fortune Electric Value (recarga de vehículos eléctricos, 60,95 %, con pérdidas) y Foresee Energy (hidrógeno, proyecto BOT) [1, 2]. Son pequeños frente al grupo (los minoritarios pierden 52 M en 2025), pero apuntan a una familia que usa la sociedad cotizada para diversificar. Las ampliaciones gratuitas anuales no crean valor: solo multiplican el número de acciones.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8"/>
        <w:gridCol w:w="1527"/>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Bang-Fu (許邦福)</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Cabeza de la familia fundadora; 4,04 % directo, 0,44 % de su cónyuge y 6,36 % mediante sociedades interpuestas. En feb-2026 traspasó 7,69 M de acciones a sus sociedades n.º 1 a 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Shou-Hsiung (許守雄)</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8,66 % directo y 3,45 % de su cónyuge; preside Hua Cheng Investment, que tiene el 9,22 %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I-Te (許宜德)</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(presidente ejecutivo)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presidente. Bajo su dirección las ventas se han triplicado desde 2022. En mar-2025 traspasó 2,195 M de acciones a sociedades propias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I-Sheng (許宜生)</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vicepresidente; lleva la operación y la exportación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I-Ming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Vicedirector general</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Hsu I-Yang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de gobierno corporativo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familia; la jefa de contabilidad es Chiu Hsu-Lan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da guía numérica de ventas ni de márgenes; en 2026 anticipó un 2S mejor que el 1S y &gt;60 % de exportación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3T26 +2,8 % interanual; nueve meses −0,7 %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Empresa de familia: la familia Hsu controla en torno al 45-50 % del capital y ocupa la presidencia, la vicepresidencia, la dirección general, la consejería delegada, la vicedirección general y la dirección financiera [1, 19]. El resultado de esta generación es excelente (de 392 M a 5.227 M de beneficio de explotación en cuatro años), y la alineación con el accionista es alta por la participación. Lo flojo es la falta de contrapeso profesional y de guía numérica, y los proyectos ajenos al negocio (centro comercial, recarga, hidrógeno) [1, 2].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Bang-Fu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1979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Shou-Hsiung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Hsu I-Sheng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Shu Yi-Cheun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Weng Jen-Pei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 Len-Kuo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Lei Whey-Min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Liao Chih-Hsiang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Yeh Yun-Ching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Hsu (directo, cónyuges y sociedades)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Traspasos internos a sociedades familiares en 2025-2026, sin ventas al mercado declaradas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 Cheng Investment (dentro de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Presidida por Hsu Shou-Hsiung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Chun Sheng Fa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patrimonial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consejeros cobraron 93,2 M TWD en 2025, el 2,11 % del beneficio, con una parte ligada al beneficio por estatutos (la remuneración de consejeros de Taiwán se fija como porcentaje del beneficio) [1]. El director general y el consejero delegado sumaron 25,2 M TWD (unos 0,8 M USD); la cúpula, 141,2 M [1]. No hay incentivos a largo plazo en acciones: la alineación viene de la participación familiar. En Taiwán la junta no vota un informe de remuneración.</w:t>
      </w:r>
    </w:p>
    <w:p>
      <w:pPr>
        <w:pStyle w:val="Heading2"/>
      </w:pPr>
      <w:r>
        <w:t xml:space="preserve">Operaciones vinculadas, estructura de control y defensas</w:t>
      </w:r>
    </w:p>
    <w:p>
      <w:pPr>
        <w:spacing w:after="100"/>
      </w:pPr>
      <w:r>
        <w:t xml:space="preserve">La familia Hsu controla la empresa con ~45-50 % y 6 de los 10 puestos del consejo; los 4 independientes forman la comisión de auditoría (7 reuniones en 2025, asistencia del 100 %) [1]. Una acción, un voto; no hay acciones de doble voto ni pignoraciones declaradas [1]. Presidente y director general son padre e hijo. Sin una OPA amistosa de la familia, el control no es disputable.</w:t>
      </w:r>
    </w:p>
    <w:p>
      <w:pPr>
        <w:pStyle w:val="Heading2"/>
      </w:pPr>
      <w:r>
        <w:t xml:space="preserve">Señales de alerta</w:t>
      </w:r>
    </w:p>
    <w:p>
      <w:pPr>
        <w:pStyle w:val="ListParagraph"/>
        <w:numPr>
          <w:ilvl w:val="0"/>
          <w:numId w:val="2"/>
        </w:numPr>
        <w:spacing w:after="60"/>
      </w:pPr>
      <w:r>
        <w:t xml:space="preserve">Control familiar: presidente, vicepresidente, director general, consejero delegado y director financiero son de la familia Hsu [1].</w:t>
      </w:r>
    </w:p>
    <w:p>
      <w:pPr>
        <w:pStyle w:val="ListParagraph"/>
        <w:numPr>
          <w:ilvl w:val="0"/>
          <w:numId w:val="2"/>
        </w:numPr>
        <w:spacing w:after="60"/>
      </w:pPr>
      <w:r>
        <w:t xml:space="preserve">Proyectos ajenos al negocio dentro del grupo cotizado: centro comercial (Fortune Nev, 83,85 %), recarga de vehículos y hidrógeno [1, 2].</w:t>
      </w:r>
    </w:p>
    <w:p>
      <w:pPr>
        <w:pStyle w:val="ListParagraph"/>
        <w:numPr>
          <w:ilvl w:val="0"/>
          <w:numId w:val="2"/>
        </w:numPr>
        <w:spacing w:after="60"/>
      </w:pPr>
      <w:r>
        <w:t xml:space="preserve">Traspasos de acciones de directivos a sociedades propias (feb-2026, 7,69 M de acciones del presidente)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guía numérica. Para 2026 dijo que el segundo semestre será mejor que el primero y que la exportación superará el 60 % de las ventas; la capacidad sube un 30 % en 2026 (Guanyin 3B) y la fábrica de Taichung entra en el 2T27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vía Anue, mediana de 7 analistas; BPA de 16,71 en la base antigua pasado a la nueva (÷1,1)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vía Anue, mediana (23,21 en la base antigua)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vía Anue, mediana (27,74 en la base antigua) [20]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863,64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consenso recorta: en mayo de 2026 FactSet daba una mediana de BPA 2026 de 21,38 TWD (base antigua) y un objetivo de 1.035; el 23-sep, 16,71 y 863,64 (−22 % y −17 %) [20]. Stock Analysis (S&amp;P, 9-oct) muestra 8 analistas, todos en compra, con objetivo medio de 873,26 y BPA 2026 de 19,09 en la base nueva (rango 15,54-22,74), con estimaciones de ventas más viejas [22]. Suponemos que el BPA de FactSet está en la base de 315,9 M de acciones (anterior a la ampliación gratuita de agosto) y lo dividimos por 1,1.</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Fortune fue una de las acciones de más éxito de Taiwán: +92,6 % anual en cinco años frente al +29,9 % del índice (0050), con el salto de 2023 (de 36 a 246 TWD ajustados) cuando el mercado descubrió la exportación de transformadores a EE. UU. [21]. Marcó máximo de 1.013,64 TWD ajustados el 26-feb-2026 y desde entonces ha caído un 33 %, mientras el índice de Taiwán sube un 69,5 % en el año: la acción va −4 % en 2026 [21]. La caída coincide con la pausa de ventas (nueve meses −0,7 %), los recortes del consenso y la rotación hacia semiconductores [7, 20]. Beta de 1,1 (0,95 mensual a cinco años y 1,19 semanal a dos años), volatilidad del 52 % y caída máxima histórica del 65 % [21].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 +4,4 % / -17,7 % / +24,2 %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 +31,0 %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−7,8 % (4-mar), −5,9 % (9-mar) y −5,6 % (31-mar) tras el máximo de febrero; ventas de marzo solo +3,4 % y primeras dudas sobre el ritmo de 2026 [8,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mayo −9,3 % y de junio −25,8 % por retrasos de entregas a EE. UU.; resultados del 1T26 con BPA a la baja; mayor caída de un mes hasta el 3-jul [6, 8,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tras los resultados del 1S26 (margen bruto del 43,55 %) y las ventas de julio y agosto (+12,5 % en agosto); mayor subida de un mes hasta el 27-ago [6,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y 15-oct-2026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−8,4 % el 13-oct (índice −1,95 %) y −5,9 % el 15-oct (índice −3,41 %): venta generalizada de valores de IA y beta alta; no hemos encontrado noticia de la empresa esos días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Ex-dividendo de 11 TWD en efectivo y ampliación gratuita de 1 acción por cada 10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−1,4 %, margen bruto del 43,55 %, retrasos de entregas a EE. UU., 2S mejor que el 1S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la mediana de BPA 2026 baja a 16,71 TWD (base antigua) desde 21,38 en mayo; objetivo medio de 863,64 desde 1.035; todos los analistas siguen en compra [20,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traspasa 7,69 M de acciones a sus sociedades patrimoniales (sin venta al mercado)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+7,2 % y del 3T26 +2,8 %; nueve meses −0,7 %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(3T26): estimación de Stock Analysis para el 13-nov; plazo legal el 14-nov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bajista: un 13 % por debajo de su media de 200 sesiones y un 33 % por debajo del máximo de febrero, con dos caídas fuertes esta semana que acompañan al mercado (beta alta) sin noticia propia [33, 34]. Las noticias de los últimos 12 meses son de resultados (pausa de ventas en 2026), del consenso (recortes) y traspasos familiares sin venta al mercado; no hay colocaciones, ampliaciones de pago ni litigios. Nada de eso cambia la conclusión: con Mantener no hay orden que retrasar. Los resultados del 3T26 (≈13-nov) son el próximo dato.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historia útil es corta: hasta 2022 Fortune era otro negocio (margen de explotación del 4-6 %) y sus PER no sirven para el de hoy; 2022 además lleva la plusvalía de 468 M [4]. Con el BPA real del año siguiente, el PER adelantado al cierre fue de 19,9 veces en 2023, 36,6 en 2024 y 51,4 en 2025 (con nuestro BPA de 2026e): el mercado ha ido pagando cada vez más por el mismo ciclo [21]. Hoy cotiza a 39,2 veces nuestro BPA de 2027e y a 41,2 veces el EBITDA de los últimos 12 meses: por encima de la mediana corta (36,6) y muy lejos del 19,9 de 2023.</w:t>
      </w:r>
    </w:p>
    <w:p>
      <w:pPr>
        <w:pStyle w:val="Heading1"/>
      </w:pPr>
      <w:r>
        <w:t xml:space="preserve">18. Comparables cotizados</w:t>
      </w:r>
    </w:p>
    <w:p>
      <w:pPr>
        <w:pStyle w:val="Confianza"/>
        <w:spacing w:after="100"/>
      </w:pPr>
      <w:r>
        <w:t xml:space="preserve">Confianza: Media</w:t>
      </w:r>
    </w:p>
    <w:p>
      <w:pPr>
        <w:spacing w:after="100"/>
      </w:pPr>
      <w:r>
        <w:t xml:space="preserve">Nueve cotizadas de transformadores y equipos de red: los tres coreanos que más exportan a EE. UU. (HD Hyundai Electric, Hyosung Heavy, LS Electric), Hammond (Norteamérica), WEG (Brasil, transformadores y motores), los tres rivales taiwaneses (Shihlin, Chung-Hsin, Allis) y Siemens Energy (redes y turbinas). Hitachi Energy no cotiza aparte y GE Vernova se excluye porque vive sobre todo de turbinas de gas y su EBITDA está distorsionado (60 veces). Cifras de Stock Analysis del 16-oct-2026, capitalización en M TWD al cambio del BCE [17, 25]. El ROIC de Siemens Energy que da la fuente (89,7 %) no tiene sentido y se deja en blanco.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Fortune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430.907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Hammond Power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1.317.118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Shihlin Electric &amp; Engineering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Chung-Hsin Electric &amp; Machinery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4.146.683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20,4x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 / 22,8x / 27,0x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2,9x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r>
    </w:tbl>
    <w:p>
      <w:pPr>
        <w:spacing w:after="160" w:before="0"/>
      </w:pPr>
    </w:p>
    <w:p>
      <w:pPr>
        <w:spacing w:after="100"/>
      </w:pPr>
      <w:r>
        <w:t xml:space="preserve">Fortune cotiza con una prima grande sobre sus comparables: 41,2 veces el EBITDA de los últimos 12 meses frente a una mediana de ~20 veces, y un PER adelantado de ~33 veces (Stock Analysis, con el consenso) frente a 22,8 [17]. La prima tiene parte de base: margen EBITDA del 22,9 % (solo HD Hyundai, con 27,5 %, y Chung-Hsin, con 25,5 %, están por encima) y ROIC muy alto [17]. Pero HD Hyundai Electric, el comparable más parecido (exportador asiático de transformadores de potencia a EE. UU., con más margen y fábrica en Alabama), cotiza a 14 veces el EBITDA y 16 veces el beneficio. Los rivales taiwaneses (Shihlin, Chung-Hsin, Allis) cotizan a 17-24 veces. Los comparables dan 358-536 TWD por PER y 285-377 por EV/EBITDA.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Prolec GE (transformadores;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Vernova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5.275 M USD por el 50 % → 10.550 M por el 100 %; ventas de ~3.000 M USD y margen EBITDA ajustado de ~25 % (múltiplos implícitos, cálculo propio)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NSI Industries (equipos y accesorios eléctricos)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EBITDA ajustado publicado por Hubbell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AEG Power Solutions (electrónica de potencia y sistemas de alimentación)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Hammond Power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365 M CAD frente a 326 M CAD de ventas de 2025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Power Grids (transformadores y redes)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355.718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del ciclo actual (márgenes de un dígito); sin múltiplo verificado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164,69 – 308,50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recientes del sector se hicieron a 14-16 veces el EBITDA: Prolec GE (GE Vernova, oct-2025) a ~14,1 veces con margen del ~25 %, y NSI Industries (Hubbell, may-2026) a 15,5 veces [18, 26]. Son compras de control de negocios de transformadores en pleno ciclo y quedan muy por debajo de las 41 veces a las que cotiza Fortune. Con la familia Hsu en ~45-50 % del capital no hay prima de control que esperar [1]. Hitachi-ABB Power Grids (2018) se excluye: es de otro ciclo [28].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+3,2 % en 2026e (fijo): nueve meses −0,7 % y un 4T de ~9.000 M (+11 %) con las entregas a EE. UU. retrasadas en el 1S [7, 8]. Después, +24 % en 2027e y +18 % en 2028e, por debajo del consenso (+26 % y +21 %) [20]: la capacidad sube un 30 % en 2026 (Guanyin 3B) y la fábrica de Taichung entra en el 2T27, con una cartera de más de 30.000 M y visibilidad hasta 2029 [1, 11]. Luego +10 %, +6 %, +4 % y +3 %: la escasez de transformadores en EE. UU. se cierra hacia 2028-2029 cuando entren las ampliaciones de los rivales [12, 18].</w:t>
      </w:r>
    </w:p>
    <w:p>
      <w:pPr>
        <w:keepNext/>
        <w:spacing w:after="100"/>
      </w:pPr>
      <w:r>
        <w:rPr>
          <w:b/>
          <w:bCs/>
        </w:rPr>
        <w:t xml:space="preserve">Márgenes.</w:t>
      </w:r>
    </w:p>
    <w:p>
      <w:pPr>
        <w:spacing w:after="100"/>
      </w:pPr>
      <w:r>
        <w:t xml:space="preserve">Margen EBITDA del 24 % en 2026e (24,1 % en el 1S26) y del 24,5 % en 2027e-2028e, frente al 22,9 % de 2025 [2, 5]. Desde 2029 baja al 18 % en 2032e: es un fabricante de transformadores en el pico de ciclo, con un margen bruto del 43,55 % que hace cuatro años era del 16 %, y suponemos que conserva parte de la mejora (exportación, escala) pero no toda [4, 6]. El 18 % queda entre Hyosung (14 %) y HD Hyundai (27,5 %) [17].</w:t>
      </w:r>
    </w:p>
    <w:p>
      <w:pPr>
        <w:keepNext/>
        <w:spacing w:after="100"/>
      </w:pPr>
      <w:r>
        <w:rPr>
          <w:b/>
          <w:bCs/>
        </w:rPr>
        <w:t xml:space="preserve">Inversión y circulante.</w:t>
      </w:r>
    </w:p>
    <w:p>
      <w:pPr>
        <w:spacing w:after="100"/>
      </w:pPr>
      <w:r>
        <w:t xml:space="preserve">Capex del 8 % de las ventas en 2026e (896 M en el 1S26 más el resto de Guanyin 3B y Taichung), 6 % en 2027e, 4,5 % en 2028e y 3 % al final, por encima de la amortización (del 2 % al 2,5 %, que sube con los derechos de uso de Taichung) [2, 5]. El capex incluye las altas de derechos de uso (NIIF 16): en 2025 entraron ~1.580 M de suelo arrendado sin pasar por caja. Circulante del 15 % de las ventas (el de 2025) hasta 2028e y subida al 18 % en 2031e porque los anticipos de clientes (38 % de las ventas hoy) se reducirán cuando los plazos de entrega se acorten [2].</w:t>
      </w:r>
    </w:p>
    <w:p>
      <w:pPr>
        <w:keepNext/>
        <w:spacing w:after="100"/>
      </w:pPr>
      <w:r>
        <w:rPr>
          <w:b/>
          <w:bCs/>
        </w:rPr>
        <w:t xml:space="preserve">Coste del capital.</w:t>
      </w:r>
    </w:p>
    <w:p>
      <w:pPr>
        <w:spacing w:after="100"/>
      </w:pPr>
      <w:r>
        <w:t xml:space="preserve">Todo en TWD. Tasa libre: bono de Taiwán a 10 años al 2,03 % (16-oct-2026) [23]. Beta de 1,1, entre la mensual a cinco años (0,95) y la semanal a dos años (1,19) [21]. Prima de mercado del 5,5 % y prima adicional de 1 punto por riesgo país (el estrecho de Taiwán) y por la concentración de clientes. Coste de la deuda del 2,5 % antes de impuestos y peso de la deuda del 2 % (caja neta). WACC del 8,94 %; con la prima implícita del mercado (4,20 %), 7,54 % [24].</w:t>
      </w:r>
    </w:p>
    <w:p>
      <w:pPr>
        <w:keepNext/>
        <w:spacing w:after="100"/>
      </w:pPr>
      <w:r>
        <w:rPr>
          <w:b/>
          <w:bCs/>
        </w:rPr>
        <w:t xml:space="preserve">Valor terminal.</w:t>
      </w:r>
    </w:p>
    <w:p>
      <w:pPr>
        <w:spacing w:after="100"/>
      </w:pPr>
      <w:r>
        <w:t xml:space="preserve">Gordon con crecimiento del 1,5 % en TWD, medio punto por debajo de la tasa libre (2,03 %), coherente con la inflación de Taiwán y un mercado de transformadores que crece por encima del PIB [15]. El valor terminal pesa el 65 %. El múltiplo de salida implícito es de 8,4 veces el EBITDA, bajo frente a las 14-16 veces de las compras del sector [18, 26]; con 12 veces de salida el terminal sería un 43 % mayor y el DCF seguiría muy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9.001 M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(ROIC 51,6 %)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 frente al 9,7 %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 (histórico: 212,5 %)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(hoy: 1,2 %)</w:t>
            </w:r>
          </w:p>
        </w:tc>
      </w:tr>
    </w:tbl>
    <w:p>
      <w:pPr>
        <w:spacing w:after="160" w:before="0"/>
      </w:pPr>
    </w:p>
    <w:p>
      <w:pPr>
        <w:spacing w:after="100"/>
      </w:pPr>
      <w:r>
        <w:t xml:space="preserve">La proyección reinvierte el 23 % del NOPAT. Con el ROIC del último ejercicio (51,6 %), eso financia un crecimiento del 11,7 % anual, frente al 9,7 % de ingresos proyectado. Supone que el capital nuevo rinde un 16,7 %, frente a un ROIC incremental histórico del 212,5 %; la cuota de mercado pasaría al 1,5 % desde el 1,2 %.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por los retrasos de entregas a EE. UU.; precio y mezcla +5,2 % (más transformadores de potencia de exportación, margen bruto +5 puntos)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+20 % con Guanyin 3B a pleno (+30 % de capacidad) y las entregas retrasadas; precio +4 % por pedidos firmados en 2024-2025 [1,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+16 % con la fábrica de Taichung (muy alta tensión) desde el 2T27; precio +2 %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+10 % al llenar Taichung; precio plano al entrar la capacidad nueva de los rivales en EE. UU.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+8 % y precio −2 %: primera bajada de precios del ciclo [14].</w:t>
            </w:r>
          </w:p>
        </w:tc>
      </w:tr>
    </w:tbl>
    <w:p>
      <w:pPr>
        <w:spacing w:after="160" w:before="0"/>
      </w:pPr>
    </w:p>
    <w:p>
      <w:pPr>
        <w:spacing w:after="100"/>
      </w:pPr>
      <w:r>
        <w:t xml:space="preserve">Sí. La proyección reinvierte el 23 % del NOPAT: al ROIC de 2025 (51,6 %) financia un 11,7 % de crecimiento anual, por encima del 9,7 % proyectado, y supone que el capital nuevo rinde solo un 16,7 %, muy por debajo del incremental histórico. La cuota pasa del 1,2 % al 1,5 % del mercado mundial en 2030, dentro del límite. El poder de precios está demostrado en este ciclo (margen bruto +25 puntos en cuatro años) y el crecimiento se apoya en capacidad física financiada y en una cartera firmada hasta 2029 [1, 2]. El riesgo no es de financiación sino de precio: por eso el margen baja desde 2029.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48 % justifica el precio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(WACC: 8,9 %)</w:t>
            </w:r>
          </w:p>
        </w:tc>
      </w:tr>
    </w:tbl>
    <w:p>
      <w:pPr>
        <w:spacing w:after="160" w:before="0"/>
      </w:pPr>
    </w:p>
    <w:p>
      <w:pPr>
        <w:spacing w:after="100"/>
      </w:pPr>
      <w:r>
        <w:t xml:space="preserve">El DCF da 183,70 TWD por acción, un 72,0 % por debajo del precio de 656 TWD, con el valor terminal en el 65 %. Con la prima implícita del mercado (WACC del 7,54 %) sale 225,69. El DCF inverso no encuentra solución: ni un margen EBITDA del 48 % (el nuestro final es del 18 %) ni un crecimiento razonable justifican el precio, que solo rinde un 3,6 % anual frente a un WACC del 8,94 %. Dicho de otra forma: el precio de hoy descuenta que el margen de pico de ciclo dura para siempre y que el crecimiento de dos dígitos sigue muchos años, algo que ningún fabricante de transformadores ha conseguido; en 2021-2022 Fortune ganaba un margen del 4-6 % [4]. El DCF es muy conservador para un negocio en auge, pero la distancia es demasiado grande para atribuirla a los supuestos.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ampliaciones de los rivales y el fin de la escasez en EE. UU. llegan antes: en 2028 las ventas caen un 5 % y el margen EBITDA baja al 18,5 %, como en el ciclo anterior cuando los precios se hundieron tras el auge de 2005-2008. Después el margen queda 3 puntos por debajo del base por aranceles y competencia coreana con fábricas en EE. UU.</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cumplen las ampliaciones: ventas de 36.879 M TWD en 2028 con margen EBITDA del 24,5 %, y después normalización hacia el 18 % con crecimiento del 3-10 %.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de IA y la red de EE. UU. mantienen la escasez hasta 2030: ventas 3 puntos por encima del base cada año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TWD) · precio actual 65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168,58 TWD (-74,3 %).</w:t>
      </w:r>
    </w:p>
    <w:p>
      <w:pPr>
        <w:spacing w:after="100"/>
      </w:pPr>
      <w:r>
        <w:t xml:space="preserve">La asimetría es muy negativa en valor intrínseco: el alcista vale 222,90 TWD (−66,0 %) y el bajista 107,16 (−83,7 %); hasta el caso bueno queda muy por debajo de la cotización, porque el precio pide más que nuestro alcista. El bajista es verosímil: los transformadores ya han tenido ciclos largos de precios a la baja y Fortune ganaba un margen del 4-6 % hace cuatro años [4]. Lo que no podemos medir es cuánto aguanta la escasez en EE. UU.: si dura hasta 2030 el alcista se queda corto, pero ni así se acerca al precio.</w:t>
      </w:r>
    </w:p>
    <w:p>
      <w:pPr>
        <w:pStyle w:val="Heading1"/>
      </w:pPr>
      <w:r>
        <w:t xml:space="preserve">22. Suma de partes</w:t>
      </w:r>
    </w:p>
    <w:p>
      <w:pPr>
        <w:pStyle w:val="Confianza"/>
        <w:spacing w:after="100"/>
      </w:pPr>
      <w:r>
        <w:t xml:space="preserve">Confianza: Media</w:t>
      </w:r>
    </w:p>
    <w:p>
      <w:pPr>
        <w:spacing w:after="100"/>
      </w:pPr>
      <w:r>
        <w:t xml:space="preserve">No aplica: el segmento eléctrico es el 94 % de las ventas y casi todo el resultado; la obra llave en mano (1.390 M de ventas y 91 M de resultado en 2025) y las filiales ajenas al negocio (recarga, hidrógeno, centro comercial) son demasiado pequeñas para cambiar el valor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TWD) · precio actual 65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231,40 TWD (-64,7 % sobre 656,00).</w:t>
      </w:r>
    </w:p>
    <w:p>
      <w:pPr>
        <w:spacing w:after="100"/>
      </w:pPr>
      <w:r>
        <w:t xml:space="preserve">Pesos: DCF 40 %, escenarios 40 % y comparables 20 %; sin transacciones (compras de control a 14-16 veces el EBITDA que no aplican a una empresa controlada por la familia) ni suma de partes. Todos los métodos de valor quedan por debajo del precio: DCF 183,70 TWD, escenarios ponderados en torno a 160, comparables por PER 358-536 y por EV/EBITDA 285-377, transacciones 165-309. La síntesis da un valor intrínseco de 231,40 TWD (−64,7 %); con la prima implícita del mercado, 263,33. La recomendación la decide la regla a 12 meses (ponderada −7,1 %, base +13,6 %): Mantener.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(39.2x) a mitad de camino hacia abajo, hacia la mediana de 5 años (36.6x)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r>
    </w:tbl>
    <w:p>
      <w:pPr>
        <w:spacing w:after="160" w:before="0"/>
      </w:pPr>
    </w:p>
    <w:p>
      <w:pPr>
        <w:spacing w:after="100"/>
      </w:pPr>
      <w:r>
        <w:rPr>
          <w:b/>
          <w:bCs/>
        </w:rPr>
        <w:t xml:space="preserve">Objetivo a 12 meses (ponderado):</w:t>
      </w:r>
      <w:r>
        <w:t xml:space="preserve"> 599,58 TWD · rentabilidad -7,1 % (base +13,6 %) · señal Mantener.</w:t>
      </w:r>
    </w:p>
    <w:p>
      <w:pPr>
        <w:spacing w:after="100"/>
      </w:pPr>
      <w:r>
        <w:t xml:space="preserve">Para comparar, con la regla v2 (historia al cierre, mismo precio): 33,1x / 37,7x / 41,8x, 2,0 % Mantener. Decide la v3 con tope ×1,1, elegida por el selector de método (historia adelantada de 3 años: decide la más baja de v3 y v2 (v3); METODO-VIGENTE.md).</w:t>
      </w:r>
    </w:p>
    <w:p>
      <w:pPr>
        <w:keepNext/>
        <w:spacing w:after="100"/>
      </w:pPr>
      <w:r>
        <w:rPr>
          <w:b/>
          <w:bCs/>
        </w:rPr>
        <w:t xml:space="preserve">Frente al consenso (solo contraste).</w:t>
      </w:r>
    </w:p>
    <w:p>
      <w:pPr>
        <w:spacing w:after="100"/>
      </w:pPr>
      <w:r>
        <w:t xml:space="preserve">Nuestro BPA de 2028e (19,40 TWD) queda un 23 % por debajo del consenso de FactSet pasado a la base nueva (25,22): ventas un 11 % más bajas (36.879 frente a 41.490 M) por un 2026 casi plano y un margen neto del 18,2 % frente al ~21 % que implica el consenso [20]. La diferencia es de margen: el consenso extrapola el margen bruto del 1S26; nosotros lo mantenemos y empezamos a bajarlo en 2029. Nuestro base a 12 meses (735,26 TWD) queda un 14,9 % por debajo del objetivo medio (863,64) [20].</w:t>
      </w:r>
    </w:p>
    <w:p>
      <w:pPr>
        <w:keepNext/>
        <w:spacing w:after="100"/>
      </w:pPr>
      <w:r>
        <w:rPr>
          <w:b/>
          <w:bCs/>
        </w:rPr>
        <w:t xml:space="preserve">Del valor intrínseco al objetivo a 12 meses.</w:t>
      </w:r>
    </w:p>
    <w:p>
      <w:pPr>
        <w:spacing w:after="100"/>
      </w:pPr>
      <w:r>
        <w:t xml:space="preserve">El objetivo a 12 meses (599,58 TWD) queda muy por encima del valor intrínseco (231,40): la distancia es la prima que el mercado paga por el crecimiento y que el DCF no reconoce. El base (37,9 veces × 19,40 = 735,26, +13,6 % con dividendo) supone que el mercado sigue pagando cerca de su mediana corta; el bajista (19,9 veces, el PER adelantado de 2023, × 11,30 = 224,87) es lo que pasa si el ciclo gira, y pesa un 30 %. La ponderada es del −7,1 %: Mantener, y a solo un 3 % de la zona de venta (677,31).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tras el 43,55 % del 1S y cartera de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de octubre a diciembre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Confirmarían o no un 4T de ~9.000 M y el 2S mejor que el 1S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Guanyin 3B a pleno y fábrica de Taichung (2T27)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+30 % y después el doble en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sobre equipos de Taiwán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coste compartido o exención para equipos de red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capacidad nueva de Hitachi, Siemens, Prolec y coreanos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y plazos de entrega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dividendo de 2026 y renovación del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del ~1,5-2 %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escasez de transformadores y normalización de precios y márgenes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(escenario bajista: 107,16 frente a 183,70 TWD); −66 % a 12 meses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firmada hasta 2029 con anticipos y cláusulas de arancel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Plazos de entrega en EE. UU. por debajo de 2 años o pedidos nuevos por debajo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39 veces el BPA de 2027e y DCF inverso sin solución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hasta el valor intrínseco; −9 % hasta el objetivo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operativo.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recortes del consenso tras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(tres clientes, 49 % de las ventas) y clientes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un cliente de exportación cancela o aplaza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Taipower como primer cliente y homologaciones en varias eléctricas de EE. UU.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peso de los clientes B o C o más retrasos de entregas.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de Taiwán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2 puntos de margen menos de forma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arancel en contratos nuevos; en los enviados comparte el 30-40 %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gastos comerciales por encima del 15 %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tensión en el estrecho de Taiwán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grave: todas las fábricas están en Taiwán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no tiene fábricas fuera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Bloqueos o sanciones que afecten al transporte marítimo.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familiar y proyectos ajenos al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(capital en centro comercial, recarga e hidrógeno)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pequeños frente al grupo; 4 independientes en la comisión de auditoría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capital a Fortune Nev o nuevas filiales fuera de la red eléctrica.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la ampliación (Guanyin 3B y Taichung)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−6 % si el crecimiento de 2027e se queda en el 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Financiada con caja propia y anticipos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Retrasos en la puesta en marcha de Taichung más allá del 2T27.</w:t>
            </w:r>
          </w:p>
        </w:tc>
      </w:tr>
    </w:tbl>
    <w:p>
      <w:pPr>
        <w:spacing w:after="160" w:before="0"/>
      </w:pPr>
    </w:p>
    <w:p>
      <w:pPr>
        <w:pStyle w:val="Heading2"/>
      </w:pPr>
      <w:r>
        <w:t xml:space="preserve">Pre-mortem</w:t>
      </w:r>
    </w:p>
    <w:p>
      <w:pPr>
        <w:spacing w:after="100"/>
      </w:pPr>
      <w:r>
        <w:t xml:space="preserve">Octubre de 2028: la acción vale la mitad. En 2027 las ventas crecieron con Guanyin 3B, pero a finales de año los rivales coreanos y los grandes europeos abrieron fábricas en EE. UU., los plazos de entrega bajaron de tres años a uno y las eléctricas dejaron de pagar anticipos. Los pedidos nuevos de Fortune se firmaron a precios un 15 % más bajos, el margen bruto volvió al 30 % y el consenso, que esperaba 25 TWD de BPA para 2028, bajó a 15. El mercado dejó de pagar 40 veces y pasó a pagar 20, como en 2023. La señal estaba en 2026: ventas planas pese a la cartera y recortes del consenso del 22 %.</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Positivo · </w:t>
      </w:r>
      <w:r>
        <w:rPr>
          <w:b/>
          <w:bCs/>
        </w:rPr>
        <w:t xml:space="preserve">Efecto en valor (3-5 años):</w:t>
      </w:r>
      <w:r>
        <w:t xml:space="preserve"> +10 % / −25 % a 3-5 años</w:t>
      </w:r>
    </w:p>
    <w:p>
      <w:pPr>
        <w:spacing w:after="100"/>
      </w:pPr>
      <w:r>
        <w:t xml:space="preserve">La IA toca a Fortune por la demanda, no por la sustitución: unos 22.000 M TWD de su cartera están ligados a centros de datos de IA en EE. UU. (incluido Stargate) y son la parte más rentable y la que sostiene la prima del precio [6, 11]. No hay riesgo de que la IA sustituya un transformador. El riesgo es el contrario: que el ciclo de inversión en centros de datos frene o se retrase por falta de energía, y que el mercado deje de ver a Fortune como un valor de IA. Con la acción cotizando como tal, un frenazo del capex de IA costaría bastante más que su peso en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eficiencia de los transformadores (las pérdidas en la red) y el acero y el cobre que consumen, y la seguridad en fábricas y obras [1]. Fortune vende a renovables y a la red, lo que le da un perfil favorable en la transición energética; publica informe de sostenibilidad conforme a las normas de la bolsa de Taiwán [1].</w:t>
      </w:r>
    </w:p>
    <w:p>
      <w:pPr>
        <w:pStyle w:val="Heading2"/>
      </w:pPr>
      <w:r>
        <w:t xml:space="preserve">Controversias</w:t>
      </w:r>
    </w:p>
    <w:p>
      <w:pPr>
        <w:spacing w:after="100"/>
      </w:pPr>
      <w:r>
        <w:t xml:space="preserve">No hemos encontrado sanciones, litigios relevantes ni accidentes graves en los últimos tres años en el informe anual ni en la prensa revisada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hoy la cartera de pedidos total, a qué margen bruto se firmó la de 2026 y qué parte tiene precio revisable?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de 2027-2028 puede mantenerse en el 24,5 %.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retrasos de entregas a EE. UU. del 1S26 se recuperan en el 4T26 o pasan 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nuestro 2026e y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2026 lleva cláusula de arancel y cuánto costó el arancel compartido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gastos comerciales casi se duplicaron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en MVA añaden Guanyin 3B y Taichung y con qué ocupación arranca Taichung?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+24 % y +18 %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¿Quiénes son los clientes B y C y qué duración tienen sus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son casi la mitad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capital más irá al centro comercial (Fortune Nev), la recarga y el hidrógeno?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capital fuera del negocio que crea el valor.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(hilos de resultados y ventas)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del 1T26 (3,29 TWD en la base antigua) y las ventas de abril se leen como «crecimiento que se frena»; unos ven la cartera de centros de datos y otros la valoración de 50 veces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(hilos de 2025-2026)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pico (enero de 2026, máximos tras las palabras de Jensen Huang sobre energía para la IA) el tono era de euforia «重電 = IA»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Anue y prensa económica taiwanesa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BPA de FactSet (−22 % desde mayo), ventas planas en el 3T26 y retrasos en EE. UU.; la prensa sigue destacando la cartera de pedidos [7,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 eléctricos pesados como valor de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la cartera ligada a centros de datos es de ~22.000 M TWD, pero 2026 trae ventas planas [7,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multiplicar por 25 desde 2022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DCF; el PER adelantado ronda las 39 veces nuestro BPA de 2027e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Retrasos de entregas y aranceles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Confirmado por la empresa en el 1S26; la cartera sigue firmada [7].</w:t>
            </w:r>
          </w:p>
        </w:tc>
      </w:tr>
    </w:tbl>
    <w:p>
      <w:pPr>
        <w:spacing w:after="160" w:before="0"/>
      </w:pPr>
    </w:p>
    <w:p>
      <w:pPr>
        <w:spacing w:after="100"/>
      </w:pPr>
      <w:r>
        <w:t xml:space="preserve">El debate de particulares en PTT fue eufórico hasta el máximo de febrero de 2026 (1.014 TWD ajustado) y desde entonces se ha vuelto dividido, con la valoración y el freno de las ventas como temas centrales [30, 31]. La prensa económica recoge los recortes de FactSet y las ventas planas del 3T26, y trata a Fortune como el líder del grupo de equipos eléctricos pesados junto a Shihlin, Chung-Hsin y Allis [7, 20, 32]. Con la acción un 33 % por debajo del máximo y por debajo de su media de 200 sesiones, el sentimiento ha girado pero no es de capitulación: los analistas siguen todos en compra [20]. No añade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34 (10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No hay crecimiento razonable ni margen EBITDA por debajo del 48 % que justifique 656 TWD con un WACC del 8,94 % y un crecimiento terminal del 1,5 % en TWD: el precio solo rinde un 3,6 % anual. El supuesto que más pesa es la normalización del margen al 18 % desde 2030, propia de un fabricante de transformadores fuera del pico de ciclo (el margen fue del 5-7 % en 2021-2022) [2, 4]. No es un error del modelo: el mercado paga un múltiplo de crecimiento que el DCF no reconoce.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16,7 % frente a un ROIC de 51,6 % y un incremental histórico de 212,5 %: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1,5 % en 2030e frente al 1,2 %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15,7 % real: genera una variación de circulante de -58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semestrales (dan la amortización solo por semestre); 2) Stock Analysis (sin EBITDA trimestral fiable); 3) prensa (comparan con el año anterior, no con 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del 2T26 (préstamos bancarios a corto y un largo de 130 M sin calendario detallado); 2) informe anual (sin tabla de vencimientos); 3) MOPS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 Deloitte como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(socios firmantes, no el año de entrada); 2) estados 2021-2025 (Deloitte en todos); 3) MOPS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del mercado mundial de transformadores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(solo cuotas en Taiwán); 2) notas de prensa de GlobalData y MarketsandMarkets (sin cuotas); 3) Wood Mackenzie (sin cuotas públicas)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tamaño del mercado de transformadores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GlobalData (solo 2030 y APAC 2024); 2) MarketsandMarkets (solo potencia 2025-2030); 3) Grand View Research (cifras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notas externas); 2) webs de MSCI y Sustainalytics (requieren registro); 3) prensa taiwanesa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(Taiwán no vota informe de remuneración); 2) actas de junta en MOPS (bloqueado);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entrada de cada directivo en el 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(fechas de elección del consejo de 2023, no de los cargos ejecutivos); 2) web de la empresa (bloqueada por Incapsula);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VE/EBITDA de 12 meses pasados); 2) Yahoo (limitado por exceso de consultas); 3) MarketScreener (de pago por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EBIT y DPA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FactSet vía Anue (solo BPA, ventas y objetivo); 2) Stock Analysis (BPA y ventas); 3) MarketScreener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TWSE (datos de préstamo de valores bloqueados por exceso de consultas); 2) Stock Analysis (sin dato);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Fortune en el ciclo bajo anterior (2009-2018)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2021-2025 (empiezan en 2020); 2) MOPS (bloqueado por exceso de consultas); 3) Stock Analysis (cuentas anuales desde 2016 sin desglose fiable de márgenes)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Annual Report (inglés): actividad, ventas por producto y destino, cuotas de mercado, capacidad, clientes principales, plantilla y plan de inversiones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Fortune Electric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https://doc.twse.com.tw/pdf/2025_1519_20260612FE4.pdf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2025 and 2024 with Independent Auditors’ Report (Deloitte; inglés): cuenta, balance, flujos, segmentos, clientes principales, arrendamientos y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Fortune Electric Co., Ltd. (MOPS /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https://doc.twse.com.tw/server-java/t57sb01?step=9&amp;kind=A&amp;co_id=1519&amp;filename=202504_1519_AIA.pdf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2023 and 2022 (Deloitte; inglés)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Electric Co., Ltd. (MOPS /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https://doc.twse.com.tw/server-java/t57sb01?step=9&amp;kind=A&amp;co_id=1519&amp;filename=202304_1519_AIA.pdf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2022 and 2021 (Deloitte; inglés): pérdida de control de Fortune Electric Value y plusvalía de 468,3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Electric Co., Ltd. (MOPS /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https://doc.twse.com.tw/server-java/t57sb01?step=9&amp;kind=A&amp;co_id=1519&amp;filename=202204_1519_AIA.pdf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合併財務報告 115年第2季 (estados consolidados a 30-jun-2026, revisión limitada de Deloitte; chino): balance, cuenta, flujos, segmentos, dividendo a pagar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Electric Co., Ltd. (MOPS / TWSE)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https://doc.twse.com.tw/server-java/t57sb01?step=9&amp;kind=A&amp;co_id=1519&amp;filename=202602_1519_AI1.pdf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華城 2026上半年財報解析 (margen bruto del 1S26 del 43,55 %, retrasos de entregas a EE. UU., 2S mejor que el 1S)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UAnalyze (優分析)</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https://uanalyze.com.tw/articles/7254553096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華城 9月營收 (ventas de septiembre de 2.028,5 M TWD, +7,2 %; tercer trimestre +2,8 %)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Anue 鉅亨網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https://news.cnyes.com/news/id/6628415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華城 (1519) 每月營收: serie mensual de ventas 2024-2026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HiStock 嗨投資</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https://histock.tw/stock/1519/%E6%AF%8F%E6%9C%88%E7%87%9F%E6%94%B6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Electric (TPE: 1519): cuenta trimestral 3T24-2T26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https://stockanalysis.com/quote/tpe/1519/financials/?p=quarterly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華城 2025年報解析 (exportación del 55 % de las ventas, gastos comerciales por aranceles, Stargate)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UAnalyze (優分析)</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https://uanalyze.com.tw/articles/8853548792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華城訂單滿手 產能將增3成 (ampliación de Guanyin 3B en 2026, +30 % de capacidad; fábrica de Taichung en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Yahoo奇摩股市</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https://tw.stock.yahoo.com/news/%E8%8F%AF%E5%9F%8E%E8%A8%82%E5%96%AE%E6%BB%BF%E6%89%8B-%E7%94%A2%E8%83%BD%E5%B0%87%E5%A2%9E3%E6%88%90-201000905.html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transformers and distribution transformers will face supply deficits of 30 % and 10 %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Wood Mackenzie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https://www.woodmac.com/press-releases/power-transformers-and-distribution-transformers-will-face-supply-deficits-of-30-and-10-in-2025/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transformer supply may fall sharply in 2025, says Wood Mackenzie (demanda +116 % y +41 % desde 2019; importaciones del 80 % y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pv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https://www.pv-magazine.com/2025/08/15/us-transformer-supply-may-fall-sharply-in-2025-says-wood-mackenzie/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transformer market faces severe bottlenecks (precios +45-95 % desde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Transformers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https://transformers-magazine.com/tm-news/us-transformer-market-faces-severe-bottlenecks/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Transformer Market worth 41,62 mil M USD by 2030 (30,38 mil M en 2025, +6,5 %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https://www.globenewswire.com/news-release/2025/09/29/3157392/0/en/Power-Transformer-Market-Size-Projected-to-Grow-41-62-billion-by-2030-MarketsandMarkets.html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transformers market to reach 89,34 mil M USD in 2030 (potencia 35,83 y distribución 53,51)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https://www.globaldata.com/media/power/global-transformers-market-to-reach-89-34-billion-in-2030-led-by-asia-pacific-forecasts-globaldata/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HD Hyundai Electric, Hyosung Heavy Industries, LS Electric, Hammond Power, WEG, Shihlin, Chung-Hsin, Allis y Siemens Energy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https://stockanalysis.com/quote/krx/267260/statistics/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 to fully acquire Prolec GE joint venture (ampliaciones de capacidad en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Prolec 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https://www.prolec.energy/news/ge-vernova-to-fully-acquire-prolec-ge-joint-venture/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Electric: propiedad de insiders e institucionales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https://stockanalysis.com/quote/tpe/1519/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華城 FactSet: consenso de BPA y objetivo (recortes desde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Anue 鉅亨網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https://news.cnyes.com/news/id/6614057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1519.TW, 0050.TW y 2308.TW hasta el 16-oct-2026 (rango, volumen, rentabilidades, betas y cierres de ejercicio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https://finance.yahoo.com/quote/1519.TW/history/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Electric (TPE: 1519): previsiones y recomendaciones (8 analistas: 5 compra fuerte, 3 compra; objetivo medio 873,26 TWD) y próxima fecha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https://stockanalysis.com/quote/tpe/1519/forecast/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10-Year Government Bond Yield: 2,03 %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(15-oct-2026: USD 1,1208; KRW 1.508,48; CAD 1,5923; BRL 5,6679 por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to acquire NSI Industries (8-K, Ex. 99.1): 3.000 M USD, ~15,5 veces 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https://www.sec.gov/Archives/edgar/data/48898/000119312526204099/d133302dex991.htm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Inc. to Acquire AEG Power Solutions (valor empresa de 365 M CAD; ventas de AEG de ~326 M CAD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https://americas.hammondpowersolutions.com/news/2026/february/hps-aeg-power-solutions-aquisition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to buy ABB’s Power Grids business (valor empresa de 11.000 M USD por el 100 %)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Process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https://processonline.com.au/content/business/news/hitachi-to-buy-abb-s-power-grids-business-612558250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 de Taiwán: cierres oficiales de 1519 y ex-derecho del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https://www.twse.com.tw/zh/trading/historical/stock-day.html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1519 華城 Q1 3.29 &amp; 4月營收 (hilo de PTT Stock, 33 empujes)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https://www.ptt.cc/bbs/Stock/M.1778560962.A.7F8.html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Búsqueda de 華城 en PTT Stock: hilos de ene-2026 («黃仁勳指AI需要更多能源 華城再創新高»), dic-2025 («AI資料中心訂單逾120億», 23 empujes) y sep-2025 (42 empujes)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https://www.ptt.cc/bbs/Stock/search?q=%E8%8F%AF%E5%9F%8E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重電股 (prensa sobre el grupo de equipos eléctricos pesados: 華城, 士電, 中興電, 亞力)</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Commercial Times (工商時報)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https://wantrich.chinatimes.com/news/20260311900004-420401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movimiento de 1519.TW (1, 3, 6 y 12 meses; medias de 50 y 200 sesiones; volatilidad de 60 sesiones; mayor subida y caída de un mes; caídas diarias de 5 % o más),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https://query1.finance.yahoo.com/v8/finance/chart/1519.TW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Yahoo奇摩股市: cotizaciones de 1519 del 12 al 16-oct-2026 (724, 663, 649 y 656 TWD) y del índice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Yahoo奇摩股市</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https://tw.stock.yahoo.com/quote/1519.TW</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84,1 %</w:t>
      </w:r>
      <w:r>
        <w:t xml:space="preserve"> · Secciones con menos del 60 % de campos cubiertos: </w:t>
      </w:r>
      <w:r>
        <w:rPr>
          <w:b/>
          <w:bCs/>
        </w:rPr>
        <w:t xml:space="preserve">capital, gobierno</w:t>
      </w:r>
      <w:r>
        <w:t xml:space="preserve"> · Generado el 16 oct 2026.</w:t>
      </w:r>
    </w:p>
    <w:p>
      <w:pPr>
        <w:pStyle w:val="Nota"/>
        <w:spacing w:after="100"/>
      </w:pPr>
      <w:r>
        <w:t xml:space="preserve">Cuentas en millones de TWD (NIIF adoptadas en Taiwán) sacadas de los estados auditados en inglés de 2021-2025 y del semestral de junio de 2026 en chino, porque Taiwán no publica XBRL utilizable desde aquí y MOPS y la web de la empresa bloquean la descarga automática [2, 3, 4, 5]. El BPA y el DPA de todos los años están reexpresados sobre 347,47 M de acciones (ampliación gratuita del 5-ago-2026) para compararlos con el precio de hoy, 656 TWD al cierre del 16-oct-2026 [21]. Los cierres de ejercicio de Yahoo están ajustados por las ampliaciones gratuitas. El consenso de FactSet lo da la prensa (Anue) y suponemos que su BPA está en la base anterior a la ampliación de agosto [20]. Los trimestres de 2024-2025 vienen de Stock Analysis [9].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Fortune Electric Co., Ltd. (華城電機股份有限公司) (1519)</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656,00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(528,18 – 1.013,64)</c:v>
                </c:pt>
                <c:pt idx="1">
                  <c:v>Comparables: PER NTM (358,46 – 535,70)</c:v>
                </c:pt>
                <c:pt idx="2">
                  <c:v>DCF (WACC y g ± 0,5) (165,48 – 207,49)</c:v>
                </c:pt>
                <c:pt idx="3">
                  <c:v>Escenarios (bajista – alcista) (107,16 – 222,90)</c:v>
                </c:pt>
                <c:pt idx="4">
                  <c:v>DCF con la prima implícita del mercado (4,2 %)</c:v>
                </c:pt>
                <c:pt idx="5">
                  <c:v>Precio actual (656,00)</c:v>
                </c:pt>
              </c:strCache>
            </c:strRef>
          </c:cat>
          <c:val>
            <c:numRef>
              <c:f>Hoja1!$B$2:$B$7</c:f>
              <c:numCache>
                <c:formatCode>#,##0</c:formatCode>
                <c:ptCount val="6"/>
                <c:pt idx="0">
                  <c:v>528.18</c:v>
                </c:pt>
                <c:pt idx="1">
                  <c:v>358.46</c:v>
                </c:pt>
                <c:pt idx="2">
                  <c:v>165.48</c:v>
                </c:pt>
                <c:pt idx="3">
                  <c:v>107.16</c:v>
                </c:pt>
                <c:pt idx="4">
                  <c:v>208.63</c:v>
                </c:pt>
                <c:pt idx="5">
                  <c:v>652.72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(528,18 – 1.013,64)</c:v>
                </c:pt>
                <c:pt idx="1">
                  <c:v>Comparables: PER NTM (358,46 – 535,70)</c:v>
                </c:pt>
                <c:pt idx="2">
                  <c:v>DCF (WACC y g ± 0,5) (165,48 – 207,49)</c:v>
                </c:pt>
                <c:pt idx="3">
                  <c:v>Escenarios (bajista – alcista) (107,16 – 222,90)</c:v>
                </c:pt>
                <c:pt idx="4">
                  <c:v>DCF con la prima implícita del mercado (4,2 %)</c:v>
                </c:pt>
                <c:pt idx="5">
                  <c:v>Precio actual (656,00)</c:v>
                </c:pt>
              </c:strCache>
            </c:strRef>
          </c:cat>
          <c:val>
            <c:numRef>
              <c:f>Hoja1!$C$2:$C$7</c:f>
              <c:numCache>
                <c:formatCode>#,##0</c:formatCode>
                <c:ptCount val="6"/>
                <c:pt idx="0">
                  <c:v>485.46000000000004</c:v>
                </c:pt>
                <c:pt idx="1">
                  <c:v>177.24000000000007</c:v>
                </c:pt>
                <c:pt idx="2">
                  <c:v>42.01000000000002</c:v>
                </c:pt>
                <c:pt idx="3">
                  <c:v>115.74000000000001</c:v>
                </c:pt>
                <c:pt idx="4">
                  <c:v>37.23000000000002</c:v>
                </c:pt>
                <c:pt idx="5">
                  <c:v>6.559999999999945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Equipos eléctricos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7241.7</c:v>
                </c:pt>
                <c:pt idx="1">
                  <c:v>12635.3</c:v>
                </c:pt>
                <c:pt idx="2">
                  <c:v>18814</c:v>
                </c:pt>
                <c:pt idx="3">
                  <c:v>23033.2</c:v>
                </c:pt>
              </c:numCache>
            </c:numRef>
          </c:val>
        </c:ser>
        <c:ser>
          <c:idx val="1"/>
          <c:order val="1"/>
          <c:tx>
            <c:strRef>
              <c:f>Hoja1!$C$1</c:f>
              <c:strCache>
                <c:ptCount val="1"/>
                <c:pt idx="0">
                  <c:v>Obra llave en mano</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509</c:v>
                </c:pt>
                <c:pt idx="1">
                  <c:v>1264.5</c:v>
                </c:pt>
                <c:pt idx="2">
                  <c:v>1388.8</c:v>
                </c:pt>
                <c:pt idx="3">
                  <c:v>1389.9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Equipos eléctricos</c:v>
                </c:pt>
                <c:pt idx="1">
                  <c:v>Obra llave en mano</c:v>
                </c:pt>
              </c:strCache>
            </c:strRef>
          </c:cat>
          <c:val>
            <c:numRef>
              <c:f>Hoja1!$B$2:$B$3</c:f>
              <c:numCache>
                <c:formatCode>General</c:formatCode>
                <c:ptCount val="2"/>
                <c:pt idx="0">
                  <c:v>94.3</c:v>
                </c:pt>
                <c:pt idx="1">
                  <c:v>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Taiwán</c:v>
                </c:pt>
                <c:pt idx="2">
                  <c:v>Resto de Asia</c:v>
                </c:pt>
                <c:pt idx="3">
                  <c:v>Otros</c:v>
                </c:pt>
              </c:strCache>
            </c:strRef>
          </c:cat>
          <c:val>
            <c:numRef>
              <c:f>Hoja1!$B$2:$B$5</c:f>
              <c:numCache>
                <c:formatCode>0"%"</c:formatCode>
                <c:ptCount val="4"/>
                <c:pt idx="0">
                  <c:v>58.8</c:v>
                </c:pt>
                <c:pt idx="1">
                  <c:v>40.1</c:v>
                </c:pt>
                <c:pt idx="2">
                  <c:v>1</c:v>
                </c:pt>
                <c:pt idx="3">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(transformadores de potencia y distribución,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2025e</c:v>
                </c:pt>
                <c:pt idx="1">
                  <c:v>2030e</c:v>
                </c:pt>
              </c:strCache>
            </c:strRef>
          </c:cat>
          <c:val>
            <c:numRef>
              <c:f>Hoja1!$B$2:$B$3</c:f>
              <c:numCache>
                <c:formatCode>#,##0</c:formatCode>
                <c:ptCount val="2"/>
                <c:pt idx="0">
                  <c:v>65200</c:v>
                </c:pt>
                <c:pt idx="1">
                  <c:v>89340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Fortune Electric</c:v>
                </c:pt>
                <c:pt idx="1">
                  <c:v>HD Hyundai Electric</c:v>
                </c:pt>
                <c:pt idx="2">
                  <c:v>Hyosung Heavy Industries</c:v>
                </c:pt>
                <c:pt idx="3">
                  <c:v>LS Electric</c:v>
                </c:pt>
                <c:pt idx="4">
                  <c:v>Hammond Power Solutions</c:v>
                </c:pt>
                <c:pt idx="5">
                  <c:v>Shihlin Electric</c:v>
                </c:pt>
                <c:pt idx="6">
                  <c:v>Chung-Hsin Electric &amp; Machinery</c:v>
                </c:pt>
                <c:pt idx="7">
                  <c:v>Allis Electric</c:v>
                </c:pt>
                <c:pt idx="8">
                  <c:v>Hitachi Energy / Siemens Energy / GE Vernova (Prolec GE)</c:v>
                </c:pt>
              </c:strCache>
            </c:strRef>
          </c:cat>
          <c:val>
            <c:numRef>
              <c:f>Hoja1!$B$2:$B$10</c:f>
              <c:numCache>
                <c:formatCode>0.0"%"</c:formatCode>
                <c:ptCount val="9"/>
                <c:pt idx="0">
                  <c:v>21.4</c:v>
                </c:pt>
                <c:pt idx="1">
                  <c:v>25.7</c:v>
                </c:pt>
                <c:pt idx="2">
                  <c:v>12.8</c:v>
                </c:pt>
                <c:pt idx="3">
                  <c:v>9.4</c:v>
                </c:pt>
                <c:pt idx="4">
                  <c:v>9.3</c:v>
                </c:pt>
                <c:pt idx="5">
                  <c:v>11.7</c:v>
                </c:pt>
                <c:pt idx="6">
                  <c:v>18.8</c:v>
                </c:pt>
                <c:pt idx="7">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9020.1</c:v>
                </c:pt>
                <c:pt idx="1">
                  <c:v>7750.7</c:v>
                </c:pt>
                <c:pt idx="2">
                  <c:v>13899.7</c:v>
                </c:pt>
                <c:pt idx="3">
                  <c:v>20202.8</c:v>
                </c:pt>
                <c:pt idx="4">
                  <c:v>24423.1</c:v>
                </c:pt>
                <c:pt idx="5">
                  <c:v>25205</c:v>
                </c:pt>
                <c:pt idx="6">
                  <c:v>31254</c:v>
                </c:pt>
                <c:pt idx="7">
                  <c:v>36879</c:v>
                </c:pt>
                <c:pt idx="8">
                  <c:v>40567</c:v>
                </c:pt>
                <c:pt idx="9">
                  <c:v>43001</c:v>
                </c:pt>
                <c:pt idx="10">
                  <c:v>44721</c:v>
                </c:pt>
                <c:pt idx="11">
                  <c:v>46063</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531.9</c:v>
                </c:pt>
                <c:pt idx="1">
                  <c:v>579.2</c:v>
                </c:pt>
                <c:pt idx="2">
                  <c:v>3026.1</c:v>
                </c:pt>
                <c:pt idx="3">
                  <c:v>5118.5</c:v>
                </c:pt>
                <c:pt idx="4">
                  <c:v>5584.7</c:v>
                </c:pt>
                <c:pt idx="5">
                  <c:v>6049</c:v>
                </c:pt>
                <c:pt idx="6">
                  <c:v>7657</c:v>
                </c:pt>
                <c:pt idx="7">
                  <c:v>9035</c:v>
                </c:pt>
                <c:pt idx="8">
                  <c:v>9128</c:v>
                </c:pt>
                <c:pt idx="9">
                  <c:v>8815</c:v>
                </c:pt>
                <c:pt idx="10">
                  <c:v>8497</c:v>
                </c:pt>
                <c:pt idx="11">
                  <c:v>8291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15.6</c:v>
                </c:pt>
                <c:pt idx="1">
                  <c:v>20.5</c:v>
                </c:pt>
                <c:pt idx="2">
                  <c:v>31.2</c:v>
                </c:pt>
                <c:pt idx="3">
                  <c:v>36.6</c:v>
                </c:pt>
                <c:pt idx="4">
                  <c:v>40.5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5.9</c:v>
                </c:pt>
                <c:pt idx="1">
                  <c:v>7.5</c:v>
                </c:pt>
                <c:pt idx="2">
                  <c:v>21.8</c:v>
                </c:pt>
                <c:pt idx="3">
                  <c:v>25.3</c:v>
                </c:pt>
                <c:pt idx="4">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4.3</c:v>
                </c:pt>
                <c:pt idx="1">
                  <c:v>5.5</c:v>
                </c:pt>
                <c:pt idx="2">
                  <c:v>20.5</c:v>
                </c:pt>
                <c:pt idx="3">
                  <c:v>24.2</c:v>
                </c:pt>
                <c:pt idx="4">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3.2</c:v>
                </c:pt>
                <c:pt idx="1">
                  <c:v>10.8</c:v>
                </c:pt>
                <c:pt idx="2">
                  <c:v>18.5</c:v>
                </c:pt>
                <c:pt idx="3">
                  <c:v>21.2</c:v>
                </c:pt>
                <c:pt idx="4">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Hoja1!$A$2:$A$10</c:f>
              <c:strCache>
                <c:ptCount val="9"/>
                <c:pt idx="0">
                  <c:v>3T24</c:v>
                </c:pt>
                <c:pt idx="1">
                  <c:v>4T24</c:v>
                </c:pt>
                <c:pt idx="2">
                  <c:v>1T25</c:v>
                </c:pt>
                <c:pt idx="3">
                  <c:v>2T25</c:v>
                </c:pt>
                <c:pt idx="4">
                  <c:v>3T25</c:v>
                </c:pt>
                <c:pt idx="5">
                  <c:v>4T25</c:v>
                </c:pt>
                <c:pt idx="6">
                  <c:v>1T26</c:v>
                </c:pt>
                <c:pt idx="7">
                  <c:v>2T26</c:v>
                </c:pt>
                <c:pt idx="8">
                  <c:v>3T26 (solo ventas)</c:v>
                </c:pt>
              </c:strCache>
            </c:strRef>
          </c:cat>
          <c:val>
            <c:numRef>
              <c:f>Hoja1!$B$2:$B$10</c:f>
              <c:numCache>
                <c:formatCode>0.0"%"</c:formatCode>
                <c:ptCount val="9"/>
                <c:pt idx="4">
                  <c:v>8.9</c:v>
                </c:pt>
                <c:pt idx="5">
                  <c:v>13</c:v>
                </c:pt>
                <c:pt idx="6">
                  <c:v>7.6</c:v>
                </c:pt>
                <c:pt idx="7">
                  <c:v>-10.2</c:v>
                </c:pt>
                <c:pt idx="8">
                  <c:v>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101</c:v>
                </c:pt>
                <c:pt idx="2">
                  <c:v>65</c:v>
                </c:pt>
                <c:pt idx="3">
                  <c:v>69</c:v>
                </c:pt>
                <c:pt idx="4">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131</c:v>
                </c:pt>
                <c:pt idx="1">
                  <c:v>249</c:v>
                </c:pt>
                <c:pt idx="2">
                  <c:v>208</c:v>
                </c:pt>
                <c:pt idx="3">
                  <c:v>216</c:v>
                </c:pt>
                <c:pt idx="4">
                  <c:v>209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113</c:v>
                </c:pt>
                <c:pt idx="1">
                  <c:v>127</c:v>
                </c:pt>
                <c:pt idx="2">
                  <c:v>128</c:v>
                </c:pt>
                <c:pt idx="3">
                  <c:v>124</c:v>
                </c:pt>
                <c:pt idx="4">
                  <c:v>87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-543.9</c:v>
                </c:pt>
                <c:pt idx="1">
                  <c:v>649.3</c:v>
                </c:pt>
                <c:pt idx="2">
                  <c:v>4074.2000000000003</c:v>
                </c:pt>
                <c:pt idx="3">
                  <c:v>2880.7</c:v>
                </c:pt>
                <c:pt idx="4">
                  <c:v>4595.2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289.9</c:v>
                </c:pt>
                <c:pt idx="1">
                  <c:v>838.2</c:v>
                </c:pt>
                <c:pt idx="2">
                  <c:v>2577.3</c:v>
                </c:pt>
                <c:pt idx="3">
                  <c:v>4286</c:v>
                </c:pt>
                <c:pt idx="4">
                  <c:v>4419.4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c:v>
                </c:pt>
                <c:pt idx="1">
                  <c:v>5.9</c:v>
                </c:pt>
                <c:pt idx="2">
                  <c:v>41.1</c:v>
                </c:pt>
                <c:pt idx="3">
                  <c:v>64.6</c:v>
                </c:pt>
                <c:pt idx="4">
                  <c:v>51.6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22</c:v>
                </c:pt>
                <c:pt idx="2">
                  <c:v>50.7</c:v>
                </c:pt>
                <c:pt idx="3">
                  <c:v>58.3</c:v>
                </c:pt>
                <c:pt idx="4">
                  <c:v>45.9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4.88</c:v>
                </c:pt>
                <c:pt idx="1">
                  <c:v>3.96</c:v>
                </c:pt>
                <c:pt idx="2">
                  <c:v>-0.37</c:v>
                </c:pt>
                <c:pt idx="3">
                  <c:v>-0.37</c:v>
                </c:pt>
                <c:pt idx="4">
                  <c:v>-0.34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(TWD,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2026-27 (corto plazo)</c:v>
                </c:pt>
                <c:pt idx="1">
                  <c:v>2027 en adelante (largo plazo)</c:v>
                </c:pt>
              </c:strCache>
            </c:strRef>
          </c:cat>
          <c:val>
            <c:numRef>
              <c:f>Hoja1!$B$2:$B$3</c:f>
              <c:numCache>
                <c:formatCode>#,##0</c:formatCode>
                <c:ptCount val="2"/>
                <c:pt idx="0">
                  <c:v>560</c:v>
                </c:pt>
                <c:pt idx="1">
                  <c:v>130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339.4</c:v>
                </c:pt>
                <c:pt idx="1">
                  <c:v>261.1</c:v>
                </c:pt>
                <c:pt idx="2">
                  <c:v>652.6</c:v>
                </c:pt>
                <c:pt idx="3">
                  <c:v>1566.4</c:v>
                </c:pt>
                <c:pt idx="4">
                  <c:v>2584.5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4</c:v>
                </c:pt>
                <c:pt idx="1">
                  <c:v>2</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Familia Hsu (directo, cónyuges y sociedades)</c:v>
                </c:pt>
                <c:pt idx="1">
                  <c:v>Hua Cheng Investment (dentro de la familia)</c:v>
                </c:pt>
                <c:pt idx="2">
                  <c:v>Chun Sheng Fa Investment</c:v>
                </c:pt>
              </c:strCache>
            </c:strRef>
          </c:cat>
          <c:val>
            <c:numRef>
              <c:f>Hoja1!$B$2:$B$4</c:f>
              <c:numCache>
                <c:formatCode>0.0"%"</c:formatCode>
                <c:ptCount val="3"/>
                <c:pt idx="0">
                  <c:v>45</c:v>
                </c:pt>
                <c:pt idx="1">
                  <c:v>9.22</c:v>
                </c:pt>
                <c:pt idx="2">
                  <c:v>4.41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22.1</c:v>
                </c:pt>
                <c:pt idx="2">
                  <c:v>-7.9</c:v>
                </c:pt>
                <c:pt idx="3">
                  <c:v>56.1</c:v>
                </c:pt>
                <c:pt idx="4">
                  <c:v>75.9</c:v>
                </c:pt>
                <c:pt idx="5">
                  <c:v>-22.6</c:v>
                </c:pt>
                <c:pt idx="6">
                  <c:v>32.8</c:v>
                </c:pt>
                <c:pt idx="7">
                  <c:v>585.1</c:v>
                </c:pt>
                <c:pt idx="8">
                  <c:v>90.7</c:v>
                </c:pt>
                <c:pt idx="9">
                  <c:v>51.7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19.6</c:v>
                </c:pt>
                <c:pt idx="1">
                  <c:v>18.1</c:v>
                </c:pt>
                <c:pt idx="2">
                  <c:v>-4.9</c:v>
                </c:pt>
                <c:pt idx="3">
                  <c:v>33.5</c:v>
                </c:pt>
                <c:pt idx="4">
                  <c:v>31.1</c:v>
                </c:pt>
                <c:pt idx="5">
                  <c:v>21.9</c:v>
                </c:pt>
                <c:pt idx="6">
                  <c:v>-21.2</c:v>
                </c:pt>
                <c:pt idx="7">
                  <c:v>27.5</c:v>
                </c:pt>
                <c:pt idx="8">
                  <c:v>48.6</c:v>
                </c:pt>
                <c:pt idx="9">
                  <c:v>36.9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1">
                  <c:v>23.3</c:v>
                </c:pt>
                <c:pt idx="2">
                  <c:v>25.9</c:v>
                </c:pt>
                <c:pt idx="3">
                  <c:v>27.9</c:v>
                </c:pt>
                <c:pt idx="4">
                  <c:v>31.2</c:v>
                </c:pt>
                <c:pt idx="5">
                  <c:v>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31.2</c:v>
                </c:pt>
                <c:pt idx="1">
                  <c:v>31.2</c:v>
                </c:pt>
                <c:pt idx="2">
                  <c:v>31.2</c:v>
                </c:pt>
                <c:pt idx="3">
                  <c:v>31.2</c:v>
                </c:pt>
                <c:pt idx="4">
                  <c:v>31.2</c:v>
                </c:pt>
                <c:pt idx="5">
                  <c:v>31.2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Prolec GE (transformadores; 50 % restante)</c:v>
                </c:pt>
                <c:pt idx="1">
                  <c:v>NSI Industries (equipos y accesorios eléctricos)</c:v>
                </c:pt>
                <c:pt idx="2">
                  <c:v>AEG Power Solutions (electrónica de potencia y sistemas de alimentación)</c:v>
                </c:pt>
                <c:pt idx="3">
                  <c:v>ABB Power Grids (transformadores y redes)</c:v>
                </c:pt>
              </c:strCache>
            </c:strRef>
          </c:cat>
          <c:val>
            <c:numRef>
              <c:f>Hoja1!$B$2:$B$5</c:f>
              <c:numCache>
                <c:formatCode>0.0"x"</c:formatCode>
                <c:ptCount val="4"/>
                <c:pt idx="0">
                  <c:v>14.1</c:v>
                </c:pt>
                <c:pt idx="1">
                  <c:v>15.5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2871</c:v>
                </c:pt>
                <c:pt idx="1">
                  <c:v>3341</c:v>
                </c:pt>
                <c:pt idx="2">
                  <c:v>4739</c:v>
                </c:pt>
                <c:pt idx="3">
                  <c:v>4964</c:v>
                </c:pt>
                <c:pt idx="4">
                  <c:v>5003</c:v>
                </c:pt>
                <c:pt idx="5">
                  <c:v>4792</c:v>
                </c:pt>
                <c:pt idx="6">
                  <c:v>5097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21729</c:v>
                </c:pt>
                <c:pt idx="1">
                  <c:v>40882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656,00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107.16</c:v>
                </c:pt>
                <c:pt idx="1">
                  <c:v>183.7</c:v>
                </c:pt>
                <c:pt idx="2">
                  <c:v>222.9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656,00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(528,18 – 1.013,64)</c:v>
                </c:pt>
                <c:pt idx="1">
                  <c:v>Comparables: PER NTM (358,46 – 535,70)</c:v>
                </c:pt>
                <c:pt idx="2">
                  <c:v>DCF (WACC y g ± 0,5) (165,48 – 207,49)</c:v>
                </c:pt>
                <c:pt idx="3">
                  <c:v>Escenarios (bajista – alcista) (107,16 – 222,90)</c:v>
                </c:pt>
                <c:pt idx="4">
                  <c:v>DCF con la prima implícita del mercado (4,2 %)</c:v>
                </c:pt>
                <c:pt idx="5">
                  <c:v>Precio actual (656,00)</c:v>
                </c:pt>
              </c:strCache>
            </c:strRef>
          </c:cat>
          <c:val>
            <c:numRef>
              <c:f>Hoja1!$B$2:$B$7</c:f>
              <c:numCache>
                <c:formatCode>#,##0</c:formatCode>
                <c:ptCount val="6"/>
                <c:pt idx="0">
                  <c:v>528.18</c:v>
                </c:pt>
                <c:pt idx="1">
                  <c:v>358.46</c:v>
                </c:pt>
                <c:pt idx="2">
                  <c:v>165.48</c:v>
                </c:pt>
                <c:pt idx="3">
                  <c:v>107.16</c:v>
                </c:pt>
                <c:pt idx="4">
                  <c:v>208.63</c:v>
                </c:pt>
                <c:pt idx="5">
                  <c:v>652.72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(528,18 – 1.013,64)</c:v>
                </c:pt>
                <c:pt idx="1">
                  <c:v>Comparables: PER NTM (358,46 – 535,70)</c:v>
                </c:pt>
                <c:pt idx="2">
                  <c:v>DCF (WACC y g ± 0,5) (165,48 – 207,49)</c:v>
                </c:pt>
                <c:pt idx="3">
                  <c:v>Escenarios (bajista – alcista) (107,16 – 222,90)</c:v>
                </c:pt>
                <c:pt idx="4">
                  <c:v>DCF con la prima implícita del mercado (4,2 %)</c:v>
                </c:pt>
                <c:pt idx="5">
                  <c:v>Precio actual (656,00)</c:v>
                </c:pt>
              </c:strCache>
            </c:strRef>
          </c:cat>
          <c:val>
            <c:numRef>
              <c:f>Hoja1!$C$2:$C$7</c:f>
              <c:numCache>
                <c:formatCode>#,##0</c:formatCode>
                <c:ptCount val="6"/>
                <c:pt idx="0">
                  <c:v>485.46000000000004</c:v>
                </c:pt>
                <c:pt idx="1">
                  <c:v>177.24000000000007</c:v>
                </c:pt>
                <c:pt idx="2">
                  <c:v>42.01000000000002</c:v>
                </c:pt>
                <c:pt idx="3">
                  <c:v>115.74000000000001</c:v>
                </c:pt>
                <c:pt idx="4">
                  <c:v>37.23000000000002</c:v>
                </c:pt>
                <c:pt idx="5">
                  <c:v>6.559999999999945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