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Honeywell Aerospace Inc.</w:t>
      </w:r>
    </w:p>
    <w:p>
      <w:pPr>
        <w:spacing w:after="60"/>
        <w:rPr>
          <w:color w:val="52514E"/>
          <w:sz w:val="22"/>
          <w:szCs w:val="22"/>
        </w:rPr>
      </w:pPr>
      <w:r>
        <w:rPr>
          <w:color w:val="52514E"/>
          <w:sz w:val="22"/>
          <w:szCs w:val="22"/>
        </w:rPr>
        <w:t xml:space="preserve">HONA · Nasdaq Global Select Market · ISIN US43849R1059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163,11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185,99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+14,0 % (base +14,0 %)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164,68 USD · mercado 195,92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51.706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Honeywell Aerospace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HONA / US43849R1059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Aeroespacial y defensa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Phoenix, Arizona · 1914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https://www.honeywellaerospace.com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163,11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149,19 – 247,15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51.706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627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185,99 USD</w:t>
      </w:r>
      <w:r>
        <w:t xml:space="preserve"> frente a 163,11 · Rentabilidad a 12 meses </w:t>
      </w:r>
      <w:r>
        <w:rPr>
          <w:b/>
          <w:bCs/>
        </w:rPr>
        <w:t xml:space="preserve">+14,0 % (base +14,0 %)</w:t>
      </w:r>
      <w:r>
        <w:t xml:space="preserve"> · Valor intrínseco 164,68 USD · con la prima implícita del mercado: 195,92 (+20,1 %) · Alcista / bajista +5,2 % / -51,0 %</w:t>
      </w:r>
    </w:p>
    <w:p>
      <w:pPr>
        <w:spacing w:after="100"/>
      </w:pPr>
      <w:r>
        <w:rPr>
          <w:b/>
        </w:rPr>
        <w:t xml:space="preserve">La recomendación y por qué.</w:t>
      </w:r>
      <w:r>
        <w:t xml:space="preserve"> Mantener, con convicción media. El objetivo a 12 meses es de 185,99 USD (18,0 veces nuestro BPA de 2028 de 10,33 USD en el base), frente a un precio de 163,11: la rentabilidad ponderada es del 14,0 % y la del base también del 14,0 %, sin dividendo declarado. Queda a un punto del 15 % que exige la compra; el precio de compra es 161,73 USD, un 0,8 % por debajo del cierre. El valor intrínseco es de 164,68 USD (+1,0 %) y el objetivo medio de los 17 analistas, de 199,20, un 6,7 % por encima de nuestro base. La razón: un negocio de primera fila que ya ha caído un 34 %, pero con una deuda que amplifica el bajista. La convicción es media porque las dos reglas coinciden; subiría si el 3T (28-oct) confirma la guía y la caja del segundo semestre (1.000-1.500 M), y bajaría con otro recorte.</w:t>
      </w:r>
    </w:p>
    <w:p>
      <w:pPr>
        <w:spacing w:after="100"/>
      </w:pPr>
      <w:r>
        <w:rPr>
          <w:b/>
        </w:rPr>
        <w:t xml:space="preserve">El negocio.</w:t>
      </w:r>
      <w:r>
        <w:t xml:space="preserve"> Honeywell Aerospace tiene contenido propio en cerca del 90 % de la flota comercial y cobra durante décadas por repuestos certificados: la posventa comercial es el 44 % de las ventas y creció un 11 % en 2025 sin Flexjet [4, 5]. ROIC del 35,4 % en 2025 frente a un WACC del 9,74 % (25,69 puntos); normalizado como empresa independiente (licencia de la marca y gasto medioambiental medio), en torno al 30 %, con más de 20 puntos de diferencia. La prueba de sostenibilidad da </w:t>
      </w:r>
      <w:r>
        <w:rPr>
          <w:b/>
        </w:rPr>
        <w:t xml:space="preserve">Sí</w:t>
      </w:r>
      <w:r>
        <w:t xml:space="preserve">: el crecimiento proyectado (5,9 % anual) está por debajo del financiable con la reinversión actual (7,7 %) y del histórico (12,3 %), apoyado en el precio de los repuestos y una flota que crece un 3,2 % al año [9].</w:t>
      </w:r>
    </w:p>
    <w:p>
      <w:pPr>
        <w:spacing w:after="100"/>
      </w:pPr>
      <w:r>
        <w:rPr>
          <w:b/>
        </w:rPr>
        <w:t xml:space="preserve">Finanzas.</w:t>
      </w:r>
      <w:r>
        <w:t xml:space="preserve"> La escisión dejó a la empresa con 16.006 M de deuda (818 M de intereses al año), patrimonio negativo de 5.623 M y un pago de 15.087 M a Honeywell [2]. Deuda neta ajustada: 15.401 M, 3,7 veces el EBITDA. Con los intereses, el flujo libre baja de 3.201 M (2025) a unos 2.100-2.300 M. Rating BBB+/A-/A3 [5].</w:t>
      </w:r>
    </w:p>
    <w:p>
      <w:pPr>
        <w:spacing w:after="100"/>
      </w:pPr>
      <w:r>
        <w:rPr>
          <w:b/>
        </w:rPr>
        <w:t xml:space="preserve">Equipo y gobierno.</w:t>
      </w:r>
      <w:r>
        <w:t xml:space="preserve"> La dirección rebajó la guía de 2026 cinco semanas después de salir a bolsa (crecimiento orgánico del 7-9 % al 4-5 %) [3]: la credibilidad está por ganar. A favor, el presidente compró 998.400 USD en acciones a 156 USD [19]; en contra, consejo escalonado hasta 2030 y una demanda colectiva [21].</w:t>
      </w:r>
    </w:p>
    <w:p>
      <w:pPr>
        <w:spacing w:after="100"/>
      </w:pPr>
      <w:r>
        <w:rPr>
          <w:b/>
        </w:rPr>
        <w:t xml:space="preserve">Valoración.</w:t>
      </w:r>
      <w:r>
        <w:t xml:space="preserve"> El DCF da 142,07 USD (−12,9 %): el precio descuenta un crecimiento anual del 7,5 % (nuestro base: 5,9 %). Con la prima del mercado (4,2 %) el valor sería de 195,92 USD. Los comparables cotizan a 31,9 veces el beneficio adelantado (19,8 la empresa); ajustada por crecimiento, la regresión da 201,15 USD. El valor intrínseco pondera el DCF (50 %), los escenarios (30 %) y los comparables (20 %); sin comparables quedaría en 138,80. Sin historia de PER, el objetivo a 12 meses mantiene el múltiplo de hoy en el base.</w:t>
      </w:r>
    </w:p>
    <w:p>
      <w:pPr>
        <w:spacing w:after="100"/>
      </w:pPr>
      <w:r>
        <w:rPr>
          <w:b/>
        </w:rPr>
        <w:t xml:space="preserve">Riesgos y catalizadores.</w:t>
      </w:r>
      <w:r>
        <w:t xml:space="preserve"> El riesgo mayor es la combinación de ciclo y deuda: el bajista vale 79,87 USD (−51,0 %) con un año como 2020 (ventas del segmento −18 % [7]). Después, la cadena de suministro, que ya costó la guía, y el Gobierno de EE. UU. (26 % de las ventas [5]). El riesgo de la IA es bajo: la exposición es baja y el efecto, oportunidad en aviónica y mantenimiento predictivo. Catalizador próximo: resultados del 3T el 28-oct-2026 después del cierre [34].</w:t>
      </w:r>
    </w:p>
    <w:p>
      <w:pPr>
        <w:spacing w:after="100"/>
      </w:pPr>
      <w:r>
        <w:rPr>
          <w:b/>
        </w:rPr>
        <w:t xml:space="preserve">Qué cambiaría la decisión.</w:t>
      </w:r>
      <w:r>
        <w:t xml:space="preserve"> Compraríamos por debajo de 161,73 USD y venderíamos por encima de 206,65. Revisaríamos al alza con una guía de 2027 de crecimiento orgánico del 7 % o más, y a la baja con un flujo libre del segundo semestre por debajo de 1.000 M u otro recorte.</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185,99 USD</w:t>
      </w:r>
      <w:r>
        <w:t xml:space="preserve"> (rentabilidad +14,0 % (base +14,0 %)) · Valor intrínseco: 164,68 USD (+1,0 % sobre 163,11) · con la prima implícita del mercado: 195,92 (+20,1 %)</w:t>
      </w:r>
    </w:p>
    <w:p>
      <w:pPr>
        <w:spacing w:after="100"/>
      </w:pPr>
      <w:r>
        <w:t xml:space="preserve">Honeywell Aerospace es uno de los grandes proveedores de sistemas aeroespaciales del mundo, con contenido en cerca del 90 % de la flota comercial, cartera de 18.154 M y una posventa que es el 44 % de las ventas [3, 4, 5]. Gana un ROIC del 35,4 % frente a un WACC del 9,74 % y sus márgenes de segmento del 29 % en Electronic Solutions y Control Systems están entre los mejores del sector [1].</w:t>
      </w:r>
    </w:p>
    <w:p>
      <w:pPr>
        <w:spacing w:after="100"/>
      </w:pPr>
      <w:r>
        <w:t xml:space="preserve">A 163,11 USD el precio descuenta un crecimiento del 7,5 % anual en 2027-2033, por encima de nuestro base (5,9 %): el DCF da 142,07 USD. En múltiplos parece barata (19,8 veces el beneficio adelantado frente a 31,9 de los comparables), pero carga con 16.006 M de deuda de la escisión y acaba de rebajar la guía de 2026 [2, 3].</w:t>
      </w:r>
    </w:p>
    <w:p>
      <w:pPr>
        <w:spacing w:after="100"/>
      </w:pPr>
      <w:r>
        <w:t xml:space="preserve">El mercado acierta al castigar la deuda y la ejecución, y probablemente exagera al tratar el recorte como permanente: la demanda está (pedidos +8 %) y el límite es la cadena de suministro. Para invertir hay que creer que 2027 vuelve al 7 % de crecimiento y que el margen sube hacia el 26 %. A este precio la rentabilidad esperada a 12 meses es del 14 %, cerca pero por debajo del umbral de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6,99 = 106,95 · 18,0x × 10,33 = 185,94 · 23,4x × 11,33 = 265,12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199,20 (nuestro base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 -51,0 %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9,7 %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161,73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161,73 y 206,65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206,65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 precio por debajo de 161,73 USD: la rentabilidad a 12 meses pasaría del 15 % y daría Comprar, si la calidad y el valor intrínseco se mantienen.</w:t>
      </w:r>
    </w:p>
    <w:p>
      <w:pPr>
        <w:pStyle w:val="ListParagraph"/>
        <w:numPr>
          <w:ilvl w:val="0"/>
          <w:numId w:val="2"/>
        </w:numPr>
        <w:spacing w:after="60"/>
      </w:pPr>
      <w:r>
        <w:t xml:space="preserve">Por encima de 206,65 USD pasaríamos a Vender.</w:t>
      </w:r>
    </w:p>
    <w:p>
      <w:pPr>
        <w:pStyle w:val="ListParagraph"/>
        <w:numPr>
          <w:ilvl w:val="0"/>
          <w:numId w:val="2"/>
        </w:numPr>
        <w:spacing w:after="60"/>
      </w:pPr>
      <w:r>
        <w:t xml:space="preserve">Si el 3T (28-oct) recorta otra vez la guía o el flujo libre del segundo semestre queda por debajo de 1.000 M, bajaríamos el BPA de 2027-2028.</w:t>
      </w:r>
    </w:p>
    <w:p>
      <w:pPr>
        <w:pStyle w:val="ListParagraph"/>
        <w:numPr>
          <w:ilvl w:val="0"/>
          <w:numId w:val="2"/>
        </w:numPr>
        <w:spacing w:after="60"/>
      </w:pPr>
      <w:r>
        <w:t xml:space="preserve">Si la guía de 2027 (febrero) apunta a un crecimiento orgánico del 7 % o más con margen al alza, subiríamos el base.</w:t>
      </w:r>
    </w:p>
    <w:p>
      <w:pPr>
        <w:pStyle w:val="ListParagraph"/>
        <w:numPr>
          <w:ilvl w:val="0"/>
          <w:numId w:val="2"/>
        </w:numPr>
        <w:spacing w:after="60"/>
      </w:pPr>
      <w:r>
        <w:t xml:space="preserve">Si la deuda neta pasa de 3,5 veces el EBITDA por recompras o por caída del beneficio, revisaríamos la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Un negocio que tardará en recuperar el crecimiento y que carga con deuda alta: el precio cayó un 34 % desde el máximo y cotiza a 14,7 veces el EBITDA adelantado, frente a 22,4 de los comparables. A la vez, el DCF inverso pide un 7,5 % de crecimiento anual, más que nuestro base: el mercado no está barato si se mira el flujo de caja con nuestro coste de capital.</w:t>
      </w:r>
    </w:p>
    <w:p>
      <w:pPr>
        <w:keepNext/>
        <w:spacing w:after="100"/>
      </w:pPr>
      <w:r>
        <w:rPr>
          <w:b/>
          <w:bCs/>
        </w:rPr>
        <w:t xml:space="preserve">Lo que creemos nosotros.</w:t>
      </w:r>
    </w:p>
    <w:p>
      <w:pPr>
        <w:spacing w:after="100"/>
      </w:pPr>
      <w:r>
        <w:t xml:space="preserve">El negocio es mejor de lo que dice el múltiplo y peor de lo que dicen los comparables: con un 7 % de crecimiento en 2027-2028 y el margen hacia el 26,5 %, el BPA de 2028 sería de 10,33 USD, un 5 % por encima del consenso (9,80), y el precio de 2027 se mantendría en 18 veces: objetivo a 12 meses de 185,99 USD.</w:t>
      </w:r>
    </w:p>
    <w:p>
      <w:pPr>
        <w:keepNext/>
        <w:spacing w:after="100"/>
      </w:pPr>
      <w:r>
        <w:rPr>
          <w:b/>
          <w:bCs/>
        </w:rPr>
        <w:t xml:space="preserve">Por qué podemos tener razón.</w:t>
      </w:r>
    </w:p>
    <w:p>
      <w:pPr>
        <w:spacing w:after="100"/>
      </w:pPr>
      <w:r>
        <w:t xml:space="preserve">La cartera crece un 9 % y la posventa un 8 % en el trimestre del recorte [3]: el problema es de suministro, no de demanda. La historia del segmento muestra márgenes estables incluso en 2020 [7]. Pero no tenemos ventaja de información sobre la cadena de suministro: nuestra visión distinta es pequeña.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3,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contenido en cerca del 90 % de la flota y posventa certificada del 44 % de las ventas [4, 5].</w:t>
      </w:r>
    </w:p>
    <w:p>
      <w:pPr>
        <w:pStyle w:val="ListParagraph"/>
        <w:numPr>
          <w:ilvl w:val="0"/>
          <w:numId w:val="2"/>
        </w:numPr>
        <w:spacing w:after="60"/>
      </w:pPr>
      <w:r>
        <w:rPr>
          <w:b/>
        </w:rPr>
        <w:t xml:space="preserve">Rentabilidad</w:t>
      </w:r>
      <w:r>
        <w:t xml:space="preserve">: ROIC del 35,4 % frente a un WACC del 9,74 % (unos 30 % como empresa independiente).</w:t>
      </w:r>
    </w:p>
    <w:p>
      <w:pPr>
        <w:pStyle w:val="ListParagraph"/>
        <w:numPr>
          <w:ilvl w:val="0"/>
          <w:numId w:val="2"/>
        </w:numPr>
        <w:spacing w:after="60"/>
      </w:pPr>
      <w:r>
        <w:rPr>
          <w:b/>
        </w:rPr>
        <w:t xml:space="preserve">Demanda intacta</w:t>
      </w:r>
      <w:r>
        <w:t xml:space="preserve">: cartera récord de 18.154 M (+9 %) y pedidos +8 % en el 2T26 [3].</w:t>
      </w:r>
    </w:p>
    <w:p>
      <w:pPr>
        <w:pStyle w:val="ListParagraph"/>
        <w:numPr>
          <w:ilvl w:val="0"/>
          <w:numId w:val="2"/>
        </w:numPr>
        <w:spacing w:after="60"/>
      </w:pPr>
      <w:r>
        <w:rPr>
          <w:b/>
        </w:rPr>
        <w:t xml:space="preserve">Descuento sobre el sector</w:t>
      </w:r>
      <w:r>
        <w:t xml:space="preserve">: 19,8 veces el beneficio adelantado frente a 31,9 de mediana de los comparables.</w:t>
      </w:r>
    </w:p>
    <w:p>
      <w:pPr>
        <w:pStyle w:val="ListParagraph"/>
        <w:numPr>
          <w:ilvl w:val="0"/>
          <w:numId w:val="2"/>
        </w:numPr>
        <w:spacing w:after="60"/>
      </w:pPr>
      <w:r>
        <w:rPr>
          <w:b/>
        </w:rPr>
        <w:t xml:space="preserve">Compra del presidente</w:t>
      </w:r>
      <w:r>
        <w:t xml:space="preserve">: 998.400 USD a 156 USD el 1-sep-2026 [19].</w:t>
      </w:r>
    </w:p>
    <w:p>
      <w:pPr>
        <w:pStyle w:val="Heading2"/>
      </w:pPr>
      <w:r>
        <w:t xml:space="preserve">En contra</w:t>
      </w:r>
    </w:p>
    <w:p>
      <w:pPr>
        <w:pStyle w:val="ListParagraph"/>
        <w:numPr>
          <w:ilvl w:val="0"/>
          <w:numId w:val="2"/>
        </w:numPr>
        <w:spacing w:after="60"/>
      </w:pPr>
      <w:r>
        <w:rPr>
          <w:b/>
        </w:rPr>
        <w:t xml:space="preserve">Deuda de la escisión</w:t>
      </w:r>
      <w:r>
        <w:t xml:space="preserve">: 16.006 M, 3,7 veces el EBITDA, y patrimonio negativo de 5.623 M [2].</w:t>
      </w:r>
    </w:p>
    <w:p>
      <w:pPr>
        <w:pStyle w:val="ListParagraph"/>
        <w:numPr>
          <w:ilvl w:val="0"/>
          <w:numId w:val="2"/>
        </w:numPr>
        <w:spacing w:after="60"/>
      </w:pPr>
      <w:r>
        <w:rPr>
          <w:b/>
        </w:rPr>
        <w:t xml:space="preserve">Credibilidad</w:t>
      </w:r>
      <w:r>
        <w:t xml:space="preserve">: guía de 2026 rebajada cinco semanas después de salir a bolsa y demanda colectiva abierta [3, 21].</w:t>
      </w:r>
    </w:p>
    <w:p>
      <w:pPr>
        <w:pStyle w:val="ListParagraph"/>
        <w:numPr>
          <w:ilvl w:val="0"/>
          <w:numId w:val="2"/>
        </w:numPr>
        <w:spacing w:after="60"/>
      </w:pPr>
      <w:r>
        <w:rPr>
          <w:b/>
        </w:rPr>
        <w:t xml:space="preserve">El DCF no da margen</w:t>
      </w:r>
      <w:r>
        <w:t xml:space="preserve">: 142,07 USD, un 12,9 % por debajo del precio.</w:t>
      </w:r>
    </w:p>
    <w:p>
      <w:pPr>
        <w:pStyle w:val="ListParagraph"/>
        <w:numPr>
          <w:ilvl w:val="0"/>
          <w:numId w:val="2"/>
        </w:numPr>
        <w:spacing w:after="60"/>
      </w:pPr>
      <w:r>
        <w:rPr>
          <w:b/>
        </w:rPr>
        <w:t xml:space="preserve">Bajista severo</w:t>
      </w:r>
      <w:r>
        <w:t xml:space="preserve">: 79,87 USD (−51,0 %) con un año como 2020, por el apalancamiento.</w:t>
      </w:r>
    </w:p>
    <w:p>
      <w:pPr>
        <w:pStyle w:val="ListParagraph"/>
        <w:numPr>
          <w:ilvl w:val="0"/>
          <w:numId w:val="2"/>
        </w:numPr>
        <w:spacing w:after="60"/>
      </w:pPr>
      <w:r>
        <w:rPr>
          <w:b/>
        </w:rPr>
        <w:t xml:space="preserve">Gobierno</w:t>
      </w:r>
      <w:r>
        <w:t xml:space="preserve">: consejo escalonado hasta 2030 y licencia de la marca de 1.125 M a la antigua matriz [17].</w:t>
      </w:r>
    </w:p>
    <w:p>
      <w:pPr>
        <w:pStyle w:val="Heading2"/>
      </w:pPr>
      <w:r>
        <w:t xml:space="preserve">Qué tiene que pasar para que la tesis funcione</w:t>
      </w:r>
    </w:p>
    <w:p>
      <w:pPr>
        <w:spacing w:after="100"/>
      </w:pPr>
      <w:r>
        <w:t xml:space="preserve">La tesis depende de que la cadena de suministro deje volver al 7 % de crecimiento en 2027 sin perder margen, y de que el flujo libre permita bajar la deuda por debajo de 3 veces el EBITDA. La señal de que no se cumple sería un flujo libre del segundo semestre de 2026 por debajo de 1.000 M, una guía de 2027 con crecimiento orgánico por debajo del 5 % o un segundo recorte.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7 % 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del segundo semestre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1.000-1.500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Desapalancamiento y recompra.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3,5x a final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 M (+9 %)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la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Posventa comercial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y poder de precios.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 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26,6x / 19,8x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(2023-2025)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El negocio nace de tres linajes de la aviación de EE. UU.: Garrett (motores auxiliares y control ambiental), Bendix (frenos, combustible y aviónica) y Sperry (pilotos automáticos y aviónica), reunidos en AlliedSignal y, desde la fusión de 1999, en Honeywell [5]. Durante 25 años fue el segmento más rentable del conglomerado. En 2024 Honeywell compró CAES (electrónica de defensa) por 1.900 M USD [31] y en febrero de 2025 anunció la separación en tres compañías: Solstice (materiales, escindida en 2025), Honeywell Aerospace y la Honeywell de automatización. La escisión de Aerospace se cerró el 29-jun-2026 y la acción entró ese día en el S&amp;P 500 y el S&amp;P 100 [30]. Cinco semanas después rebajó la guía de 2026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AlliedSignal y Honeywell: Garrett, Bendix, King Radio y Sperry quedan bajo la marca Honeywell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ventas del segmento −18 % (11.544 M) con el margen de segmento casi intacto (25,2 %)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CAES por 1.900 M USD (unas 14 veces su EBITDA estimado): defensa y espacio pasan a ser el 41 % de las ventas [4,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Bombardier (372 M menos de ventas en 2024) y en 2025 con Flexjet (312 M menos de ventas; 375 M pagados en el 1T26)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17.404 M (+12 % orgánico) y EBIT ajustado de 4.458 M; anuncio de la separación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3-jun: día del inversor con objetivos a 2030; 29-jun: escisión y entrada en el S&amp;P 500 [30]; 5-ago: rebaja de la guía de 2026 y caída del 23,2 % en una sesión [3, 22].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Honeywell Aerospace diseña y fabrica sistemas para aviones comerciales, de negocios, helicópteros, defensa y espacio, y los mantiene durante su vida útil. Tres segmentos: Electronic Solutions (39 % de las ventas de 2025: aviónica, navegación, comunicaciones por satélite, radares y la electrónica de defensa de CAES), Engines &amp; Power Systems (31 %: motores auxiliares de casi todos los aviones comerciales, motores de aviación de negocios como el HTF7000 y el TFE731, y motores de helicóptero y carro de combate) y Control Systems (30 %: control ambiental, de combustible y de motor, frenos y sensores) [1, 5]. Por mercado final, la posventa comercial es el 44 % de las ventas, defensa y espacio el 41 % y el equipo original comercial el 15 % [4]. Fabrica sobre todo en EE. UU. (73 % de las ventas facturadas desde allí, incluidas exportaciones) y vende al resto del mundo desde Suiza [1].</w:t>
      </w:r>
    </w:p>
    <w:p>
      <w:pPr>
        <w:pStyle w:val="Heading2"/>
      </w:pPr>
      <w:r>
        <w:t xml:space="preserve">Cómo gana dinero</w:t>
      </w:r>
    </w:p>
    <w:p>
      <w:pPr>
        <w:spacing w:after="100"/>
      </w:pPr>
      <w:r>
        <w:t xml:space="preserve">Vende el equipo original a Airbus, Boeing, Embraer, Gulfstream o Textron con poco margen, a veces con incentivos, para quedar especificado en el avión durante 25-40 años; el beneficio llega después, con los repuestos, reparaciones, mejoras y contratos de servicio por horas de vuelo, que solo un taller certificado puede hacer con piezas aprobadas [5]. Los márgenes de segmento de 2025 lo reflejan: 29,2 % en Electronic Solutions y 29,4 % en Control Systems; 12,8 % en Engines &amp; Power Systems, rebajado por el acuerdo con Flexjet [1]. La posventa depende de las horas de vuelo y de la edad de la flota; defensa, de contratos plurianuales con el Gobierno de EE. UU. El apalancamiento operativo es alto y la estacionalidad pequeña (el cuarto trimestre es el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Engines &amp; Power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Electronic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Engines &amp; Power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Gobierno de EE. UU. es el primer cliente: 4.604 M de ventas en 2025, el 26 % del total, de los que 4.129 M son del Departamento de Guerra [5]. Le siguen los fabricantes de aviones y las aerolíneas, sin otro cliente por encima del 10 % [5]. Los contratos de equipo original duran toda la vida del programa y los de posventa se renuevan por horas de vuelo. El poder de precios está en la posventa: los repuestos suben por encima de la inflación cada año y la posventa creció un 11 % en 2025 sin el acuerdo de Flexjet, con un mercado de mantenimiento que creció un 8 % [4, 9]. Los acuerdos con Bombardier (2024) y Flexjet (2025) muestran el otro lado: 684 M de ventas cedidas en dos años para conservar clientes grandes de aviación de negocios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12 meses +8 %, tirados por defensa y espacio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posventa comercial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(+11 % sin el acuerdo Flexjet)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las ventas; 2T26 +8 %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defensa y espacio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6.138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7.149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CAES desde jul-2024; 2T26 solo +3 % por suministro internacional y el fin de un programa restringido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equipo original comercial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rebajado en 372 M por el acuerdo con Bombardier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al Gobierno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4.604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 de las ventas; 4.129 M al Departamento de Guerra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Retrofits, modificaciones y mejoras (RMU)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+18 % anual desde 2021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 de las ventas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sistemas y componentes aeroespaciales con posventa propia: aviónica, motores auxiliares y de aviación de negocios, control ambiental y de motor, frenos y electrónica de defensa. No hay un tamaño publicado con ese perímetro; usamos dos medidas: el gasto mundial en mantenimiento de la flota comercial (MRO) de Oliver Wyman, que mide la posventa [9], y el gasto militar de EE. UU. de SIPRI para defensa [10]. La primera es la que más pesa en el beneficio; la segunda, en las ventas al Gobierno.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136.000 M USD de gasto en mantenimiento de la flota comercial en 2025 (+8 % sobre 2024), con previsión de casi 193.000 M en 2036 [9]; gasto militar de EE. UU. de 954.000 M USD en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mundial en mantenimiento de la flota comerc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vuelo y tráfico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 comercial que crece un 3,2 % anual hasta 2036 y gasto de mantenimiento del 3,3 % anual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Edad de la flota por retrasos de Airbus y Boeing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Edad media de casi 13 años en 2025, año y medio más que antes de la pandemia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Cadencias de producción de aviones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Airbus en 54 A320 al mes a final de 2025 frente a un objetivo de 75 en 2027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de defensa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954.000 M USD en 2025, −7,5 % real; el mundial, +2,9 %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los repuestos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anuales por encima de la inflación; posventa de la empresa +11 % en 2025 sin Flexjet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competidores por sistema (Honeywell y Collins en aviónica; Honeywell y Pratt &amp; Whitney Canada en motores auxiliares) y rivalidad solo al adjudicar cada programa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Airbus, Boeing y el Pentágono negocian duro en equipo original y precios de repuestos; Bombardier y Flexjet obtuvieron 684 M de concesiones en 2024-2025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Fundiciones, forjas y electrónica son el cuello de botella desde 2022; las restricciones de proveedores costaron la guía de 2026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certificación de la FAA y la EASA y la base instalada de décadas cierran la entrada; nadie nuevo ha entrado en motores auxiliares en 40 años.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Piezas alternativas aprobadas (PMA, de HEICO) y talleres independientes compiten en la posventa madura, con cuota pequeña.</w:t>
            </w:r>
          </w:p>
        </w:tc>
      </w:tr>
    </w:tbl>
    <w:p>
      <w:pPr>
        <w:spacing w:after="160" w:before="0"/>
      </w:pPr>
    </w:p>
    <w:p>
      <w:pPr>
        <w:pStyle w:val="Heading2"/>
      </w:pPr>
      <w:r>
        <w:t xml:space="preserve">Ciclo</w:t>
      </w:r>
    </w:p>
    <w:p>
      <w:pPr>
        <w:spacing w:after="100"/>
      </w:pPr>
      <w:r>
        <w:t xml:space="preserve">Tráfico récord (5.200 M de pasajeros en 2025), flota envejecida y horas de vuelo de aviación de negocios al alza: la demanda está en máximos y el límite es la oferta [9]. En 2020 las ventas del segmento cayeron un 18 % y el margen apenas bajó medio punto [7]; en 2009 la posventa cayó entre un 10 % y un 15 %. Defensa amortigua: 41 % de las ventas.</w:t>
      </w:r>
    </w:p>
    <w:p>
      <w:pPr>
        <w:pStyle w:val="Heading2"/>
      </w:pPr>
      <w:r>
        <w:t xml:space="preserve">Regulación</w:t>
      </w:r>
    </w:p>
    <w:p>
      <w:pPr>
        <w:spacing w:after="100"/>
      </w:pPr>
      <w:r>
        <w:t xml:space="preserve">La certificación de la FAA y la EASA es la barrera de entrada y la fuente de los repuestos exclusivos. Los controles de exportación (ITAR) limitan la venta de defensa. Los aranceles de EE. UU. de 2025-2026 encarecen insumos. Los contratos del Pentágono exigen ciberseguridad (NIST SP 800-171 y CMMC): la empresa pagó 2,04 M USD en septiembre de 2026 por incumplimientos en un contrato de 2020-2023 [20]. Las auditorías de precios de repuestos al Gobierno son el riesgo regulatorio del modelo.</w:t>
      </w:r>
    </w:p>
    <w:p>
      <w:pPr>
        <w:pStyle w:val="Heading2"/>
      </w:pPr>
      <w:r>
        <w:t xml:space="preserve">Tendencias y disrupción</w:t>
      </w:r>
    </w:p>
    <w:p>
      <w:pPr>
        <w:spacing w:after="100"/>
      </w:pPr>
      <w:r>
        <w:t xml:space="preserve">Electrificación y nuevos motores (aviones híbridos, movilidad aérea urbana), mantenimiento predictivo con datos de vuelo, conectividad por satélite y aviónica definida por software. La empresa gana con la conectividad y los datos (base instalada en cerca del 90 % de la flota) y con las mejoras de aviónica (1.600 M de ventas de mejoras en 2025, +18 % anual desde 2021) [5]; pierde si los nuevos programas de aviones de pasillo único, hacia 2035, eligen a otros proveedores.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motores auxiliares y uno de los dos grandes en aviónica comercial (con Collins de RTX); entre los tres primeros en motores de aviación de negocios medianos, frenos y control ambiental. Sin cuotas publicadas con el mismo perímetro; su posventa comercial (7.661 M en 2025) equivale a un 5,6 % del gasto mundial de mantenimiento [4,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 (Collins Aerospace, Pratt &amp; Whitney)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directo en aviónica, control ambiental, frenos y APU de Pratt &amp; Whitney Canada; EBITDA del 17,0 % del grupo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Safran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y sistemas (trenes, frenos, potencia eléctrica, cableado) además de motores; EBITDA del 18,2 % (33.570 M EUR LTM convertidos a 1,1208)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Aerospace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Motores y sistemas de aviónica y potencia (antigua GE Aviation Systems); compite en posventa de motores y en sistemas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TransDigm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TDG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propietarios con posventa en exclusiva; EBITDA del 50,9 %: el techo de rentabilidad del sector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Repuestos alternativos certificados (PMA) que compiten en precio con los del fabricante original; EBITDA del 28,5 %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Woodward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de combustible y actuadores; EBITDA del 19,2 %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en conectividad y datos de vuelo; no es la fuente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un sistema certificado exige recertificar el avión; contenido en cerca del 90 % de la flota durante 25-40 años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Certificados de tipo y aprobaciones de piezas; margen de segmento del 29 % en dos de los tres segmentos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fabricación; no supera a TransDigm en margen (EBITDA del 50,9 %) [D6].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programa admite uno o dos proveedores; la base instalada reparte el coste de la red de servicio.</w:t>
            </w:r>
          </w:p>
        </w:tc>
      </w:tr>
    </w:tbl>
    <w:p>
      <w:pPr>
        <w:spacing w:after="160" w:before="0"/>
      </w:pPr>
    </w:p>
    <w:p>
      <w:pPr>
        <w:pStyle w:val="Heading2"/>
      </w:pPr>
      <w:r>
        <w:t xml:space="preserve">Amenazas</w:t>
      </w:r>
    </w:p>
    <w:p>
      <w:pPr>
        <w:spacing w:after="100"/>
      </w:pPr>
      <w:r>
        <w:t xml:space="preserve">La erosión más probable no es tecnológica sino comercial: clientes grandes que exigen concesiones (Bombardier y Flexjet, 684 M en dos años), piezas alternativas aprobadas en motores y sistemas maduros y auditorías de precios del Gobierno. A largo plazo, perder un programa de avión de pasillo único nuevo (hacia 2035) reduciría la base instalada de la próxima generación. Probabilidad media en lo comercial y baja en lo tecnológico.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2023-2025: ingresos </w:t>
      </w:r>
      <w:r>
        <w:rPr>
          <w:b/>
          <w:bCs/>
        </w:rPr>
        <w:t xml:space="preserve">12,3 %</w:t>
      </w:r>
      <w:r>
        <w:t xml:space="preserve">, EBITDA </w:t>
      </w:r>
      <w:r>
        <w:rPr>
          <w:b/>
          <w:bCs/>
        </w:rPr>
        <w:t xml:space="preserve">4,1 %</w:t>
      </w:r>
      <w:r>
        <w:t xml:space="preserve">, BPA </w:t>
      </w:r>
      <w:r>
        <w:rPr>
          <w:b/>
          <w:bCs/>
        </w:rPr>
        <w:t xml:space="preserve">-3,5 %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13.790 M en 2023 a 17.404 M en 2025 (+12,3 % anual): el crecimiento orgánico fue del 12 % en 2025 y la compra de CAES (jul-2024) añadió unos 1.100 M al año [1, 4]. El margen EBITDA contable bajó del 27,4 % al 21,6 % por tres cosas que no se repiten igual: los acuerdos con Bombardier (2024) y Flexjet (2025), los costes de separación y el gasto medioambiental (204 M en 2023, 389 M en 2025). El EBIT ajustado de la empresa, sin esas partidas, subió de 3.775 M a 4.458 M [1]. Los estados combinados no llevan intereses: el beneficio antes de impuestos es igual al EBIT. Por segmento, Electronic Solutions y Control Systems ganan margen y Engines &amp; Power Systems lo pierde (del 22,2 % al 12,8 %) por Flexjet. La historia larga del segmento en Honeywell muestra ventas de 15.493 M en 2018, 11.544 M en 2020 y 11.827 M en 2022, con márgenes de segmento del 23-27 % [6, 7].</w:t>
      </w:r>
    </w:p>
    <w:p>
      <w:pPr>
        <w:pStyle w:val="Heading2"/>
      </w:pPr>
      <w:r>
        <w:t xml:space="preserve">Ajustes y partidas no recurrentes</w:t>
      </w:r>
    </w:p>
    <w:p>
      <w:pPr>
        <w:spacing w:after="100"/>
      </w:pPr>
      <w:r>
        <w:t xml:space="preserve">La empresa publica un EBIT y un BPA ajustados que excluyen los costes de la escisión, el gasto medioambiental extraordinario, los acuerdos con clientes (Flexjet) y la licencia de la marca a Honeywell (225 M al año hasta mediados de 2031) [3]. Nuestra proyección deja como costes recurrentes la licencia, los pagos en acciones y un gasto medioambiental normal, y excluye solo los de la separación. Nuestro BPA incluye además el ingreso de pensiones (328 M pro forma en 2025 [1]), que la empresa y el consenso excluyen: sin él, nuestro BPA pro forma de 2026 sería de unos 7,5 USD, cerca de la guía ajustada (7,60-7,90) [3]; con él, unos 0,75 USD más. Los no recurrentes de los últimos 12 meses suman 835 M (separación, Flexjet y medioambiente) y se devuelven al EBITDA del múltiplo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(5-ago), la primera como empresa cotizada, la dirección presentó ventas de 4.522 M (+5 % y +5 % orgánico), cartera récord de 18.154 M (+9 %) y pedidos de 12 meses +8 %, con la posventa comercial +8 % [3]. El mensaje cambió frente al día del inversor del 3-jun: entonces la guía de 2026 era de crecimiento orgánico del 7-9 % y EBIT ajustado de 4.650-4.750 M; el 5-ago bajó al 4-5 % y 4.350-4.450 M por restricciones de proveedores, el fin de un programa restringido de defensa y menor suministro internacional (defensa y espacio solo +3 %) [3]. Mantuvo el flujo libre del segundo semestre en 1.000-1.500 M y una recompra autorizada de 3.500 M [18]. Las preguntas se repitieron sobre si el recorte era conocido antes de la escisión (la demanda colectiva lo plantea después [21]), el ritmo de recuperación de la cadena de suministro y la caja del segundo semestre; la dirección no dio una guía para 2027 ni cuantificó cuánta producción quedó pendiente por falta de piezas. El BPA publicado fue de 0,78 USD, con costes de separación; el ajustado, de 1,87 [3]. Próxima cita: 3T el 28-oct-2026 después del cierre [34].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CAES (1.900 M USD, cerrada en jul-2024) y Civitanavi (2024): +332 M de ventas en 2024 y ≈ +3 puntos de crecimiento en 2025 [1].; 2026: Escisión del 29-jun-2026: deuda de 16.006 M USD emitida en mar-2026, 15.087 M transferidos a Honeywell; activo neto de pensiones de 2.727 M y pasivos fiscales diferidos transferidos al cierre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la nueva empresa no se parece al de los estados combinados: a 27-jun-2026 la caja es de 1.057 M, la deuda de 16.006 M y el patrimonio neto de −5.623 M, porque el pago a Honeywell se registra contra el patrimonio [2]. La deuda neta ajustada es de 15.401 M, 3,7 veces el EBITDA de los últimos 12 meses (unas 3,4 veces el EBITDA pro forma de la empresa). Las agencias le dan grado de inversión (BBB+ con perspectiva positiva, A- y A3) [5] y la liquidez es amplia: líneas de 4.000 M sin cláusulas financieras [2]. El circulante es alto (13 % de las ventas; existencias de 143 días) por los inventarios de repuestos y defensa.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2023-2025: FCF </w:t>
      </w:r>
      <w:r>
        <w:rPr>
          <w:b/>
          <w:bCs/>
        </w:rPr>
        <w:t xml:space="preserve">7.848</w:t>
      </w:r>
      <w:r>
        <w:t xml:space="preserve">, conversión </w:t>
      </w:r>
      <w:r>
        <w:rPr>
          <w:b/>
          <w:bCs/>
        </w:rPr>
        <w:t xml:space="preserve">94 %</w:t>
      </w:r>
      <w:r>
        <w:t xml:space="preserve"> del beneficio neto; adquisiciones 2.130, dividendos 0, recompras 0.</w:t>
      </w:r>
    </w:p>
    <w:p>
      <w:pPr>
        <w:spacing w:after="100"/>
      </w:pPr>
      <w:r>
        <w:t xml:space="preserve">El flujo libre de los estados combinados fue de 2.597 M en 2023, 2.050 M en 2024 y 3.201 M en 2025 (conversión del beneficio del 90 %, 73 % y 119 %), sin intereses ni impuestos de una empresa independiente [1]. 2024 fue bajo por circulante (inventarios para defensa) y 2025 alto por cobros. El capex es pequeño, del 2,8-3,2 % de las ventas, y supera a la amortización (1,2-1,4 veces) por inversión en capacidad; la empresa no separa mantenimiento y crecimiento. Desde la escisión el flujo libre lleva 818 M de intereses: la guía del segundo semestre de 2026 es de 1.000-1.500 M [3] y nuestra proyección da un flujo libre para el accionista de unos 2.100 M en 2026 y 2.300 M en 2027, un 4-4,5 % de la capitalización. En 2023-2025 no hubo dividendos ni recompras: la caja iba a Honeywell.</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 (Tempe, Arizona)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(estados combinados 2023-2025), con párrafo de énfasis: los estados se derivan de la contabilidad de Honeywell y pueden no reflejar una empresa independiente; cuestiones clave de auditoría: integridad de los ajustes de carve-out y pasivos medioambientales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auditó los estados combinados de 2023-2025 con opinión favorable y énfasis en que reparten costes de Honeywell [1]. Lo que más conviene vigilar: (1) los acuerdos con clientes (Bombardier y Flexjet) se registran como menos ventas, y pueden repetirse; (2) el gasto medioambiental, que la empresa saca del ajustado pero que se repite cada año (204-389 M); (3) el factoring (344 M en el 1S26) y la financiación de proveedores (453 M), que mejoran la caja [2]. Los indicadores del motor: Altman Z de 5,17 en zona segura (con el balance de los estados combinados, sin la deuda nueva), Piotroski de 5 sobre 9 y Beneish M de −2,74, sin señal de manipulación. La conversión de caja de tres años es del 94 %.</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Acuerdos con clientes como menos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Bombardier (−372 M en 2024) y Flexjet (−312 M en 2025 y 375 M pagados en el 1T26)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medioambiental fuera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204 M en 2023, 235 M en 2024 y 389 M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 y financiación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344 M y 453 M en el 1S26; adelantan caja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Altman Z sin la deuda de la escisión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5,17 es de los estados combinados; con 16.006 M de deuda sería mucho menor, aunque el rating es BBB+/A-/A3.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3.025 M en 2025 (el 36 % del capital invertido medio); ha subido más de un 5 % en 0 de 1 años: sin compras. ROIC publicado 35,4 %; sin fondo de comercio, 55,3 %.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9,7 %.</w:t>
      </w:r>
    </w:p>
    <w:p>
      <w:pPr>
        <w:spacing w:after="100"/>
      </w:pPr>
      <w:r>
        <w:t xml:space="preserve">Crea valor con holgura: ROIC del 33,2 % en 2024 y del 35,4 % en 2025 frente a un WACC del 9,74 %, con un capital invertido de 8.438 M que incluye 3.025 M de fondo de comercio (el 35 %); sin fondo de comercio el ROIC es del 55,3 %. Ese ROIC es el de los estados combinados, sin la licencia de la marca: como empresa independiente, restando la licencia (225 M) y con un gasto medioambiental medio, el NOPAT baja a unos 2.560 M y el ROIC a un 30 % (unos 20 puntos sobre el WACC). Lo mueve el margen, no la rotación (1,0 vez el capital). El ROIC incremental no se puede medir con tres años (la compra de CAES subió el capital en 2024). Frente a los comparables, solo GE Aerospace (31,0 %) está a su altura; Safran (23,6 %), Howmet (23,0 %), TransDigm (15,4 %), HEICO (13,1 %) y RTX (9,4 %) quedan por debajo [11]. El ROE no tiene sentido desde la escisión: el patrimonio es negativo.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1.057 M USD (27-jun-2026) + líneas de crédito no dispuestas de 4.000 M (3.000 M a cinco años y 1.000 M a 364 días, sin covenants financieros) + programa de pagarés de 4.000 M (respaldado por las líneas)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(perspectiva positiva), Fitch A- (estable), Moody's A3 (estable), a 28-mar-2026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de 16.006 M en nueve emisiones con cupones del 3,9-5,85 % (intereses de 818 M al año), emitida para pagar 15.087 M a Honeywell en la escisión; vencimientos de 1.251 M en 2028, 1.751 M en 2029 y 2.000 M en 2031, y 11.000 M desde 2032 [2]. Pasivos medioambientales heredados de 828 M (el 10-Q advierte de que el coste final puede ser mayor) [2]: en el puente, 654 M después de impuestos. Superávit de pensiones transferido de 2.727 M [1]: lo contamos al 50 % después de impuestos (1.077 M) porque solo se recupera a muy largo plazo. Licencia de la marca: 1.125 M a pagar en 60 meses (18,75 M al mes), tratada como gasto de explotación y no como deuda [17]. En el puente van también 218 M de intereses devengados y unos 237 M de costes de separación pendientes después de impuestos. No sumamos el factoring de 344 M del 1S26 ni los 453 M de financiación de proveedores; si se sumaran, el valor bajaría 2,5 USD por acción [2].</w:t>
      </w:r>
    </w:p>
    <w:p>
      <w:pPr>
        <w:pStyle w:val="Heading1"/>
      </w:pPr>
      <w:r>
        <w:t xml:space="preserve">12. Asignación de capital</w:t>
      </w:r>
    </w:p>
    <w:p>
      <w:pPr>
        <w:pStyle w:val="Confianza"/>
        <w:spacing w:after="100"/>
      </w:pPr>
      <w:r>
        <w:t xml:space="preserve">Confianza: Media</w:t>
      </w:r>
    </w:p>
    <w:p>
      <w:pPr>
        <w:spacing w:after="100"/>
      </w:pPr>
      <w:r>
        <w:t xml:space="preserve">Sin dividendo declarado todavía: el consenso espera unos 0,81 USD en 2026 y 2,44 en 2027 [24]. Recompra autorizada de 3.500 M desde el 23-jul-2026 [18]. La empresa quiere mantener el grado de inversión y bajar la deuda neta, y destinar el resto a dividendo, recompras y compras pequeñas de tecnología. Pagarés de hasta 4.000 M y líneas de crédito de 4.000 M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CAES Systems (electrónica de defensa y radiofrecuencia)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de Honeywell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defensa y espacio +16 % en 2025 con CAES; sin deterioros [4, 31].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Otras compras pequeñas de tecnología (resto de los 2.130 M pagados en 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 Honeywell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separados [1].</w:t>
            </w:r>
          </w:p>
        </w:tc>
      </w:tr>
    </w:tbl>
    <w:p>
      <w:pPr>
        <w:spacing w:after="160" w:before="0"/>
      </w:pPr>
    </w:p>
    <w:p>
      <w:pPr>
        <w:spacing w:after="100"/>
      </w:pPr>
      <w:r>
        <w:t xml:space="preserve">La dirección de la empresa independiente aún no tiene historial propio de asignación de capital: las decisiones de 2023-2025 (CAES, acuerdos con Bombardier y Flexjet) las tomó Honeywell. CAES, a unas 14 veces el EBITDA, encaja y ha crecido; los acuerdos con clientes costaron 684 M de ventas y 375 M de caja para conservarlos [1]. El flujo libre acumulado de 2023-2025 fue de 7.848 M (conversión del 94 %) y se fue a Honeywell; la escisión cargó a la empresa con 16.006 M de deuda para pagar 15.087 M a su antigua matriz. La primera decisión propia, una recompra de 3.500 M con 3,7 veces de deuda neta sobre EBITDA, es exigente si el ciclo gira; preferiríamos ver antes la deuda por debajo de 3 veces.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(Jim) Currier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Honeywell Aerospace desde 2006 (antes, motores de cohete en United Technologies); consejero delegado del segmento desde ago-2023. Con él, ventas de 13.790 M (2023) a 17.404 M (2025) y beneficio de segmento ajustado de 3.775 M a 4.458 M, pero recorte de la guía de 2026 cinco semanas después de la escisión [3,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Joshua Jepsen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Deere &amp; Company de sep-2022 a ene-2026 (antes, relaciones con inversores); en Honeywell Aerospace desde feb-2026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Arnold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Eaton de 2016 a 2025, donde llevó el margen de segmentos por encima del 20 % y la cotización a máximos; compró 6.400 acciones a 156 USD (998.400 USD) el 1-sep-2026 [5,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Buddecke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Electronic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años en Honeywell; vicepresidente de cadena de suministro integrada del segmento en 2022-2024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Marinick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Engines &amp; Power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años en Honeywell; su segmento bajó el margen de 22 % (2023) a 13 % (2025, 20 % sin Flexjet) y 12 % en el 2T26 [3,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DeGraff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Control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Volvió a Honeywell en 2023 tras tres años en Salesforce; margen de su segmento del 29 % en 2025 y el 2T26 [3,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Como segmento de Honeywell: crecimiento orgánico alto de un dígito o bajo de dos (guía de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12 % y beneficio de segmento ajustado de 4.458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7-9 %, EBIT ajustado pro forma de 4.650-4.750 M (guía del folleto, jun-2026)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el 5-ago-2026 a 4-5 % y 4.350-4.450 M; flujo libre del 2S26 mantenido en 1.000-1.500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Jim Currier dirige Honeywell Aerospace desde agosto de 2023; con él el segmento creció un 12 % orgánico en 2025 y cumplió su guía [4, 5], pero rebajó la de 2026 cinco semanas después de la escisión, lo que ha costado credibilidad y una demanda colectiva [3, 21]. El director financiero, Jepsen, viene de Deere y lleva pocos meses. El presidente, Craig Arnold (ex consejero delegado de Eaton), compró 6.400 acciones a 156 USD (998.400 USD) el 1-sep-2026 [19]: es la señal más clara de confianza a precios como los de hoy. No hay ventas de directivos en mercado desde la escisión. La remuneración del consejero delegado fue de 6,39 M en 2025 y recibió una concesión de acciones de 9 M por la escisión [5, 18].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Supervisión de programas especiales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Currier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Supervisión de programas especiales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 Scott Davis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Denton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Desroches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Flint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Gral. (ret.) David Goldfein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programas especiales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Reuss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programas especiales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William B. Roper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programas especiales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Michelle Seitz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(estados combinados 2023-2025), con párrafo de énfasis: los estados se derivan de la contabilidad de Honeywell y pueden no reflejar una empresa independiente; cuestiones clave de auditoría: integridad de los ajustes de carve-out y pasivos medioambientales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1,00 / ventas 0,14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del folleto con su posición en Honeywell (13G de abr-2026); presentó 13G propio en jul-2026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del folleto con su 13G/A en Honeywell de ene-2024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Craig Arnold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James Currier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del consejero delegado de 6,39 M USD en 2025 en Honeywell, con variable anual ligado a beneficio, caja y crecimiento y largo plazo en acciones [5]. En agosto de 2026 recibió una concesión puente de acciones de 9 M por la escisión [18]. La primera junta y el primer voto consultivo sobre la remuneración serán en 2027; no hay ratio sobre el salario medio para la nueva empresa.</w:t>
      </w:r>
    </w:p>
    <w:p>
      <w:pPr>
        <w:pStyle w:val="Heading2"/>
      </w:pPr>
      <w:r>
        <w:t xml:space="preserve">Operaciones vinculadas, estructura de control y defensas</w:t>
      </w:r>
    </w:p>
    <w:p>
      <w:pPr>
        <w:spacing w:after="100"/>
      </w:pPr>
      <w:r>
        <w:t xml:space="preserve">Sin accionista de control: Vanguard tiene el 7,51 % y BlackRock el 6,68 % [5]. El consejo es escalonado hasta la junta de 2030 y hasta entonces los consejeros solo pueden ser destituidos con causa y mayoría de dos tercios [17]: una defensa fuerte contra un activista o una oferta hostil en los primeros años. Presidente y consejero delegado separados, con 10 de 11 consejeros independientes. La licencia de la marca a Honeywell (1.125 M en cinco años) y los servicios transitorios son operaciones vinculadas con la antigua matriz, que ya no es accionista.</w:t>
      </w:r>
    </w:p>
    <w:p>
      <w:pPr>
        <w:pStyle w:val="Heading2"/>
      </w:pPr>
      <w:r>
        <w:t xml:space="preserve">Señales de alerta</w:t>
      </w:r>
    </w:p>
    <w:p>
      <w:pPr>
        <w:pStyle w:val="ListParagraph"/>
        <w:numPr>
          <w:ilvl w:val="0"/>
          <w:numId w:val="2"/>
        </w:numPr>
        <w:spacing w:after="60"/>
      </w:pPr>
      <w:r>
        <w:t xml:space="preserve">Recorte de la guía de 2026 el 5-ago-2026, cinco semanas después de la escisión y dos meses después del día del inversor (3-jun) en el que se fijaron los objetivos de 2030 [3].</w:t>
      </w:r>
    </w:p>
    <w:p>
      <w:pPr>
        <w:pStyle w:val="ListParagraph"/>
        <w:numPr>
          <w:ilvl w:val="0"/>
          <w:numId w:val="2"/>
        </w:numPr>
        <w:spacing w:after="60"/>
      </w:pPr>
      <w:r>
        <w:t xml:space="preserve">Demanda colectiva de valores (Green v. Honeywell Aerospace, D. Arizona, periodo 29-jun a 1-sep-2026) por no informar de restricciones de proveedores y de una investigación de la Ley de Reclamaciones Falsas [21].</w:t>
      </w:r>
    </w:p>
    <w:p>
      <w:pPr>
        <w:pStyle w:val="ListParagraph"/>
        <w:numPr>
          <w:ilvl w:val="0"/>
          <w:numId w:val="2"/>
        </w:numPr>
        <w:spacing w:after="60"/>
      </w:pPr>
      <w:r>
        <w:t xml:space="preserve">Acuerdo con el Departamento de Justicia por 2,04 M USD (1-sep-2026) por incumplimientos de ciberseguridad NIST SP 800-171 en un contrato de defensa de 2020-2023, sin admisión de responsabilidad [20].</w:t>
      </w:r>
    </w:p>
    <w:p>
      <w:pPr>
        <w:pStyle w:val="ListParagraph"/>
        <w:numPr>
          <w:ilvl w:val="0"/>
          <w:numId w:val="2"/>
        </w:numPr>
        <w:spacing w:after="60"/>
      </w:pPr>
      <w:r>
        <w:t xml:space="preserve">Consejo escalonado hasta la junta de 2030 y destitución de consejeros solo con causa y mayoría de 2/3 hasta entonces [17].</w:t>
      </w:r>
    </w:p>
    <w:p>
      <w:pPr>
        <w:pStyle w:val="ListParagraph"/>
        <w:numPr>
          <w:ilvl w:val="0"/>
          <w:numId w:val="2"/>
        </w:numPr>
        <w:spacing w:after="60"/>
      </w:pPr>
      <w:r>
        <w:t xml:space="preserve">Pago a Honeywell de 1.125 M USD por la licencia de la marca en menos de cinco años (18,75 M al mes), más acuerdos de servicios transitorios de hasta dos años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rebajada el 5-ago-2026: crecimiento orgánico del 4-5 % (antes 7-9 %), EBIT ajustado pro forma de 4.350-4.450 M (antes 4.650-4.750 M), BPA ajustado pro forma de 7,60-7,90 USD y flujo libre del segundo semestre de 1.000-1.500 M [3]. Objetivos a 2030 fijados en el día del inversor del 3-jun-2026; la empresa no ha dado guía de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BPA de base mixta GAAP/ajustada)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256,00</w:t>
            </w:r>
          </w:p>
        </w:tc>
      </w:tr>
    </w:tbl>
    <w:p>
      <w:pPr>
        <w:spacing w:after="160" w:before="0"/>
      </w:pPr>
    </w:p>
    <w:p>
      <w:pPr>
        <w:pStyle w:val="Heading2"/>
      </w:pPr>
      <w:r>
        <w:t xml:space="preserve">Revisiones de estimaciones</w:t>
      </w:r>
    </w:p>
    <w:p>
      <w:pPr>
        <w:spacing w:after="100"/>
      </w:pPr>
      <w:r>
        <w:t xml:space="preserve">MarketScreener recoge 17 analistas con recomendación media de «sobreponderar» y objetivo medio de 199,20 USD (160-256) [23]. El BPA esperado es de 6,65 USD en 2026, 8,66 en 2027 y 9,80 en 2028, en una base que mezcla publicado y ajustado [24]; Stock Analysis da 7,74 en 2026 (ajustado), con 4 «compra fuerte», 2 «compra» y 11 «mantener» [25]. En octubre los objetivos bajan: RBC de 250 a 210 USD el 15-oct, BNP de 210 a 160 y TD Cowen de 180 a 170 [23]; Morgan Stanley subió a sobreponderar en agosto y Goldman empezó en neutral con 190 el 7-oct [35].</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bl>
    <w:p>
      <w:pPr>
        <w:spacing w:after="160" w:before="0"/>
      </w:pPr>
    </w:p>
    <w:p>
      <w:pPr>
        <w:spacing w:after="100"/>
      </w:pPr>
      <w:r>
        <w:t xml:space="preserve">La acción empezó a cotizar el 29-jun-2026 con un cierre máximo de 247,15 USD el 2-jul y desde ahí ha caído un 34 %, hasta 163,11 USD, con un mínimo de 149,19 el 10-sep [22]. La caída tiene dos tramos: la venta de los accionistas de Honeywell que no querían la parte aeroespacial (julio) y, sobre todo, el recorte de la guía del 5-ago, que costó un 23,2 % en una sesión [3]. Desde el mínimo de septiembre ha recuperado un 7,6 %, con la compra del presidente y la subida de Morgan Stanley. La volatilidad es del 70 % (de una acción recién cotizada) y la posición corta, del 2,7 % [26]. No hay beta propia: usamos una estimada a partir de los comparables.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 -22,9 % / n.d.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 / +7,6 %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la guía de 2026 el 5-ago (crecimiento orgánico del 7-9 % al 4-5 % y EBIT ajustado −6 %) por restricciones de proveedores y menos defensa: −23,2 % el 6-ago [3,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Primeras sesiones tras la escisión: precios «cuando se emita» con poco volumen (−9,8 % el 25-jun) y venta de accionistas de Honeywell que recibieron las acciones (−5,8 % el 8-jul); sin noticia propia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y rebaja de la guía de 2026; recompra autorizada de 3.500 M [3,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compra 6.400 acciones a 156 USD (998.400 USD)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 Departamento de Justicia por 2,04 M USD por ciberseguridad en un contrato de defensa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valores en Arizona por el periodo del 29-jun al 1-sep; plazo para el demandante principal el 23-nov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en octubre: RBC 250 → 210, BNP 210 → 160, TD Cowen 180 → 170; Goldman empieza en neutral con 190 (7-oct) [23,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después del cierre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tres meses (−22,9 %) la explica el recorte de la guía del 5-ago, que este informe ya recoge: tratamos 2026 como año perdido y la proyección parte de la guía rebajada. Desde septiembre la acción está lateral (−0,7 % en un mes) y cerca de su mínimo. No hay hechos pendientes ajenos al análisis que puedan mover el precio más de un 5 %: no hay accionistas de referencia que coloquen ni ampliaciones; la demanda colectiva es de riesgo económico pequeño. Los resultados del 28-oct no aplazan nada (regla 11). Veredicto: no cambia.</w:t>
      </w:r>
    </w:p>
    <w:p>
      <w:pPr>
        <w:pStyle w:val="Heading1"/>
      </w:pPr>
      <w:r>
        <w:t xml:space="preserve">18. Comparables cotizados</w:t>
      </w:r>
    </w:p>
    <w:p>
      <w:pPr>
        <w:pStyle w:val="Confianza"/>
        <w:spacing w:after="100"/>
      </w:pPr>
      <w:r>
        <w:t xml:space="preserve">Confianza: Media</w:t>
      </w:r>
    </w:p>
    <w:p>
      <w:pPr>
        <w:spacing w:after="100"/>
      </w:pPr>
      <w:r>
        <w:t xml:space="preserve">Ocho proveedores aeroespaciales con posventa propia, de la ficha sectorial: GE Aerospace, RTX (Collins), Safran, Howmet, TransDigm, HEICO, Woodward y Curtiss-Wright [11]. Descartamos los fabricantes de aviones (Airbus, Boeing), los contratistas principales de defensa (Lockheed, General Dynamics), que tienen otra economía, y Honeywell International, que ya no comparte negocio. Cifras de Stock Analysis del 15/16-oct; Safran convertida a 1,1208 USD/EUR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Honeywell Aerospace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Aerospace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Safran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Howmet Aerospace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TransDigm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Woodward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Curtiss-Wright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22,4x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 / 24,2x / 29,5x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 / 31,9x / 37,0x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 / 5,9x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(8 comparables): múltiplo = 8,4 + 1,34 × crecimiento; R² = 0,34. Para el crecimiento esperado de la empresa (6,7 %), el múltiplo ajustado es 17,4x y el valor por acción, 201,15.</w:t>
      </w:r>
    </w:p>
    <w:p>
      <w:pPr>
        <w:spacing w:after="100"/>
      </w:pPr>
      <w:r>
        <w:t xml:space="preserve">Honeywell Aerospace cotiza a 14,7 veces el EBITDA de los próximos 12 meses y 19,8 veces el beneficio, frente a medianas de 22,4 y 31,9 veces de los comparables: un descuento del 35-40 %. Parte está justificado: crece menos (6,7 % frente al 8-14 %), tiene más deuda (3,7 veces frente a 1,3-2,4, salvo TransDigm) y acaba de recortar la guía. La regresión del múltiplo sobre el crecimiento (R² de 0,34) da 17,4 veces para su crecimiento y un valor de 201,15 USD por acción, un 23 % sobre el precio; las medianas sin ajustar darían 262-272 USD. El descuento es mayor de lo que explica el crecimiento, no de lo que explican crecimiento, deuda y credibilidad juntos. Usaríamos 17-18 veces el EBITDA, por debajo de RTX (16,6x NTM, con menos margen) solo si se repite el recorte.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CAES Systems (electrónica de defensa, RF)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 (hoy Honeywell Aerospace)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14x el EBITDA estimado de 2024 con las ventajas fiscales; comprada a Advent [31].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Kaman (componentes aeroespaciales y de ingeniería)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Arcline Investment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16x EBITDA LTM a sep-2023 (112 M) y 2,3x ventas (769 M)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Simmonds Precision Products (sensores y sistemas de combustible, de RTX)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TransDigm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765 M USD con ventajas fiscales sobre ≈ 350 M de ventas de 2025; sin EBITDA publicado [33].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electrónica y componentes aeroespaciales se pagaron a 14-16 veces el EBITDA: CAES (Honeywell, 2024) a unas 14 veces [31], Kaman (Arcline, 2024) a 16 veces [32] y la división de TransDigm comprada a RTX en 2025 sin múltiplo publicado [33]. Son precios de control de negocios más pequeños. Honeywell Aerospace, con 51.700 M de capitalización y 16.006 M de deuda, es difícil de comprar, y el consejo escalonado hasta 2030 lo impide de hecho: no ponderamos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+5,7 % en 2026: centro de la guía de crecimiento orgánico rebajada (4-5 %) más algo más de un punto por la comparación con 2025, que llevaba 312 M menos de ventas por el acuerdo con Flexjet [1, 3]. +7 % en 2027 y 2028, por debajo del consenso (+7,9 % en ambos) [24] y apoyado en una cartera de 18.154 M (+9 %) [3]; después baja al 4,5 % en 2033. Historia: +12,3 % anual en 2023-2025 (con CAES) y +1,7 % en 2018-2025 en el segmento de Honeywell, con la pandemia en medio [7]. El supuesto más exigente es volver al 7 % con la cadena de suministro aún tensa.</w:t>
      </w:r>
    </w:p>
    <w:p>
      <w:pPr>
        <w:keepNext/>
        <w:spacing w:after="100"/>
      </w:pPr>
      <w:r>
        <w:rPr>
          <w:b/>
          <w:bCs/>
        </w:rPr>
        <w:t xml:space="preserve">Márgenes.</w:t>
      </w:r>
    </w:p>
    <w:p>
      <w:pPr>
        <w:spacing w:after="100"/>
      </w:pPr>
      <w:r>
        <w:t xml:space="preserve">Margen EBITDA del 23,7 % en 2026, después de la licencia de la marca, los pagos en acciones y un gasto medioambiental normal: es el centro de la guía de EBIT ajustado (4.400 M) [3] menos lo que la empresa excluye de él, la amortización de intangibles de compras (unos 90 M), los pagos en acciones (unos 100 M), el medioambiente (unos 200 M) y medio año de licencia (112 M), con los importes trimestrales del S-4 [1], más la amortización total (469 M). Sube poco en 2027 (23,8 %) porque la licencia pesa el año entero y sube hasta el 26,5 % en 2032 con la mezcla de posventa y el fin de la licencia a mediados de 2031. Precedente: el margen ajustado de 2025 fue del 25,6 % (4.458 M sobre 17.404 M) sin licencia [1].</w:t>
      </w:r>
    </w:p>
    <w:p>
      <w:pPr>
        <w:keepNext/>
        <w:spacing w:after="100"/>
      </w:pPr>
      <w:r>
        <w:rPr>
          <w:b/>
          <w:bCs/>
        </w:rPr>
        <w:t xml:space="preserve">Inversión y circulante.</w:t>
      </w:r>
    </w:p>
    <w:p>
      <w:pPr>
        <w:spacing w:after="100"/>
      </w:pPr>
      <w:r>
        <w:t xml:space="preserve">Capex del 3,45 % de las ventas en 2026 (incluye sistemas para la separación) que baja al 3,0 % (2,8-3,2 % en 2023-2025) [1]. Amortización del 2,55-2,6 % (2,4 % en 2025, al alza con la inversión). Circulante del 13,5 % de las ventas (13,0 % en 2025): existencias altas por defensa y repuestos. Sin arrendamientos en la deuda (US GAAP).</w:t>
      </w:r>
    </w:p>
    <w:p>
      <w:pPr>
        <w:keepNext/>
        <w:spacing w:after="100"/>
      </w:pPr>
      <w:r>
        <w:rPr>
          <w:b/>
          <w:bCs/>
        </w:rPr>
        <w:t xml:space="preserve">Coste del capital.</w:t>
      </w:r>
    </w:p>
    <w:p>
      <w:pPr>
        <w:spacing w:after="100"/>
      </w:pPr>
      <w:r>
        <w:t xml:space="preserve">Tasa libre del 5,19 % (bono del Tesoro a 10 años del 14-oct) [28]; beta de 1,15: no hay beta propia y usamos la mediana de los comparables (0,96) reapalancada a la deuda de la empresa; prima del 5,5 % sin prima adicional; coste de la deuda del 5,1 % antes de impuestos (cupones del 3,9-5,85 %) [2]; peso de la deuda del 23,6 % a valor de mercado. WACC del 9,74 %. Con la prima implícita de Damodaran (4,2 %) el WACC sería del 8,6 % [29].</w:t>
      </w:r>
    </w:p>
    <w:p>
      <w:pPr>
        <w:keepNext/>
        <w:spacing w:after="100"/>
      </w:pPr>
      <w:r>
        <w:rPr>
          <w:b/>
          <w:bCs/>
        </w:rPr>
        <w:t xml:space="preserve">Valor terminal.</w:t>
      </w:r>
    </w:p>
    <w:p>
      <w:pPr>
        <w:spacing w:after="100"/>
      </w:pPr>
      <w:r>
        <w:t xml:space="preserve">Gordon con un crecimiento del 3,0 %: inflación más el crecimiento de la flota (3,2 % anual hasta 2036) [9], por debajo de la tasa libre menos medio punto (4,69 %). El valor terminal es el 48 % del valor de la empresa, bajo por la etapa de transición de cinco años.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Etapa de transición (DCF en tres etapas)</w:t>
      </w:r>
    </w:p>
    <w:p>
      <w:pPr>
        <w:spacing w:after="100"/>
      </w:pPr>
      <w:r>
        <w:t xml:space="preserve">Con la etapa de transición de 5 años el DCF da 142,07 por acción; sin ella (crecimiento terminal desde 2033e), 135,13.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29.798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Cinco años de transición, de 2033 a 2038, con el crecimiento bajando del 4,5 % al 3 %. Lo sostienen tres cosas: el gasto de mantenimiento de la flota crecerá un 3,3 % anual hasta 2036 en términos reales, más la inflación de los repuestos [9]; la base instalada en cerca del 90 % de la flota da ingresos de posventa durante 25-40 años por avión; y la certificación impide que entren competidores en los sistemas ya volando.</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(reinvierte el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frente al 5,9 %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2.441 M, el 7 % del NOPAT, con un capex bruto medio del 3,1 % de las ventas). En un negocio de activos ligeros, el crecimiento medio del 5,9 %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(guía orgánica del 4-5 % con la cadena de suministro limitando), precio +3 % en repuestos y otros +1,2 % por la comparación con el acuerdo con Flexjet de 2025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por la cartera (18.154 M, +9 %) y la recuperación de suministro; precio +3 %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cadencias de Airbus y Boeing al alza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hacia el crecimiento de la flota (3,2 %) más mejoras de aviónica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del mercado de mantenimiento (3,3 %) más precio [9].</w:t>
            </w:r>
          </w:p>
        </w:tc>
      </w:tr>
    </w:tbl>
    <w:p>
      <w:pPr>
        <w:spacing w:after="160" w:before="0"/>
      </w:pPr>
    </w:p>
    <w:p>
      <w:pPr>
        <w:spacing w:after="100"/>
      </w:pPr>
      <w:r>
        <w:t xml:space="preserve">La calidad sostiene el crecimiento proyectado. (1) El crecimiento medio del 5,9 % está por debajo del histórico de 2023-2025 (12,3 %, con CAES) y del financiable con la reinversión de la proyección al ROIC actual (7,7 %); el motor da «Sí». (2) Apenas necesita capital: la reinversión neta es el 7 % del NOPAT, porque es un negocio de activos ligeros donde el crecimiento sale de precio y volumen sobre la base instalada; la prueba es el poder de precios, que se ve en la posventa +11 % en 2025 sin Flexjet [4]. (3) Cuota a mano: la posventa comercial (7.661 M) es el 5,6 % del gasto mundial de mantenimiento (136.000 M) [9]; creciendo un 6-7 % frente a un mercado del 3,3 % real más inflación, la cuota subiría a un 6 % en 2030, coherente con subidas de precio por encima de la inflación.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 (base: 26,5 %)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9,7 %)</w:t>
            </w:r>
          </w:p>
        </w:tc>
      </w:tr>
    </w:tbl>
    <w:p>
      <w:pPr>
        <w:spacing w:after="160" w:before="0"/>
      </w:pPr>
    </w:p>
    <w:p>
      <w:pPr>
        <w:spacing w:after="100"/>
      </w:pPr>
      <w:r>
        <w:t xml:space="preserve">El DCF da 142,07 USD por acción, un 12,9 % por debajo del precio de 163,11, con el valor terminal en el 48 %. El DCF inverso dice que el precio descuenta un crecimiento del 7,5 % anual en 2027-2033 (nuestro base: 5,9 %) o un margen EBITDA del 29 % (nuestro base: 26,5 %), y una rentabilidad implícita del 9,1 % frente a un WACC del 9,74 %. La distancia es de coste de capital más que de negocio: con la prima del mercado (4,2 %) el DCF sería de 182,14 USD. La deuda pesa: un 10 % menos de valor de empresa son un 13 % menos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cadena de suministro no mejora y en 2028 la aviación de negocios y la posventa caen como en 2020: ventas −3,5 % ese año y margen 4 puntos menor. Crecimiento 2,5 puntos menor en todo el periodo, WACC medio punto mayor por la deuda y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rebajada cumplida, vuelta al 7 % de crecimiento en 2027-2028 con la cartera y margen EBITDA hacia el 26,5 % en 2032 al terminar la licencia de la marca.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cadena de suministro se normaliza en 2027, las cadencias de Airbus y Boeing suben y defensa crece: crecimiento 1,5 puntos mayor y margen un punto más alto, cerca de los objetivos de 2030.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63,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133,91 USD (-17,9 %).</w:t>
      </w:r>
    </w:p>
    <w:p>
      <w:pPr>
        <w:spacing w:after="100"/>
      </w:pPr>
      <w:r>
        <w:t xml:space="preserve">La asimetría del valor intrínseco es muy desfavorable: el bajista vale 79,87 USD (−51,0 %) y el alcista 171,61 (+5,2 %), asimetría de 0,10. La causa es la deuda: con 15.401 M de deuda neta ajustada, un escenario de recesión de dos años recorta el valor de la acción a la mitad. A 12 meses la asimetría es mejor: el bajista da 106,95 USD (−34 %) y el alcista 265,12 (+63 %), porque la regla aplica el PER actual, ya deprimido.</w:t>
      </w:r>
    </w:p>
    <w:p>
      <w:pPr>
        <w:pStyle w:val="Heading1"/>
      </w:pPr>
      <w:r>
        <w:t xml:space="preserve">22. Suma de partes</w:t>
      </w:r>
    </w:p>
    <w:p>
      <w:pPr>
        <w:pStyle w:val="Confianza"/>
        <w:spacing w:after="100"/>
      </w:pPr>
      <w:r>
        <w:t xml:space="preserve">Confianza: Media</w:t>
      </w:r>
    </w:p>
    <w:p>
      <w:pPr>
        <w:spacing w:after="100"/>
      </w:pPr>
      <w:r>
        <w:t xml:space="preserve">No la usamos: los tres segmentos comparten clientes, tecnología, cadena de suministro y la red de posventa, y los comparables son los mismos para los tres.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63,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164,68 USD (+1,0 % sobre 163,11).</w:t>
      </w:r>
    </w:p>
    <w:p>
      <w:pPr>
        <w:spacing w:after="100"/>
      </w:pPr>
      <w:r>
        <w:t xml:space="preserve">Pesos: DCF 50 %, escenarios 30 % y comparables 20 %; transacciones 0 % porque la empresa no es comprable (consejo escalonado hasta 2030, 67.107 M de valor de empresa). El DCF es el método más fiable para un negocio con flujos de posventa estables, pero es sensible a la deuda y a un WACC sin beta propia. Los comparables (mediana de 22,4 veces el EBITDA y 31,9 el beneficio) recogen el precio del sector y valen 262-272 USD; los pesamos poco porque crecen más y deben menos, y la regresión por crecimiento da 201,15. La dispersión es alta: de 79,87 (bajista) a 272,20 (comparables por EV/EBITDA), con el DCF en 142,07. El valor intrínseco ponderado es de 164,68 USD (+1,0 %). Ojo: es sensible al peso de los comparables; sin ellos sería de 138,80 y con un 15 %, de unos 158.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r>
    </w:tbl>
    <w:p>
      <w:pPr>
        <w:spacing w:after="160" w:before="0"/>
      </w:pPr>
    </w:p>
    <w:p>
      <w:pPr>
        <w:spacing w:after="100"/>
      </w:pPr>
      <w:r>
        <w:rPr>
          <w:b/>
          <w:bCs/>
        </w:rPr>
        <w:t xml:space="preserve">Objetivo a 12 meses (ponderado):</w:t>
      </w:r>
      <w:r>
        <w:t xml:space="preserve"> 185,99 USD · rentabilidad +14,0 % (base +14,0 %) · señal Mantener.</w:t>
      </w:r>
    </w:p>
    <w:p>
      <w:pPr>
        <w:keepNext/>
        <w:spacing w:after="100"/>
      </w:pPr>
      <w:r>
        <w:rPr>
          <w:b/>
          <w:bCs/>
        </w:rPr>
        <w:t xml:space="preserve">Frente al consenso (solo contraste).</w:t>
      </w:r>
    </w:p>
    <w:p>
      <w:pPr>
        <w:spacing w:after="100"/>
      </w:pPr>
      <w:r>
        <w:t xml:space="preserve">Nuestro BPA de 2028 (10,33 USD) está un 5,4 % por encima del consenso (9,80) [24], por el ingreso de pensiones (unos 0,75 USD por acción), que nosotros contamos y el consenso no; sin él estaríamos un 2 % por debajo (9,57). MarketScreener mezcla además BPA publicado y ajustado. Si se excluyeran las pensiones en todos los años, el crecimiento del BPA de 2027 a 2028 sería algo mayor y la rentabilidad ponderada a 12 meses pasaría del 14,0 % a cerca del 15 %. Nuestro base (185,94 USD) queda un 6,7 % por debajo del objetivo medio de los analistas (199,20), que aplican unas 20 veces el BPA de 2027-2028. La diferencia es pequeña y de múltiplo.</w:t>
      </w:r>
    </w:p>
    <w:p>
      <w:pPr>
        <w:keepNext/>
        <w:spacing w:after="100"/>
      </w:pPr>
      <w:r>
        <w:rPr>
          <w:b/>
          <w:bCs/>
        </w:rPr>
        <w:t xml:space="preserve">Del valor intrínseco al objetivo a 12 meses.</w:t>
      </w:r>
    </w:p>
    <w:p>
      <w:pPr>
        <w:spacing w:after="100"/>
      </w:pPr>
      <w:r>
        <w:t xml:space="preserve">El objetivo a 12 meses (185,99 USD) supera en un 13 % al valor intrínseco (164,68). La distancia sale de que la regla mantiene el PER de hoy (18,0 veces) sobre un BPA que crece un 14 % al año hasta 2028 gracias a la recuperación y a la recompra, mientras el DCF descuenta el flujo de caja al 9,74 % con la deuda restada. Para que el valor intrínseco alcance al objetivo haría falta que el margen suba hacia el 27-28 % o que el coste de capital baje con la deuda; el catalizador es la guía de 2027 de febrero.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margen, cadena de suministro y caja hacia los 1.000-1.500 M del segundo semestre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para el demandante principal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Ruido; el riesgo económico es pequeño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y ritmo de la recompra de 3.500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0,81 USD por acción en 2026 [24]; la recompra apoyaría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primer 10-K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decide si 2026 fue un bache: un 7 % de crecimiento orgánico confirmaría nuestro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de defensa de EE. UU. del año fiscal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26 % de las ventas es del Gobierno de EE. UU.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cadencias de Airbus (A320 hacia 75 al mes) y Boeing (737)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equipo original y presión sobre la cadena de suministro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vencimiento grande de deuda (1.251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o repago con caja; marca el ritmo de desapalancamiento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aeronáutico con deuda alta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(escenario bajista: caída de ventas en 2028 y margen 4 puntos menor)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(41 % de las ventas) amortigua; en 2020 el margen del segmento apenas bajó [7]; rating de grado de inversión.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Horas de vuelo de aviación de negocios en negativo o posventa comercial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(2027 como 2026: crecimiento del 4-5 % y margen estancado)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récord de 18.154 M: la demanda está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recorte de guía o crecimiento orgánico por debajo del 4 % en el 3T o 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y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presidente de 998.400 USD [19]; la multa de origen fue de 2 M USD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incumplimientos de guía o hallazgos en la demanda.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Gobierno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plurianuales y diversificación en posventa comercial.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programas restringidos o auditorías de precios de repuestos.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Concesiones a clientes grandes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acuerdo como el de Flexjet</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acuerdos amplían contratos de servicio a largo plazo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acuerdos registrados como menos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medioambientales heredados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828 M; gasto anual de 200-400 M ya en la proyección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Dotaciones extraordinarias o nuevos emplazamientos.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controles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mayoritaria en EE. UU.; traslado de costes a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sobre insumos o represalias a la exportación aeroespacial.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Licencia de la marca y costes de empresa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Ya en la proyección (225 M al año hasta 2031)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extingue a mediados de 2031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corporativos por encima de lo previsto.</w:t>
            </w:r>
          </w:p>
        </w:tc>
      </w:tr>
    </w:tbl>
    <w:p>
      <w:pPr>
        <w:spacing w:after="160" w:before="0"/>
      </w:pPr>
    </w:p>
    <w:p>
      <w:pPr>
        <w:pStyle w:val="Heading2"/>
      </w:pPr>
      <w:r>
        <w:t xml:space="preserve">Pre-mortem</w:t>
      </w:r>
    </w:p>
    <w:p>
      <w:pPr>
        <w:spacing w:after="100"/>
      </w:pPr>
      <w:r>
        <w:t xml:space="preserve">Octubre de 2029: la acción ha perdido un 40 %, hasta unos 98 USD. La cadena de suministro no se arregló en 2027: la empresa volvió a recortar la guía, el crecimiento orgánico se quedó en el 3-4 % y el margen no subió. A la vez, la aviación de negocios entró en recesión con la bolsa y los beneficios empresariales a la baja, y las horas de vuelo cayeron un 10 %; la posventa comercial, que se creía a salvo, bajó con las aerolíneas recortando capacidad. Con 16.006 M de deuda, cada punto de EBITDA perdido se multiplicó en el valor de la acción, la recompra de 3.500 M se paró y el rating bajó a BBB. La demanda colectiva sacó a la luz que los problemas de proveedores se conocían antes de la escisión y el mercado puso a la empresa a 13 veces el beneficio. El BPA de 2028 se quedó en 7 USD en vez de 10,33. Los indicadores que lo habrían anticipado: un segundo recorte de guía, el flujo libre del segundo semestre de 2026 por debajo de 1.000 M y la deuda neta sobre EBITDA por encima de 3,5 veces a final de 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Oportunidad · </w:t>
      </w:r>
      <w:r>
        <w:rPr>
          <w:b/>
          <w:bCs/>
        </w:rPr>
        <w:t xml:space="preserve">Efecto en valor (3-5 años):</w:t>
      </w:r>
      <w:r>
        <w:t xml:space="preserve"> +3 % a 3-5 años</w:t>
      </w:r>
    </w:p>
    <w:p>
      <w:pPr>
        <w:spacing w:after="100"/>
      </w:pPr>
      <w:r>
        <w:t xml:space="preserve">La IA no sustituye lo que vende Honeywell Aerospace: hardware certificado (motores auxiliares, frenos, control ambiental) cuya barrera es la certificación y la base instalada, no el software. Sí puede añadir valor en la parte de datos: la empresa tiene contenido en cerca del 90 % de la flota y vende mantenimiento predictivo, conectividad y aviónica que se actualiza (1.600 M de ventas de mejoras en 2025, +18 % anual) [5]; la IA hace esos datos más valiosos y puede subir el margen de servicio. En defensa, la electrónica de CAES se beneficia de sistemas más autónomos. En costes, ayuda en ingeniería y certificación. La amenaza sería que empresas de software (Anduril, Palantir) capturen la capa de inteligencia de defensa, que hoy es pequeña en sus ventas. Señal: crecimiento de las ventas de mejoras y servicios conectados por debajo del 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Tres asuntos afectan a las cifras. (1) Pasivos medioambientales heredados de Honeywell: 828 M de provisión y 200-400 M de gasto al año [2]. (2) Ciberseguridad y cumplimiento en contratos de defensa: el acuerdo de 2,04 M USD de septiembre de 2026 por incumplir la norma NIST SP 800-171 [20] muestra el riesgo en un negocio con el 26 % de las ventas al Gobierno de EE. UU. (3) Emisiones de la aviación: la eficiencia de motores y sistemas es una oportunidad comercial. Sin calificaciones propias publicadas todavía tras la escisión.</w:t>
      </w:r>
    </w:p>
    <w:p>
      <w:pPr>
        <w:pStyle w:val="Heading2"/>
      </w:pPr>
      <w:r>
        <w:t xml:space="preserve">Controversias</w:t>
      </w:r>
    </w:p>
    <w:p>
      <w:pPr>
        <w:spacing w:after="100"/>
      </w:pPr>
      <w:r>
        <w:t xml:space="preserve">Acuerdo con el Departamento de Justicia por la Ley de Reclamaciones Falsas (2,04 M USD, 1-sep-2026) [20] y demanda colectiva de valores en Arizona por el recorte de la guía (presentada en octubre de 2026) [21].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recorte de 2026 es producción retrasada por falta de piezas que se recupera en 2027, y qué parte es demanda perdida?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nuestro 7 % de crecimiento en 2027 es prudente u optimista.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deuda neta sobre EBITDA quiere la empresa antes de usar la recompra de 3.500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3,7 veces, recomprar acciones en vez de pagar deuda aumenta el riesgo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cuestan al año los costes de empresa independiente frente a los repartidos por Honeywell en los estados combinados?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margen de 2026 supone que la guía ya los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Medioambiente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gasto medioambiental recurrente espera la empresa y qué riesgo hay por encima de la provisión de 828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saca del ajustado; nosotros lo dejamos como coste.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 de negocios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los motores y la aviónica de aviación de negocios en el beneficio y cómo se comportaron en 2009?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más cíclica y la que sufrió los acuerdos con Bombardier y Flexjet.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otros clientes grandes con contratos de servicio en revisión como los de Bombardier y Flexjet?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acuerdo de ese tipo costó 300-375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sabía la dirección sobre las restricciones de proveedores al fijar la guía del folleto y del día del inversor?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colectiva y la credibilidad dependen de esa respuesta.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($HONA)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de octubre se reparten entre quien ve el suelo hecho («bottom appears to be in», compras de opciones de largo plazo entre 160 y 210) y quien da la escisión por fracasada para el accionista de toda la vida; aparecen avisos de la demanda colectiva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artículos en un mes: dos alcistas (problemas temporales de suministro, defensa para 2027) y dos neutrales o bajistas («moat ya pagado», «2026 es un año de reajuste»)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(titulares de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Agosto dominado por el fallo de ventas y beneficio del 2T26 y la rebaja de guía; después, la subida de Morgan Stanley a sobreponderar el 19-ago («la caída crea un punto de entrada») [35,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Cadena de suministro y recorte de la guía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dos lados: la demanda está (cartera +9 %, pedidos +8 %), pero el margen del 2T26 cayó 3 puntos y la guía de EBIT bajó un 6 %; el informe trata 2026 como año perdido y no extrapola la caída.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Escisión y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sociedad nace con 16.006 M de deuda y patrimonio negativo para financiar un pago de 15.087 M a Honeywell; el rating sigue en BBB+/A-/A3 y la deuda neta pro forma es ≈ 3,4 veces el EBITDA.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 (D. Arizona), pero la multa de origen es de 2 M USD; el riesgo económico es pequeño frente a 51.700 M de capitalización.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frente a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en múltiplos (PER adelantado 18x frente a 32x de mediana), pero con más deuda y menos crecimiento que GE, Howmet o HEICO; el DCF no da el descuento por hecho.</w:t>
            </w:r>
          </w:p>
        </w:tc>
      </w:tr>
    </w:tbl>
    <w:p>
      <w:pPr>
        <w:spacing w:after="160" w:before="0"/>
      </w:pPr>
    </w:p>
    <w:p>
      <w:pPr>
        <w:spacing w:after="100"/>
      </w:pPr>
      <w:r>
        <w:t xml:space="preserve">El inversor particular está dividido y algo menos pesimista que en agosto: en Stocktwits y Seeking Alpha se oponen la tesis de «negocio de primera a precio de saldo tras la escisión» y la de «deuda alta y dirección que ha perdido credibilidad» [36, 37]. No hay euforia ni capitulación: la acción lleva un mes lateral. Coincide con nuestra lectura (calidad del negocio, pero 2026 perdido y deuda que pesa) y no aporta un riesgo que no tuviéramos. Contradice en el tono a los analistas, que mantienen «sobreponderar» con un objetivo de 199,20 USD [23].</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37 (15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13,5 % frente a 13,0 % real: genera una variación de circulante de 213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35,4 % frente a WACC 9,7 %: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 Explicación: No hay historia: la acción cotiza desde el 29-jun-2026 y los cierres «cuando se emita» de junio no son representativos. Sin historia, el motor aplica la regla de las recién cotizadas (base = PER actual; bajista = base × 0,85; alcista hasta la mediana de comparables con techo de base × 1,30), como en Puig y Pluxee. Rellenar una historia con los múltiplos de Honeywell sería medir otro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balance y flujos de 2019-2022 (cinco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informativo y S-4: solo estados combinados auditados de 2023-2025 (balance de 2024-2025); 2) registro confidencial (DRS) del Form 10 (oct-2025): 2023-2024 con otro perímetro; 3) 10-K de Honeywell 2020 y 2022: solo ventas, beneficio de segmento, amortizaciones y capex del segmento Aerospace, no comparables con la cuenta del carve-out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S-4 y folleto (solo 2024-2025); 2) DRS de oct-2025 (solo 2024); 3) 10-K de Honeywell (no publica balance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y de la cúpula en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sin DEF 14A (la primera junta será en 2027); 2) folleto informativo: sin votos propios; 3) votos de Honeywell: no aplican a la nueva sociedad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la remuneración del consejero delegado sobre el salario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no la publica para la nueva empresa; 2) proxy de Honeywell 2026: es la del grupo; 3) cálculo con gasto de personal: el carve-out no lo desglosa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múltiplos históricos (5-10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cotiza desde el 29-jun-2026 (antes, solo «cuando se emita» con volúmenes de cientos de acciones); 2) Honeywell: múltiplos del grupo, otro negocio; 3) estimación con comparables: no es historia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rentabilidades a 1-10 años y rentabilidad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75 sesiones, sin beta mensual ni semanal; 2) Stock Analysis: beta n.d.; 3) beta de los comparables (mediana 0,96) reapalancada: usada en el WACC como estimación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Parker-Meggitt, Safran-actuación de Collins y TransDigm-CPI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los compradores: sin EBITDA del objetivo; 2) prensa: solo importes; 3) TransDigm 10-K 2025: precio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S-4 (oferta de canje de bonos): estados combinados auditados 2023-2025 (Deloitte), información pro forma, capitalización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https://www.sec.gov/Archives/edgar/data/2089271/000119312526296207/d132076ds4.htm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(trimestre cerrado el 27-jun-2026): estados combinados, deuda, contingencias, segmentos y hechos posteriores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https://www.sec.gov/Archives/edgar/data/2089271/000208927126000021/hona-20260627.htm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reports second quarter results; updates 2026 outlook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https://www.sec.gov/Archives/edgar/data/2089271/000208927126000020/exhibit991q22026earningsre.htm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trimestral complementaria 2024-2025 (8-K de cierre de la escisión,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https://www.sec.gov/Archives/edgar/data/2089271/000162828026045874/exhibit991-closing8xk.htm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informativo final (Information Statement), 8-K del 15-jun-2026,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https://www.sec.gov/Archives/edgar/data/2089271/000162828026043193/exhibit991-informationstat.htm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International, Form 10-K 2022 (segmento Aerospace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International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https://www.sec.gov/Archives/edgar/data/773840/000077384023000013/hon-20221231.htm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International, Form 10-K 2020 (segmento Aerospace 2018-2020)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International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https://www.sec.gov/Archives/edgar/data/773840/000077384021000015/hon-20201231.htm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confidencial del Form 10 (DRS), estados combinados 2023-2024 con el perímetro anterior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LLC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https://www.sec.gov/Archives/edgar/data/2089271/000162827925000665/filename2.htm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Fleet and MRO Market Forecast 2026-2036,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Oliver Wyman (publicado por ARSA)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https://arsa.org/wp-content/uploads/2026/03/ARSA-OW-2026FleetMROMarketReport-ExecSum-2026.pdf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Trends in World Military Expenditure,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https://www.sipri.org/media/press-release/2026/world-military-expenditure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Aerospace: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Safran: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https://stockanalysis.com/quote/epa/SAF/statistics/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TransDigm: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https://stockanalysis.com/stocks/tdg/statistics/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Woodward: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https://stockanalysis.com/stocks/wwd/statistics/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HEICO: estadísticas y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https://stockanalysis.com/stocks/hei/statistics/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cierre de la escisión (consejo, comisiones, directivos, estatutos)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https://www.sec.gov/Archives/edgar/data/2089271/000162828026045874/hona-20260625.htm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5-ago-2026 (resultados, recompra de 3.500 M y concesión puente de 9 M al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https://www.sec.gov/Archives/edgar/data/2089271/000208927126000020/hona-20260723.htm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desde el 29-jun-2026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https://www.sec.gov/cgi-bin/browse-edgar?action=getcompany&amp;CIK=0002089271&amp;type=4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Inc. agrees to pay over $2M to settle False Claims Act allegations (ciberseguridad)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Departamento de Justicia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https://justice.gov/opa/pr/honeywell-aerospace-inc-agrees-pay-over-2m-settle-false-claims-act-allegations-failing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demanda colectiva Green v. Honeywell Aerospace (D. Arizona, 26-cv-06779)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Kahn Swick &amp; Foti (nota de bufete demandante)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https://placera.se/pressmeddelanden/honeywell-aerospace-inc-notice-of-november-23-2026-application-deadline-for-class-action-lawsuit-contact-lewis-kahn-esq-at-kahn-swick-foti-llc-before-application-deadline-20261010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HONA, SPY e ITA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https://finance.yahoo.com/quote/HONA/history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consenso (17 analistas, objetivo medio, alto y bajo, cambios de objetivo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https://www.marketscreener.com/quote/stock/HONEYWELL-AEROSPACE-INC-209671119/consensus/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estimaciones 2026-2028 (ventas, EBITDA, EBIT, beneficio, BPA, dividendo,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https://www.marketscreener.com/quote/stock/HONEYWELL-AEROSPACE-INC-209671119/finances/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previsiones (ventas y BPA 2026, 17 analistas,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https://stockanalysis.com/stocks/hona/forecast/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estadísticas (capitalización, valor empresa, acciones,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https://stockanalysis.com/stocks/hona/statistics/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del Tesoro a 10 años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Set to Join S&amp;P 500 &amp; S&amp;P 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Dow Jones Indices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https://press.spglobal.com/2026-06-23-Honeywell-Aerospace-Set-to-Join-S-P-500-S-P-100-Others-to-Join-S-P-MidCap-400-and-S-P-SmallCap-600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CAES to Enhance Defense Technologies (≈ 14x el EBITDA estimado de 2024 ajustado por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https://www.honeywell.com/us/en/news/press-releases/2024/06/honeywell-to-acquire-caes-to-enhance-defense-technologies-across-land-sea-air-space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to be acquired by Arcline for $1.8 billion (16x EBITDA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 Professional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https://peprofessional.com/2024/01/kaman-to-be-acquired-by-arcline-for-1-8-billion/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TransDigm completes acquisition of the Simmonds Precision Products business (≈ 765 M USD; ≈ 350 M de ventas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Airframer / TransDigm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https://www.airframer.com/news/release/transdigm-completes-acquisition-of-the-simmonds-precision-products-inc-business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to release third quarter financial results on Wednesday, October 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https://finviz.com/news/396372/honeywell-aerospace-to-release-third-quarter-financial-results-and-hold-its-investor-conference-call-on-wednesday-october-28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análisis de HONA (RSS,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https://seekingalpha.com/api/sa/combined/HONA.xml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$HONA (26-sep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https://api.stocktwits.com/api/2/streams/symbol/HONA.json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Aerospace: Strong Buy As Headwinds Should Be Temporary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https://seekingalpha.com/symbol/HONA/analysis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87,7 %</w:t>
      </w:r>
      <w:r>
        <w:t xml:space="preserve"> · Secciones con menos del 60 % de campos cubiertos: </w:t>
      </w:r>
      <w:r>
        <w:rPr>
          <w:b/>
          <w:bCs/>
        </w:rPr>
        <w:t xml:space="preserve">multiplos_historicos</w:t>
      </w:r>
      <w:r>
        <w:t xml:space="preserve"> · Generado el 16 oct 2026.</w:t>
      </w:r>
    </w:p>
    <w:p>
      <w:pPr>
        <w:pStyle w:val="Nota"/>
        <w:spacing w:after="100"/>
      </w:pPr>
      <w:r>
        <w:t xml:space="preserve">Honeywell Aerospace Inc. cotiza en el Nasdaq (HONA) desde el 29-jun-2026, tras su escisión de Honeywell International (una acción por cada dos de Honeywell). No ha presentado aún un 10-K: la herramienta del XBRL de la SEC falla por falta de ejercicio anual y las cuentas se toman a mano de los estados combinados auditados de 2023-2025 (S-4 de julio y folleto informativo de junio) [1, 5] y del 10-Q del 2T26 [2]. Solo hay tres ejercicios con el perímetro actual y balance de 2024-2025: la historia larga es la del segmento Aerospace en los 10-K de Honeywell (ventas y beneficio de segmento de 2018-2022) [6, 7], con otro perímetro y sin cuenta completa; el registro confidencial del Form 10 de 2025 tiene otro perímetro [8]. Los estados combinados reparten costes de Honeywell y no llevan la deuda, los intereses ni la licencia de la marca: el EBITDA de la proyección los incorpora como empresa independiente. Sin historia de cotización (75 sesiones): no hay beta propia, ni rentabilidades a 1-10 años, ni serie de múltiplos; el objetivo a 12 meses aplica la regla de las recién cotizadas. El precio es el cierre del 15-oct-2026 (163,11 USD) [22]. El consenso de BPA de MarketScreener mezcla BPA publicado y ajustado [24].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Honeywell Aerospace Inc. (HONA)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163,11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(149,19 – 247,15)</c:v>
                </c:pt>
                <c:pt idx="1">
                  <c:v>Precio objetivo de los analistas (160,00 – 256,00)</c:v>
                </c:pt>
                <c:pt idx="2">
                  <c:v>Comparables: EV/EBITDA NTM (205,82 – 332,48)</c:v>
                </c:pt>
                <c:pt idx="3">
                  <c:v>Comparables: PER NTM (219,44 – 304,74)</c:v>
                </c:pt>
                <c:pt idx="4">
                  <c:v>DCF (WACC y g ± 0,5) (122,21 – 168,59)</c:v>
                </c:pt>
                <c:pt idx="5">
                  <c:v>Escenarios (bajista – alcista) (79,87 – 171,61)</c:v>
                </c:pt>
                <c:pt idx="6">
                  <c:v>DCF con la prima implícita del mercado (4,2 %)</c:v>
                </c:pt>
                <c:pt idx="7">
                  <c:v>Precio actual (163,11)</c:v>
                </c:pt>
              </c:strCache>
            </c:strRef>
          </c:cat>
          <c:val>
            <c:numRef>
              <c:f>Hoja1!$B$2:$B$9</c:f>
              <c:numCache>
                <c:formatCode>#,##0</c:formatCode>
                <c:ptCount val="8"/>
                <c:pt idx="0">
                  <c:v>149.19</c:v>
                </c:pt>
                <c:pt idx="1">
                  <c:v>160</c:v>
                </c:pt>
                <c:pt idx="2">
                  <c:v>205.82</c:v>
                </c:pt>
                <c:pt idx="3">
                  <c:v>219.44</c:v>
                </c:pt>
                <c:pt idx="4">
                  <c:v>122.21</c:v>
                </c:pt>
                <c:pt idx="5">
                  <c:v>79.87</c:v>
                </c:pt>
                <c:pt idx="6">
                  <c:v>162.73</c:v>
                </c:pt>
                <c:pt idx="7">
                  <c:v>162.29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(149,19 – 247,15)</c:v>
                </c:pt>
                <c:pt idx="1">
                  <c:v>Precio objetivo de los analistas (160,00 – 256,00)</c:v>
                </c:pt>
                <c:pt idx="2">
                  <c:v>Comparables: EV/EBITDA NTM (205,82 – 332,48)</c:v>
                </c:pt>
                <c:pt idx="3">
                  <c:v>Comparables: PER NTM (219,44 – 304,74)</c:v>
                </c:pt>
                <c:pt idx="4">
                  <c:v>DCF (WACC y g ± 0,5) (122,21 – 168,59)</c:v>
                </c:pt>
                <c:pt idx="5">
                  <c:v>Escenarios (bajista – alcista) (79,87 – 171,61)</c:v>
                </c:pt>
                <c:pt idx="6">
                  <c:v>DCF con la prima implícita del mercado (4,2 %)</c:v>
                </c:pt>
                <c:pt idx="7">
                  <c:v>Precio actual (163,11)</c:v>
                </c:pt>
              </c:strCache>
            </c:strRef>
          </c:cat>
          <c:val>
            <c:numRef>
              <c:f>Hoja1!$C$2:$C$9</c:f>
              <c:numCache>
                <c:formatCode>#,##0</c:formatCode>
                <c:ptCount val="8"/>
                <c:pt idx="0">
                  <c:v>97.96000000000001</c:v>
                </c:pt>
                <c:pt idx="1">
                  <c:v>96</c:v>
                </c:pt>
                <c:pt idx="2">
                  <c:v>126.66000000000003</c:v>
                </c:pt>
                <c:pt idx="3">
                  <c:v>85.30000000000001</c:v>
                </c:pt>
                <c:pt idx="4">
                  <c:v>46.38000000000001</c:v>
                </c:pt>
                <c:pt idx="5">
                  <c:v>91.74000000000001</c:v>
                </c:pt>
                <c:pt idx="6">
                  <c:v>42.670000000000016</c:v>
                </c:pt>
                <c:pt idx="7">
                  <c:v>1.6400000000000148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Electronic Solutions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5098</c:v>
                </c:pt>
                <c:pt idx="1">
                  <c:v>6025</c:v>
                </c:pt>
                <c:pt idx="2">
                  <c:v>6816</c:v>
                </c:pt>
              </c:numCache>
            </c:numRef>
          </c:val>
        </c:ser>
        <c:ser>
          <c:idx val="1"/>
          <c:order val="1"/>
          <c:tx>
            <c:strRef>
              <c:f>Hoja1!$C$1</c:f>
              <c:strCache>
                <c:ptCount val="1"/>
                <c:pt idx="0">
                  <c:v>Engines &amp; Power Systems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4595</c:v>
                </c:pt>
                <c:pt idx="1">
                  <c:v>4731</c:v>
                </c:pt>
                <c:pt idx="2">
                  <c:v>5411</c:v>
                </c:pt>
              </c:numCache>
            </c:numRef>
          </c:val>
        </c:ser>
        <c:ser>
          <c:idx val="2"/>
          <c:order val="2"/>
          <c:tx>
            <c:strRef>
              <c:f>Hoja1!$D$1</c:f>
              <c:strCache>
                <c:ptCount val="1"/>
                <c:pt idx="0">
                  <c:v>Control Systems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4097</c:v>
                </c:pt>
                <c:pt idx="1">
                  <c:v>4689</c:v>
                </c:pt>
                <c:pt idx="2">
                  <c:v>5177</c:v>
                </c:pt>
              </c:numCache>
            </c:numRef>
          </c:val>
        </c:ser>
        <c:ser>
          <c:idx val="3"/>
          <c:order val="3"/>
          <c:tx>
            <c:strRef>
              <c:f>Hoja1!$E$1</c:f>
              <c:strCache>
                <c:ptCount val="1"/>
                <c:pt idx="0">
                  <c:v>Corporativo y otros</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Electronic Solutions</c:v>
                </c:pt>
                <c:pt idx="1">
                  <c:v>Engines &amp; Power Systems</c:v>
                </c:pt>
                <c:pt idx="2">
                  <c:v>Control Systems</c:v>
                </c:pt>
                <c:pt idx="3">
                  <c:v>Corporativo y otros</c:v>
                </c:pt>
              </c:strCache>
            </c:strRef>
          </c:cat>
          <c:val>
            <c:numRef>
              <c:f>Hoja1!$B$2:$B$5</c:f>
              <c:numCache>
                <c:formatCode>General</c:formatCode>
                <c:ptCount val="4"/>
                <c:pt idx="0">
                  <c:v>39.2</c:v>
                </c:pt>
                <c:pt idx="1">
                  <c:v>31.1</c:v>
                </c:pt>
                <c:pt idx="2">
                  <c:v>29.7</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 (incluye exportaciones por 4.665 M)</c:v>
                </c:pt>
                <c:pt idx="1">
                  <c:v>Suiza (centro comercial internacional)</c:v>
                </c:pt>
                <c:pt idx="2">
                  <c:v>Resto de Europa, Oriente Medio, África e India</c:v>
                </c:pt>
                <c:pt idx="3">
                  <c:v>Resto del mundo</c:v>
                </c:pt>
              </c:strCache>
            </c:strRef>
          </c:cat>
          <c:val>
            <c:numRef>
              <c:f>Hoja1!$B$2:$B$5</c:f>
              <c:numCache>
                <c:formatCode>0"%"</c:formatCode>
                <c:ptCount val="4"/>
                <c:pt idx="0">
                  <c:v>73.2</c:v>
                </c:pt>
                <c:pt idx="1">
                  <c:v>15.2</c:v>
                </c:pt>
                <c:pt idx="2">
                  <c:v>2.3</c:v>
                </c:pt>
                <c:pt idx="3">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mantenimiento de la flota comercial))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2036e</c:v>
                </c:pt>
              </c:strCache>
            </c:strRef>
          </c:cat>
          <c:val>
            <c:numRef>
              <c:f>Hoja1!$B$2:$B$4</c:f>
              <c:numCache>
                <c:formatCode>#,##0</c:formatCode>
                <c:ptCount val="3"/>
                <c:pt idx="0">
                  <c:v>126000</c:v>
                </c:pt>
                <c:pt idx="1">
                  <c:v>136000</c:v>
                </c:pt>
                <c:pt idx="2">
                  <c:v>193000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Honeywell Aerospace</c:v>
                </c:pt>
                <c:pt idx="1">
                  <c:v>RTX (Collins Aerospace, Pratt &amp; Whitney)</c:v>
                </c:pt>
                <c:pt idx="2">
                  <c:v>Safran</c:v>
                </c:pt>
                <c:pt idx="3">
                  <c:v>GE Aerospace</c:v>
                </c:pt>
                <c:pt idx="4">
                  <c:v>TransDigm</c:v>
                </c:pt>
                <c:pt idx="5">
                  <c:v>HEICO</c:v>
                </c:pt>
                <c:pt idx="6">
                  <c:v>Woodward</c:v>
                </c:pt>
              </c:strCache>
            </c:strRef>
          </c:cat>
          <c:val>
            <c:numRef>
              <c:f>Hoja1!$B$2:$B$8</c:f>
              <c:numCache>
                <c:formatCode>0.0"%"</c:formatCode>
                <c:ptCount val="7"/>
                <c:pt idx="0">
                  <c:v>21.1</c:v>
                </c:pt>
                <c:pt idx="3">
                  <c:v>20.2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2023</c:v>
                </c:pt>
                <c:pt idx="1">
                  <c:v>2024</c:v>
                </c:pt>
                <c:pt idx="2">
                  <c:v>2025</c:v>
                </c:pt>
                <c:pt idx="3">
                  <c:v>2026e</c:v>
                </c:pt>
                <c:pt idx="4">
                  <c:v>2027e</c:v>
                </c:pt>
                <c:pt idx="5">
                  <c:v>2028e</c:v>
                </c:pt>
                <c:pt idx="6">
                  <c:v>2029e</c:v>
                </c:pt>
                <c:pt idx="7">
                  <c:v>2030e</c:v>
                </c:pt>
                <c:pt idx="8">
                  <c:v>2031e</c:v>
                </c:pt>
                <c:pt idx="9">
                  <c:v>2032e</c:v>
                </c:pt>
                <c:pt idx="10">
                  <c:v>2033e</c:v>
                </c:pt>
              </c:strCache>
            </c:strRef>
          </c:cat>
          <c:val>
            <c:numRef>
              <c:f>Hoja1!$B$2:$B$12</c:f>
              <c:numCache>
                <c:formatCode>#,##0</c:formatCode>
                <c:ptCount val="11"/>
                <c:pt idx="0">
                  <c:v>13790</c:v>
                </c:pt>
                <c:pt idx="1">
                  <c:v>15445</c:v>
                </c:pt>
                <c:pt idx="2">
                  <c:v>17404</c:v>
                </c:pt>
                <c:pt idx="3">
                  <c:v>18396</c:v>
                </c:pt>
                <c:pt idx="4">
                  <c:v>19684</c:v>
                </c:pt>
                <c:pt idx="5">
                  <c:v>21062</c:v>
                </c:pt>
                <c:pt idx="6">
                  <c:v>22431</c:v>
                </c:pt>
                <c:pt idx="7">
                  <c:v>23776</c:v>
                </c:pt>
                <c:pt idx="8">
                  <c:v>25084</c:v>
                </c:pt>
                <c:pt idx="9">
                  <c:v>26338</c:v>
                </c:pt>
                <c:pt idx="10">
                  <c:v>27524</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2023</c:v>
                </c:pt>
                <c:pt idx="1">
                  <c:v>2024</c:v>
                </c:pt>
                <c:pt idx="2">
                  <c:v>2025</c:v>
                </c:pt>
                <c:pt idx="3">
                  <c:v>2026e</c:v>
                </c:pt>
                <c:pt idx="4">
                  <c:v>2027e</c:v>
                </c:pt>
                <c:pt idx="5">
                  <c:v>2028e</c:v>
                </c:pt>
                <c:pt idx="6">
                  <c:v>2029e</c:v>
                </c:pt>
                <c:pt idx="7">
                  <c:v>2030e</c:v>
                </c:pt>
                <c:pt idx="8">
                  <c:v>2031e</c:v>
                </c:pt>
                <c:pt idx="9">
                  <c:v>2032e</c:v>
                </c:pt>
                <c:pt idx="10">
                  <c:v>2033e</c:v>
                </c:pt>
              </c:strCache>
            </c:strRef>
          </c:cat>
          <c:val>
            <c:numRef>
              <c:f>Hoja1!$C$2:$C$12</c:f>
              <c:numCache>
                <c:formatCode>#,##0</c:formatCode>
                <c:ptCount val="11"/>
                <c:pt idx="0">
                  <c:v>3773</c:v>
                </c:pt>
                <c:pt idx="1">
                  <c:v>3714</c:v>
                </c:pt>
                <c:pt idx="2">
                  <c:v>4091</c:v>
                </c:pt>
                <c:pt idx="3">
                  <c:v>4360</c:v>
                </c:pt>
                <c:pt idx="4">
                  <c:v>4685</c:v>
                </c:pt>
                <c:pt idx="5">
                  <c:v>5160</c:v>
                </c:pt>
                <c:pt idx="6">
                  <c:v>5653</c:v>
                </c:pt>
                <c:pt idx="7">
                  <c:v>6087</c:v>
                </c:pt>
                <c:pt idx="8">
                  <c:v>6522</c:v>
                </c:pt>
                <c:pt idx="9">
                  <c:v>6980</c:v>
                </c:pt>
                <c:pt idx="10">
                  <c:v>7294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38.3</c:v>
                </c:pt>
                <c:pt idx="1">
                  <c:v>35.6</c:v>
                </c:pt>
                <c:pt idx="2">
                  <c:v>34.8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27.4</c:v>
                </c:pt>
                <c:pt idx="1">
                  <c:v>24</c:v>
                </c:pt>
                <c:pt idx="2">
                  <c:v>23.5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25.2</c:v>
                </c:pt>
                <c:pt idx="1">
                  <c:v>21.8</c:v>
                </c:pt>
                <c:pt idx="2">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Hoja1!$A$2:$A$4</c:f>
              <c:strCache>
                <c:ptCount val="3"/>
                <c:pt idx="0">
                  <c:v>2023</c:v>
                </c:pt>
                <c:pt idx="1">
                  <c:v>2024</c:v>
                </c:pt>
                <c:pt idx="2">
                  <c:v>2025</c:v>
                </c:pt>
              </c:strCache>
            </c:strRef>
          </c:cat>
          <c:val>
            <c:numRef>
              <c:f>Hoja1!$E$2:$E$4</c:f>
              <c:numCache>
                <c:formatCode>0"%"</c:formatCode>
                <c:ptCount val="3"/>
                <c:pt idx="0">
                  <c:v>20.9</c:v>
                </c:pt>
                <c:pt idx="1">
                  <c:v>18.2</c:v>
                </c:pt>
                <c:pt idx="2">
                  <c:v>15.4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10</c:v>
                </c:pt>
                <c:pt idx="3">
                  <c:v>11.7</c:v>
                </c:pt>
                <c:pt idx="4">
                  <c:v>17</c:v>
                </c:pt>
                <c:pt idx="5">
                  <c:v>11.9</c:v>
                </c:pt>
                <c:pt idx="6">
                  <c:v>6.8</c:v>
                </c:pt>
                <c:pt idx="7">
                  <c:v>5.4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5</c:v>
                </c:pt>
                <c:pt idx="3">
                  <c:v>7</c:v>
                </c:pt>
                <c:pt idx="4">
                  <c:v>14</c:v>
                </c:pt>
                <c:pt idx="5">
                  <c:v>20</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Hoja1!$A$2:$A$3</c:f>
              <c:strCache>
                <c:ptCount val="2"/>
                <c:pt idx="0">
                  <c:v>2024</c:v>
                </c:pt>
                <c:pt idx="1">
                  <c:v>2025</c:v>
                </c:pt>
              </c:strCache>
            </c:strRef>
          </c:cat>
          <c:val>
            <c:numRef>
              <c:f>Hoja1!$B$2:$B$3</c:f>
              <c:numCache>
                <c:formatCode>0</c:formatCode>
                <c:ptCount val="2"/>
                <c:pt idx="0">
                  <c:v>48</c:v>
                </c:pt>
                <c:pt idx="1">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Hoja1!$A$2:$A$3</c:f>
              <c:strCache>
                <c:ptCount val="2"/>
                <c:pt idx="0">
                  <c:v>2024</c:v>
                </c:pt>
                <c:pt idx="1">
                  <c:v>2025</c:v>
                </c:pt>
              </c:strCache>
            </c:strRef>
          </c:cat>
          <c:val>
            <c:numRef>
              <c:f>Hoja1!$C$2:$C$3</c:f>
              <c:numCache>
                <c:formatCode>0</c:formatCode>
                <c:ptCount val="2"/>
                <c:pt idx="0">
                  <c:v>143</c:v>
                </c:pt>
                <c:pt idx="1">
                  <c:v>139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Hoja1!$A$2:$A$3</c:f>
              <c:strCache>
                <c:ptCount val="2"/>
                <c:pt idx="0">
                  <c:v>2024</c:v>
                </c:pt>
                <c:pt idx="1">
                  <c:v>2025</c:v>
                </c:pt>
              </c:strCache>
            </c:strRef>
          </c:cat>
          <c:val>
            <c:numRef>
              <c:f>Hoja1!$D$2:$D$3</c:f>
              <c:numCache>
                <c:formatCode>0</c:formatCode>
                <c:ptCount val="2"/>
                <c:pt idx="0">
                  <c:v>98</c:v>
                </c:pt>
                <c:pt idx="1">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2597</c:v>
                </c:pt>
                <c:pt idx="1">
                  <c:v>2050</c:v>
                </c:pt>
                <c:pt idx="2">
                  <c:v>3201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2886</c:v>
                </c:pt>
                <c:pt idx="1">
                  <c:v>2817</c:v>
                </c:pt>
                <c:pt idx="2">
                  <c:v>2687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1">
                  <c:v>33.2</c:v>
                </c:pt>
                <c:pt idx="2">
                  <c:v>35.4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9.7</c:v>
                </c:pt>
                <c:pt idx="1">
                  <c:v>9.7</c:v>
                </c:pt>
                <c:pt idx="2">
                  <c:v>9.7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1">
                  <c:v>32.2</c:v>
                </c:pt>
                <c:pt idx="2">
                  <c:v>31.4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-0.07</c:v>
                </c:pt>
                <c:pt idx="1">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2027</c:v>
                </c:pt>
                <c:pt idx="1">
                  <c:v>2028</c:v>
                </c:pt>
                <c:pt idx="2">
                  <c:v>2029</c:v>
                </c:pt>
                <c:pt idx="3">
                  <c:v>2030</c:v>
                </c:pt>
                <c:pt idx="4">
                  <c:v>2031</c:v>
                </c:pt>
                <c:pt idx="5">
                  <c:v>2032+</c:v>
                </c:pt>
              </c:strCache>
            </c:strRef>
          </c:cat>
          <c:val>
            <c:numRef>
              <c:f>Hoja1!$B$2:$B$7</c:f>
              <c:numCache>
                <c:formatCode>#,##0</c:formatCode>
                <c:ptCount val="6"/>
                <c:pt idx="0">
                  <c:v>4</c:v>
                </c:pt>
                <c:pt idx="1">
                  <c:v>1251</c:v>
                </c:pt>
                <c:pt idx="2">
                  <c:v>1751</c:v>
                </c:pt>
                <c:pt idx="3">
                  <c:v>0</c:v>
                </c:pt>
                <c:pt idx="4">
                  <c:v>2000</c:v>
                </c:pt>
                <c:pt idx="5">
                  <c:v>11000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0</c:v>
                </c:pt>
                <c:pt idx="1">
                  <c:v>2130</c:v>
                </c:pt>
                <c:pt idx="2">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0</c:v>
                </c:pt>
                <c:pt idx="1">
                  <c:v>0</c:v>
                </c:pt>
                <c:pt idx="2">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Vanguard</c:v>
                </c:pt>
                <c:pt idx="1">
                  <c:v>BlackRock</c:v>
                </c:pt>
              </c:strCache>
            </c:strRef>
          </c:cat>
          <c:val>
            <c:numRef>
              <c:f>Hoja1!$B$2:$B$3</c:f>
              <c:numCache>
                <c:formatCode>0.0"%"</c:formatCode>
                <c:ptCount val="2"/>
                <c:pt idx="0">
                  <c:v>7.51</c:v>
                </c:pt>
                <c:pt idx="1">
                  <c:v>6.68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Honeywell Aerospace</c:v>
                </c:pt>
                <c:pt idx="1">
                  <c:v>GE Aerospace</c:v>
                </c:pt>
                <c:pt idx="2">
                  <c:v>RTX</c:v>
                </c:pt>
                <c:pt idx="3">
                  <c:v>Safran</c:v>
                </c:pt>
                <c:pt idx="4">
                  <c:v>Howmet Aerospace</c:v>
                </c:pt>
                <c:pt idx="5">
                  <c:v>TransDigm</c:v>
                </c:pt>
                <c:pt idx="6">
                  <c:v>HEICO</c:v>
                </c:pt>
                <c:pt idx="7">
                  <c:v>Woodward</c:v>
                </c:pt>
                <c:pt idx="8">
                  <c:v>Curtiss-Wright</c:v>
                </c:pt>
              </c:strCache>
            </c:strRef>
          </c:cat>
          <c:val>
            <c:numRef>
              <c:f>Hoja1!$B$2:$B$10</c:f>
              <c:numCache>
                <c:formatCode>0.0"x"</c:formatCode>
                <c:ptCount val="9"/>
                <c:pt idx="0">
                  <c:v>14.7</c:v>
                </c:pt>
                <c:pt idx="1">
                  <c:v>26.2</c:v>
                </c:pt>
                <c:pt idx="2">
                  <c:v>16.6</c:v>
                </c:pt>
                <c:pt idx="3">
                  <c:v>18.1</c:v>
                </c:pt>
                <c:pt idx="4">
                  <c:v>28.7</c:v>
                </c:pt>
                <c:pt idx="5">
                  <c:v>16.4</c:v>
                </c:pt>
                <c:pt idx="6">
                  <c:v>27.6</c:v>
                </c:pt>
                <c:pt idx="7">
                  <c:v>23.6</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Honeywell Aerospace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6.7</c:v>
                </c:pt>
              </c:numCache>
            </c:numRef>
          </c:xVal>
          <c:yVal>
            <c:numRef>
              <c:f>Hoja1!$C$2</c:f>
              <c:numCache>
                <c:formatCode>0.0"x"</c:formatCode>
                <c:ptCount val="1"/>
                <c:pt idx="0">
                  <c:v>14.7</c:v>
                </c:pt>
              </c:numCache>
            </c:numRef>
          </c:yVal>
          <c:smooth val="0"/>
        </c:ser>
        <c:ser>
          <c:idx val="1"/>
          <c:order val="1"/>
          <c:tx>
            <c:strRef>
              <c:f>Hoja1!$A$3</c:f>
              <c:strCache>
                <c:ptCount val="1"/>
                <c:pt idx="0">
                  <c:v>GE Aerospace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11.1</c:v>
                </c:pt>
              </c:numCache>
            </c:numRef>
          </c:xVal>
          <c:yVal>
            <c:numRef>
              <c:f>Hoja1!$C$3</c:f>
              <c:numCache>
                <c:formatCode>0.0"x"</c:formatCode>
                <c:ptCount val="1"/>
                <c:pt idx="0">
                  <c:v>26.2</c:v>
                </c:pt>
              </c:numCache>
            </c:numRef>
          </c:yVal>
          <c:smooth val="0"/>
        </c:ser>
        <c:ser>
          <c:idx val="2"/>
          <c:order val="2"/>
          <c:tx>
            <c:strRef>
              <c:f>Hoja1!$A$4</c:f>
              <c:strCache>
                <c:ptCount val="1"/>
                <c:pt idx="0">
                  <c:v>RTX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7.5</c:v>
                </c:pt>
              </c:numCache>
            </c:numRef>
          </c:xVal>
          <c:yVal>
            <c:numRef>
              <c:f>Hoja1!$C$4</c:f>
              <c:numCache>
                <c:formatCode>0.0"x"</c:formatCode>
                <c:ptCount val="1"/>
                <c:pt idx="0">
                  <c:v>16.6</c:v>
                </c:pt>
              </c:numCache>
            </c:numRef>
          </c:yVal>
          <c:smooth val="0"/>
        </c:ser>
        <c:ser>
          <c:idx val="3"/>
          <c:order val="3"/>
          <c:tx>
            <c:strRef>
              <c:f>Hoja1!$A$5</c:f>
              <c:strCache>
                <c:ptCount val="1"/>
                <c:pt idx="0">
                  <c:v>Safran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10.3</c:v>
                </c:pt>
              </c:numCache>
            </c:numRef>
          </c:xVal>
          <c:yVal>
            <c:numRef>
              <c:f>Hoja1!$C$5</c:f>
              <c:numCache>
                <c:formatCode>0.0"x"</c:formatCode>
                <c:ptCount val="1"/>
                <c:pt idx="0">
                  <c:v>18.1</c:v>
                </c:pt>
              </c:numCache>
            </c:numRef>
          </c:yVal>
          <c:smooth val="0"/>
        </c:ser>
        <c:ser>
          <c:idx val="4"/>
          <c:order val="4"/>
          <c:tx>
            <c:strRef>
              <c:f>Hoja1!$A$6</c:f>
              <c:strCache>
                <c:ptCount val="1"/>
                <c:pt idx="0">
                  <c:v>Howmet Aerospace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14.2</c:v>
                </c:pt>
              </c:numCache>
            </c:numRef>
          </c:xVal>
          <c:yVal>
            <c:numRef>
              <c:f>Hoja1!$C$6</c:f>
              <c:numCache>
                <c:formatCode>0.0"x"</c:formatCode>
                <c:ptCount val="1"/>
                <c:pt idx="0">
                  <c:v>28.7</c:v>
                </c:pt>
              </c:numCache>
            </c:numRef>
          </c:yVal>
          <c:smooth val="0"/>
        </c:ser>
        <c:ser>
          <c:idx val="5"/>
          <c:order val="5"/>
          <c:tx>
            <c:strRef>
              <c:f>Hoja1!$A$7</c:f>
              <c:strCache>
                <c:ptCount val="1"/>
                <c:pt idx="0">
                  <c:v>TransDigm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11.4</c:v>
                </c:pt>
              </c:numCache>
            </c:numRef>
          </c:xVal>
          <c:yVal>
            <c:numRef>
              <c:f>Hoja1!$C$7</c:f>
              <c:numCache>
                <c:formatCode>0.0"x"</c:formatCode>
                <c:ptCount val="1"/>
                <c:pt idx="0">
                  <c:v>16.4</c:v>
                </c:pt>
              </c:numCache>
            </c:numRef>
          </c:yVal>
          <c:smooth val="0"/>
        </c:ser>
        <c:ser>
          <c:idx val="6"/>
          <c:order val="6"/>
          <c:tx>
            <c:strRef>
              <c:f>Hoja1!$A$8</c:f>
              <c:strCache>
                <c:ptCount val="1"/>
                <c:pt idx="0">
                  <c:v>HEICO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11.4</c:v>
                </c:pt>
              </c:numCache>
            </c:numRef>
          </c:xVal>
          <c:yVal>
            <c:numRef>
              <c:f>Hoja1!$C$8</c:f>
              <c:numCache>
                <c:formatCode>0.0"x"</c:formatCode>
                <c:ptCount val="1"/>
                <c:pt idx="0">
                  <c:v>27.6</c:v>
                </c:pt>
              </c:numCache>
            </c:numRef>
          </c:yVal>
          <c:smooth val="0"/>
        </c:ser>
        <c:ser>
          <c:idx val="7"/>
          <c:order val="7"/>
          <c:tx>
            <c:strRef>
              <c:f>Hoja1!$A$9</c:f>
              <c:strCache>
                <c:ptCount val="1"/>
                <c:pt idx="0">
                  <c:v>Woodward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23.6</c:v>
                </c:pt>
              </c:numCache>
            </c:numRef>
          </c:yVal>
          <c:smooth val="0"/>
        </c:ser>
        <c:ser>
          <c:idx val="8"/>
          <c:order val="8"/>
          <c:tx>
            <c:strRef>
              <c:f>Hoja1!$A$10</c:f>
              <c:strCache>
                <c:ptCount val="1"/>
                <c:pt idx="0">
                  <c:v>Curtiss-Wright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8.3</c:v>
                </c:pt>
              </c:numCache>
            </c:numRef>
          </c:xVal>
          <c:yVal>
            <c:numRef>
              <c:f>Hoja1!$C$10</c:f>
              <c:numCache>
                <c:formatCode>0.0"x"</c:formatCode>
                <c:ptCount val="1"/>
                <c:pt idx="0">
                  <c:v>21.1</c:v>
                </c:pt>
              </c:numCache>
            </c:numRef>
          </c:yVal>
          <c:smooth val="0"/>
        </c:ser>
        <c:axId val="10"/>
        <c:axId val="20"/>
      </c:scatterChart>
      <c:valAx>
        <c:axId val="10"/>
        <c:scaling>
          <c:orientation val="minMax"/>
          <c:max val="17"/>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CAES Systems (electrónica de defensa, RF)</c:v>
                </c:pt>
                <c:pt idx="1">
                  <c:v>Kaman (componentes aeroespaciales y de ingeniería)</c:v>
                </c:pt>
                <c:pt idx="2">
                  <c:v>Simmonds Precision Products (sensores y sistemas de combustible, de RTX)</c:v>
                </c:pt>
              </c:strCache>
            </c:strRef>
          </c:cat>
          <c:val>
            <c:numRef>
              <c:f>Hoja1!$B$2:$B$4</c:f>
              <c:numCache>
                <c:formatCode>0.0"x"</c:formatCode>
                <c:ptCount val="3"/>
                <c:pt idx="0">
                  <c:v>14</c:v>
                </c:pt>
                <c:pt idx="1">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2675</c:v>
                </c:pt>
                <c:pt idx="1">
                  <c:v>2962</c:v>
                </c:pt>
                <c:pt idx="2">
                  <c:v>3285</c:v>
                </c:pt>
                <c:pt idx="3">
                  <c:v>3682</c:v>
                </c:pt>
                <c:pt idx="4">
                  <c:v>4016</c:v>
                </c:pt>
                <c:pt idx="5">
                  <c:v>4331</c:v>
                </c:pt>
                <c:pt idx="6">
                  <c:v>4667</c:v>
                </c:pt>
                <c:pt idx="7">
                  <c:v>4894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19988</c:v>
                </c:pt>
                <c:pt idx="1">
                  <c:v>11252</c:v>
                </c:pt>
                <c:pt idx="2">
                  <c:v>29197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163,11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79.87</c:v>
                </c:pt>
                <c:pt idx="1">
                  <c:v>142.07</c:v>
                </c:pt>
                <c:pt idx="2">
                  <c:v>171.61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163,11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(149,19 – 247,15)</c:v>
                </c:pt>
                <c:pt idx="1">
                  <c:v>Precio objetivo de los analistas (160,00 – 256,00)</c:v>
                </c:pt>
                <c:pt idx="2">
                  <c:v>Comparables: EV/EBITDA NTM (205,82 – 332,48)</c:v>
                </c:pt>
                <c:pt idx="3">
                  <c:v>Comparables: PER NTM (219,44 – 304,74)</c:v>
                </c:pt>
                <c:pt idx="4">
                  <c:v>DCF (WACC y g ± 0,5) (122,21 – 168,59)</c:v>
                </c:pt>
                <c:pt idx="5">
                  <c:v>Escenarios (bajista – alcista) (79,87 – 171,61)</c:v>
                </c:pt>
                <c:pt idx="6">
                  <c:v>DCF con la prima implícita del mercado (4,2 %)</c:v>
                </c:pt>
                <c:pt idx="7">
                  <c:v>Precio actual (163,11)</c:v>
                </c:pt>
              </c:strCache>
            </c:strRef>
          </c:cat>
          <c:val>
            <c:numRef>
              <c:f>Hoja1!$B$2:$B$9</c:f>
              <c:numCache>
                <c:formatCode>#,##0</c:formatCode>
                <c:ptCount val="8"/>
                <c:pt idx="0">
                  <c:v>149.19</c:v>
                </c:pt>
                <c:pt idx="1">
                  <c:v>160</c:v>
                </c:pt>
                <c:pt idx="2">
                  <c:v>205.82</c:v>
                </c:pt>
                <c:pt idx="3">
                  <c:v>219.44</c:v>
                </c:pt>
                <c:pt idx="4">
                  <c:v>122.21</c:v>
                </c:pt>
                <c:pt idx="5">
                  <c:v>79.87</c:v>
                </c:pt>
                <c:pt idx="6">
                  <c:v>162.73</c:v>
                </c:pt>
                <c:pt idx="7">
                  <c:v>162.29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(149,19 – 247,15)</c:v>
                </c:pt>
                <c:pt idx="1">
                  <c:v>Precio objetivo de los analistas (160,00 – 256,00)</c:v>
                </c:pt>
                <c:pt idx="2">
                  <c:v>Comparables: EV/EBITDA NTM (205,82 – 332,48)</c:v>
                </c:pt>
                <c:pt idx="3">
                  <c:v>Comparables: PER NTM (219,44 – 304,74)</c:v>
                </c:pt>
                <c:pt idx="4">
                  <c:v>DCF (WACC y g ± 0,5) (122,21 – 168,59)</c:v>
                </c:pt>
                <c:pt idx="5">
                  <c:v>Escenarios (bajista – alcista) (79,87 – 171,61)</c:v>
                </c:pt>
                <c:pt idx="6">
                  <c:v>DCF con la prima implícita del mercado (4,2 %)</c:v>
                </c:pt>
                <c:pt idx="7">
                  <c:v>Precio actual (163,11)</c:v>
                </c:pt>
              </c:strCache>
            </c:strRef>
          </c:cat>
          <c:val>
            <c:numRef>
              <c:f>Hoja1!$C$2:$C$9</c:f>
              <c:numCache>
                <c:formatCode>#,##0</c:formatCode>
                <c:ptCount val="8"/>
                <c:pt idx="0">
                  <c:v>97.96000000000001</c:v>
                </c:pt>
                <c:pt idx="1">
                  <c:v>96</c:v>
                </c:pt>
                <c:pt idx="2">
                  <c:v>126.66000000000003</c:v>
                </c:pt>
                <c:pt idx="3">
                  <c:v>85.30000000000001</c:v>
                </c:pt>
                <c:pt idx="4">
                  <c:v>46.38000000000001</c:v>
                </c:pt>
                <c:pt idx="5">
                  <c:v>91.74000000000001</c:v>
                </c:pt>
                <c:pt idx="6">
                  <c:v>42.670000000000016</c:v>
                </c:pt>
                <c:pt idx="7">
                  <c:v>1.6400000000000148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