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Midea Group Co., Ltd.</w:t>
      </w:r>
    </w:p>
    <w:p>
      <w:pPr>
        <w:spacing w:after="60"/>
        <w:rPr>
          <w:color w:val="52514E"/>
          <w:sz w:val="22"/>
          <w:szCs w:val="22"/>
        </w:rPr>
      </w:pPr>
      <w:r>
        <w:rPr>
          <w:color w:val="52514E"/>
          <w:sz w:val="22"/>
          <w:szCs w:val="22"/>
        </w:rPr>
        <w:t xml:space="preserve">0300.HK · Bolsa de Hong Kong (línea H; la línea A cotiza en Shenzhen, 000333) · ISIN CNE100006M58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80,00 CNY (93,95 HKD)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83,78 CNY (98,39 HKD)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+10,1 % (base +9,9 %)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129,34 CNY (151,90 HKD) · mercado 145,58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599.760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Midea Group Co.,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0300.HK / CNE100006M58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Hong Kong (línea H; la línea A cotiza en Shenzhen, 000333)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Electrodomésticos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Foshan (Cantón, China) · 1968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198.050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www.midea.com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80,00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66,12 – 86,60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7.497,0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599.760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369.889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490 M HKD/día en la línea H (3 meses) y ≈ 2.350 M RMB/día en la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83,78 CNY (98,39 HKD)</w:t>
      </w:r>
      <w:r>
        <w:t xml:space="preserve"> frente a 80,00 (93,95 HKD) · Rentabilidad a 12 meses </w:t>
      </w:r>
      <w:r>
        <w:rPr>
          <w:b/>
          <w:bCs/>
        </w:rPr>
        <w:t xml:space="preserve">+10,1 % (base +9,9 %)</w:t>
      </w:r>
      <w:r>
        <w:t xml:space="preserve"> · Valor intrínseco 129,34 CNY (151,90 HKD) · con la prima implícita del mercado: 145,58 (170,97 HKD) (+82,0 %) · Alcista / bajista +98,7 % / +20,8 %</w:t>
      </w:r>
    </w:p>
    <w:p>
      <w:pPr>
        <w:spacing w:after="100"/>
      </w:pPr>
      <w:r>
        <w:rPr>
          <w:b/>
        </w:rPr>
        <w:t xml:space="preserve">La recomendación y por qué.</w:t>
      </w:r>
      <w:r>
        <w:t xml:space="preserve"> Mantener, con convicción media. Nuestro objetivo a 12 meses es de 83,78 RMB (98,39 HKD): +10,1 % con dividendo (+9,9 % en el caso base), frente a un precio de 80,00 RMB (93,95 HKD, cierre de la línea H del 16-oct-2026) y un objetivo medio de los analistas de 95,81 RMB (112,52 HKD) [22, 24]. No llega al 15 % que pide una compra, aunque el valor intrínseco (129,34 RMB, 151,89 HKD) está un 62 % por encima del precio. La convicción es media porque las dos lecturas se separan mucho: a largo plazo Midea vale bastante más de lo que cuesta, pero el mercado lleva cinco años pagando 9,5-16 veces su beneficio y a 12 meses la rentabilidad sale casi solo del dividendo y del crecimiento. Compraríamos por debajo de 76,59 RMB (89,95 HKD); con la prueba robusta (que aguante un BPA un 10 % peor), por debajo de 81,44 HKD (69,35 RMB). La línea H se compra desde IBKR en Hong Kong en lotes de 100 acciones (≈ 1.065 EUR) y cotiza un 5,4 % más barata que la A de Shenzhen (84,60 RMB) [23].</w:t>
      </w:r>
    </w:p>
    <w:p>
      <w:pPr>
        <w:spacing w:after="100"/>
      </w:pPr>
      <w:r>
        <w:rPr>
          <w:b/>
        </w:rPr>
        <w:t xml:space="preserve">El negocio.</w:t>
      </w:r>
      <w:r>
        <w:t xml:space="preserve"> Midea es el primer fabricante mundial de electrodomésticos: aire acondicionado, frigoríficos, lavadoras y pequeño electrodoméstico (65 % de las ventas), climatización comercial y de centros de datos (Clivet, Arbonia), compresores y motores, y robots (KUKA) [1, 5]. El 57 % de las ventas es China y el 43 % el exterior, con más de la mitad en marca propia [3]. Su foso es estrecho y estable: escala, compresores propios y distribución. </w:t>
      </w:r>
      <w:r>
        <w:rPr>
          <w:b/>
        </w:rPr>
        <w:t xml:space="preserve">Calidad: Sí.</w:t>
      </w:r>
      <w:r>
        <w:t xml:space="preserve"> El ROIC fue del 19,2 % en 2025 frente a un WACC del 7,74 % (11,4 puntos), estable desde 2021, y con un cálculo prudente que deja dentro del capital 238.000 M de depósitos. La sostenibilidad del crecimiento es </w:t>
      </w:r>
      <w:r>
        <w:rPr>
          <w:b/>
        </w:rPr>
        <w:t xml:space="preserve">sí</w:t>
      </w:r>
      <w:r>
        <w:t xml:space="preserve">, sin rebajar el base: proyectamos un 3,9 % anual frente al 7,5 % de los últimos cinco años.</w:t>
      </w:r>
    </w:p>
    <w:p>
      <w:pPr>
        <w:spacing w:after="100"/>
      </w:pPr>
      <w:r>
        <w:rPr>
          <w:b/>
        </w:rPr>
        <w:t xml:space="preserve">Finanzas.</w:t>
      </w:r>
      <w:r>
        <w:t xml:space="preserve"> En 2025 las ventas fueron de 458.502 M RMB (+12,1 %) y el beneficio neto de 43.945 M (+14 %) [1, 2]. El 1S26 frenó: ventas +3,5 % y beneficio +1,7 %, con las ventas minoristas de aire acondicionado en China un 15,9 % abajo tras el fin del efecto de las ayudas al recambio; Tecnología de Edificios creció un 10,8 % y el exterior un 5,5 % [3]. La tesorería es de 328.842 M frente a 80.327 M de deuda; reparte el 74 % del beneficio (dividendo de 4,30 RMB, 5,4 %) y recompra 6.500-13.000 M de acciones A [3, 11].</w:t>
      </w:r>
    </w:p>
    <w:p>
      <w:pPr>
        <w:spacing w:after="100"/>
      </w:pPr>
      <w:r>
        <w:rPr>
          <w:b/>
        </w:rPr>
        <w:t xml:space="preserve">Equipo y gobierno.</w:t>
      </w:r>
      <w:r>
        <w:t xml:space="preserve"> Fang Hongbo preside y dirige desde 2012; He Xiangjian controla el 28,9 % a través de Midea Holding. Votos en la junta del 99,98 % a favor; el sueldo del primer ejecutivo (81,89 M RMB, sobre todo en acciones) es alto [1, 3, 17].</w:t>
      </w:r>
    </w:p>
    <w:p>
      <w:pPr>
        <w:spacing w:after="100"/>
      </w:pPr>
      <w:r>
        <w:rPr>
          <w:b/>
        </w:rPr>
        <w:t xml:space="preserve">Valoración.</w:t>
      </w:r>
      <w:r>
        <w:t xml:space="preserve"> El DCF da 133,34 RMB con el bono chino al 1,67 % y 2 puntos de prima adicional por China, aranceles y geopolítica [26]. El precio descuenta una caída de ventas del 5,2 % anual: es el descuento de China. A 12 meses no esperamos que cambie: nuestro BPA de 2028e (6,69 RMB) está un 7,0 % por debajo del consenso y usamos un PER de 12,5x, entre el actual (12,7x) y la mediana adelantada de cinco años (12,3x).</w:t>
      </w:r>
    </w:p>
    <w:p>
      <w:pPr>
        <w:spacing w:after="100"/>
      </w:pPr>
      <w:r>
        <w:rPr>
          <w:b/>
        </w:rPr>
        <w:t xml:space="preserve">Riesgos y catalizadores.</w:t>
      </w:r>
      <w:r>
        <w:t xml:space="preserve"> El riesgo principal es la vivienda china: en el bajista (PER de 9,5x, el mínimo de 2023, y margen 1,5 puntos menor) la acción pierde un 34,4 % a 12 meses. Le siguen la guerra de precios en China, los aranceles (mitigados por 45 fábricas fuera de China) y el descuento de país. </w:t>
      </w:r>
      <w:r>
        <w:rPr>
          <w:b/>
        </w:rPr>
        <w:t xml:space="preserve">Riesgo de IA: bajo</w:t>
      </w:r>
      <w:r>
        <w:t xml:space="preserve">, y más oportunidad que amenaza (refrigeración de centros de datos, robots). Catalizadores: resultados de los nueve meses el 29-oct-2026 [32], fin de la recompra antes de marzo de 2027, salida a bolsa de Annto y la fábrica de refrigeración líquida. No hay debate en foros accesible.</w:t>
      </w:r>
    </w:p>
    <w:p>
      <w:pPr>
        <w:spacing w:after="100"/>
      </w:pPr>
      <w:r>
        <w:rPr>
          <w:b/>
        </w:rPr>
        <w:t xml:space="preserve">Qué cambiaría la decisión.</w:t>
      </w:r>
      <w:r>
        <w:t xml:space="preserve"> Compraríamos por debajo de 76,59 RMB (89,95 HKD); venderíamos por encima de 97,86 RMB. Un 3T con China cayendo menos que en el 1S y el margen bruto estable nos haría subir el base; un margen bruto por debajo del 24 %, bajarlo.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83,78 CNY (98,39 HKD)</w:t>
      </w:r>
      <w:r>
        <w:t xml:space="preserve"> (rentabilidad +10,1 % (base +9,9 %)) · Valor intrínseco: 129,34 CNY (151,90 HKD) (+61,7 % sobre 80,00) · con la prima implícita del mercado: 145,58 (170,97 HKD) (+82,0 %)</w:t>
      </w:r>
    </w:p>
    <w:p>
      <w:pPr>
        <w:spacing w:after="100"/>
      </w:pPr>
      <w:r>
        <w:t xml:space="preserve">Midea es el mayor fabricante de electrodomésticos del mundo, con 458.502 M RMB de ventas, un ROIC prudente del 19 % y una caja neta de unos 31 RMB por acción, el 38 % del precio [1, 3]. Es un negocio de calidad que reparte casi todo su beneficio.</w:t>
      </w:r>
    </w:p>
    <w:p>
      <w:pPr>
        <w:spacing w:after="100"/>
      </w:pPr>
      <w:r>
        <w:t xml:space="preserve">El precio de 80,00 RMB descuenta que la vivienda china, los aranceles y el país pesan más que todo eso: cotiza a 12,7 veces nuestro beneficio de 2027e y a 6,5 veces el EBITDA con la tesorería restada, por debajo de su historia y muy por debajo de los fabricantes occidentales.</w:t>
      </w:r>
    </w:p>
    <w:p>
      <w:pPr>
        <w:spacing w:after="100"/>
      </w:pPr>
      <w:r>
        <w:t xml:space="preserve">A 12 meses la rentabilidad esperada es del 10 % (5,4 % de dividendo y un BPA que crece un 6 % al año), no el 15 % que pedimos para comprar. A largo plazo vale un 62 % más que su precio. Para comprar hay que creer que el mercado dejará de descontar a China en 12 meses; no lo suponemos. Para vender, que el beneficio caerá: el 1S26 creció pese a la caída del mercado chino.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83,78 CNY (98,39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5,52 = 52,44 · 12,5x × 6,69 = 83,63 · 15,7x × 7,35 = 115,40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95,81 (nuestro base -12,7 %)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129,34 CNY (151,90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(HKD al tipo de 0,8515 CNY por HKD)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80,00 CNY (93,95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98,7 % / 20,8 %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frente a 7,7 %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145,58 CNY (170,97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 frente a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76,59 (89,95 HKD)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76,59 y 97,86 (89,95 y 114,93 HKD)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97,86 (114,93 HKD)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76,59 RMB (89,95 HKD): pasaríamos a Comprar.</w:t>
      </w:r>
    </w:p>
    <w:p>
      <w:pPr>
        <w:pStyle w:val="ListParagraph"/>
        <w:numPr>
          <w:ilvl w:val="0"/>
          <w:numId w:val="2"/>
        </w:numPr>
        <w:spacing w:after="60"/>
      </w:pPr>
      <w:r>
        <w:t xml:space="preserve">Precio por encima de 97,86 RMB (114,93 HKD): pasaríamos a Vender.</w:t>
      </w:r>
    </w:p>
    <w:p>
      <w:pPr>
        <w:pStyle w:val="ListParagraph"/>
        <w:numPr>
          <w:ilvl w:val="0"/>
          <w:numId w:val="2"/>
        </w:numPr>
        <w:spacing w:after="60"/>
      </w:pPr>
      <w:r>
        <w:t xml:space="preserve">Margen bruto por debajo del 24 % dos semestres seguidos: bajaríamos el margen del base.</w:t>
      </w:r>
    </w:p>
    <w:p>
      <w:pPr>
        <w:pStyle w:val="ListParagraph"/>
        <w:numPr>
          <w:ilvl w:val="0"/>
          <w:numId w:val="2"/>
        </w:numPr>
        <w:spacing w:after="60"/>
      </w:pPr>
      <w:r>
        <w:t xml:space="preserve">Nuevas ayudas chinas al recambio para 2027 o pedidos grandes de refrigeración de centros de datos: subiríamos el crecimiento.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caída de la demanda china tras las ayudas al recambio y la vivienda se come el crecimiento y que la tesorería no llegará al accionista: una caída de las ventas del 5,2 % al año.</w:t>
      </w:r>
    </w:p>
    <w:p>
      <w:pPr>
        <w:keepNext/>
        <w:spacing w:after="100"/>
      </w:pPr>
      <w:r>
        <w:rPr>
          <w:b/>
          <w:bCs/>
        </w:rPr>
        <w:t xml:space="preserve">Lo que creemos nosotros.</w:t>
      </w:r>
    </w:p>
    <w:p>
      <w:pPr>
        <w:spacing w:after="100"/>
      </w:pPr>
      <w:r>
        <w:t xml:space="preserve">Las ventas crecen un 4 % de media con exterior, edificios y marca propia, el margen se mantiene y el reparto sigue en el 70-75 % más recompras.</w:t>
      </w:r>
    </w:p>
    <w:p>
      <w:pPr>
        <w:keepNext/>
        <w:spacing w:after="100"/>
      </w:pPr>
      <w:r>
        <w:rPr>
          <w:b/>
          <w:bCs/>
        </w:rPr>
        <w:t xml:space="preserve">Por qué podemos tener razón.</w:t>
      </w:r>
    </w:p>
    <w:p>
      <w:pPr>
        <w:spacing w:after="100"/>
      </w:pPr>
      <w:r>
        <w:t xml:space="preserve">El 1S26 creció un 3,5 % con el aire acondicionado chino un 15,9 % abajo, y la tesorería lleva diez años bajando en dividendos y recompras (166.000 M y 38.800 M desde 2013) [1, 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8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 alta y estable</w:t>
      </w:r>
      <w:r>
        <w:t xml:space="preserve">: ROIC prudente del 19 % desde 2021 y circulante negativo [1].</w:t>
      </w:r>
    </w:p>
    <w:p>
      <w:pPr>
        <w:pStyle w:val="ListParagraph"/>
        <w:numPr>
          <w:ilvl w:val="0"/>
          <w:numId w:val="2"/>
        </w:numPr>
        <w:spacing w:after="60"/>
      </w:pPr>
      <w:r>
        <w:rPr>
          <w:b/>
        </w:rPr>
        <w:t xml:space="preserve">Valor intrínseco muy por encima del precio</w:t>
      </w:r>
      <w:r>
        <w:t xml:space="preserve">: 129,34 RMB, un 62 % más.</w:t>
      </w:r>
    </w:p>
    <w:p>
      <w:pPr>
        <w:pStyle w:val="ListParagraph"/>
        <w:numPr>
          <w:ilvl w:val="0"/>
          <w:numId w:val="2"/>
        </w:numPr>
        <w:spacing w:after="60"/>
      </w:pPr>
      <w:r>
        <w:rPr>
          <w:b/>
        </w:rPr>
        <w:t xml:space="preserve">Reparto generoso</w:t>
      </w:r>
      <w:r>
        <w:t xml:space="preserve">: dividendo del 5,4 % y recompra de 6.500-13.000 M [3, 11].</w:t>
      </w:r>
    </w:p>
    <w:p>
      <w:pPr>
        <w:pStyle w:val="ListParagraph"/>
        <w:numPr>
          <w:ilvl w:val="0"/>
          <w:numId w:val="2"/>
        </w:numPr>
        <w:spacing w:after="60"/>
      </w:pPr>
      <w:r>
        <w:rPr>
          <w:b/>
        </w:rPr>
        <w:t xml:space="preserve">Diversificación fuera de China</w:t>
      </w:r>
      <w:r>
        <w:t xml:space="preserve">: 43 % de las ventas, marca propia y 45 fábricas fuera [1, 3].</w:t>
      </w:r>
    </w:p>
    <w:p>
      <w:pPr>
        <w:pStyle w:val="Heading2"/>
      </w:pPr>
      <w:r>
        <w:t xml:space="preserve">En contra</w:t>
      </w:r>
    </w:p>
    <w:p>
      <w:pPr>
        <w:pStyle w:val="ListParagraph"/>
        <w:numPr>
          <w:ilvl w:val="0"/>
          <w:numId w:val="2"/>
        </w:numPr>
        <w:spacing w:after="60"/>
      </w:pPr>
      <w:r>
        <w:rPr>
          <w:b/>
        </w:rPr>
        <w:t xml:space="preserve">China frena</w:t>
      </w:r>
      <w:r>
        <w:t xml:space="preserve">: ventas minoristas de aire acondicionado −15,9 % en el 1S26 y vivienda a la baja [3].</w:t>
      </w:r>
    </w:p>
    <w:p>
      <w:pPr>
        <w:pStyle w:val="ListParagraph"/>
        <w:numPr>
          <w:ilvl w:val="0"/>
          <w:numId w:val="2"/>
        </w:numPr>
        <w:spacing w:after="60"/>
      </w:pPr>
      <w:r>
        <w:rPr>
          <w:b/>
        </w:rPr>
        <w:t xml:space="preserve">Rentabilidad a 12 meses corta</w:t>
      </w:r>
      <w:r>
        <w:t xml:space="preserve">: 10,1 %, porque el múltiplo no tiene por qué subir.</w:t>
      </w:r>
    </w:p>
    <w:p>
      <w:pPr>
        <w:pStyle w:val="ListParagraph"/>
        <w:numPr>
          <w:ilvl w:val="0"/>
          <w:numId w:val="2"/>
        </w:numPr>
        <w:spacing w:after="60"/>
      </w:pPr>
      <w:r>
        <w:rPr>
          <w:b/>
        </w:rPr>
        <w:t xml:space="preserve">Beneficio apoyado en intereses y subvenciones</w:t>
      </w:r>
      <w:r>
        <w:t xml:space="preserve"> (19 % del beneficio antes de impuestos en 2025) [1].</w:t>
      </w:r>
    </w:p>
    <w:p>
      <w:pPr>
        <w:pStyle w:val="ListParagraph"/>
        <w:numPr>
          <w:ilvl w:val="0"/>
          <w:numId w:val="2"/>
        </w:numPr>
        <w:spacing w:after="60"/>
      </w:pPr>
      <w:r>
        <w:rPr>
          <w:b/>
        </w:rPr>
        <w:t xml:space="preserve">Aranceles y riesgo país</w:t>
      </w:r>
      <w:r>
        <w:t xml:space="preserve">: EE. UU., Europa y descuento de China persistente.</w:t>
      </w:r>
    </w:p>
    <w:p>
      <w:pPr>
        <w:pStyle w:val="Heading2"/>
      </w:pPr>
      <w:r>
        <w:t xml:space="preserve">Qué tiene que pasar para que la tesis funcione</w:t>
      </w:r>
    </w:p>
    <w:p>
      <w:pPr>
        <w:spacing w:after="100"/>
      </w:pPr>
      <w:r>
        <w:t xml:space="preserve">Las ventas en China y el margen bruto. La señal de que la tesis aguanta: en el 3T (29-oct) China cae menos que en el 1S y el margen bruto se mantiene cerca del 25 %; la de que falla: un margen bruto por debajo del 24 % o una caída del beneficio.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minoristas de aire acondicionado en China (AVC)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57 %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guerra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fuera de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sostiene el crecimiento frente a aranceles.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calidad decide si se puede comprar.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Reparto (dividendo + recompras sobre beneficio)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tesis necesita que la tesorería llegue al accionista.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6,5x / 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 / 12,3x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 · -4,3x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Midea nace en 1968 en Beijiao (Shunde, Cantón) como taller de plástico y metal fundado por He Xiangjian, entra en los electrodomésticos en 1980 con ventiladores y en 1985 en el aire acondicionado [5]. Midea Electric sale a bolsa en Shenzhen en 1993, compra Little Swan en 2008 y en 2012 He cede la presidencia a Fang Hongbo, directivo profesional. En 2013 el grupo entero cotiza en Shenzhen (000333). De 2016 a 2017 se internacionaliza con compras: Toshiba Lifestyle, Clivet y KUKA. Desde 2020 suma negocios para empresas (Hiconics, Winone, Wandong Medical, CLOU) y en 2024 sale a bolsa en Hong Kong con la mayor colocación de la plaza en tres años; en 2025 compra la climatización de Arbonia y Teka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 Xiangjian funda la empresa en Shunde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aires acondicionados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Midea Electric cotiza en Shenzhen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Little Swan (lavado)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Fang Hongbo sustituye al fundador como presidente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cotiza en Shenzhen (000333) tras absorber Midea Electric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80,1 % de Toshiba Lifestyle y de Clivet (climatización comercial italiana)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KUKA, uno de los cuatro grandes de la robótica industrial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H en Hong Kong (17-sep-2024)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la división de climatización de Arbonia (760 M EUR) y de Teka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Primer grupo mundial de electrodomésticos por ventas y volumen en 2023 (7,9 % del volumen mundial, según Frost &amp; Sullivan) [5]. El 65 % de los ingresos de 2025 es hogar: aire acondicionado doméstico (líder en China y cuota mundial del 21 % en valor), frigoríficos, lavadoras, cocina y pequeño electrodoméstico, con las marcas Midea, Colmo, Little Swan, Toshiba, Comfee y Teka [1, 3]. El 27 % es comercial e industrial: climatización comercial y enfriadoras (primera en China con más del 22 % del mercado de aire central en el 1S26), ascensores, compresores (número uno mundial en compresores de aire acondicionado, 45 % del volumen), motores, robots KUKA, logística Annto, energía y equipos médicos [3, 5]. Tiene 68 bases de producción, 45 fuera de China, y vende en más de 200 países [3].</w:t>
      </w:r>
    </w:p>
    <w:p>
      <w:pPr>
        <w:pStyle w:val="Heading2"/>
      </w:pPr>
      <w:r>
        <w:t xml:space="preserve">Cómo gana dinero</w:t>
      </w:r>
    </w:p>
    <w:p>
      <w:pPr>
        <w:spacing w:after="100"/>
      </w:pPr>
      <w:r>
        <w:t xml:space="preserve">Fabricante a gran escala con integración vertical: hace sus propios compresores, motores y chips de control, lo que le da coste por unidad bajo y le permite repartir el I+D (17.788 M en 2025, el 3,9 % de las ventas) [1]. El margen depende de materias primas (cobre, acero, aluminio: 266.002 M de consumos, el 58 % de las ventas), de la mezcla (marca propia frente a fabricación para terceros, alta gama, climatización comercial con margen bruto del 30,6 %) y del precio en China, donde la guerra de precios del aire acondicionado de 2026 restó medio punto de margen bruto [1, 3]. Cobra antes de pagar: los distribuidores anticipan y los proveedores cobran a 90 días, y esa caja rinde intereses. Estacionalidad: el primer semestre (temporada de aire acondicionado) da el 55 % de las ventas y más margen.</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Hogar inteligente (Smart Home)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 e industrial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(materias primas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Hogar inteligente (Smart Home)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299.927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 e industrial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(materias primas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cliente de más del 10 % de las ventas [1]. En China vende a través de distribuidores y del canal directo al consumidor (DTC) en tiendas propias y comercio electrónico; fuera, a grandes minoristas (en EE. UU., las principales cadenas) y como fabricante para otras marcas, que va perdiendo peso frente a la marca propia (más del 50 % en el 1S26) [3]. Poder de precios moderado: subió el margen bruto de 2021 a 2025 (22,4 % a 26,2 %) con materias primas a favor, pero en 2026 bajó medio punto al caer los precios medios en China, y en el aire acondicionado chino compite con Gree, Haier y Xiaomi [1, 3]. En climatización comercial y enfriadoras de levitación magnética (cuota del 29,7 % en China) el cliente compra por eficiencia y servicio, no solo por precio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fuera de China (M RMB)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169.034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195.948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113.127 M, +5,5 %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 propia en ventas de hogar fuera de China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«OBM primero»; EE. UU. +24 % en el 1S26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en China, materias primas y yuan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Tecnología de Edificios (M RMB)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+10,8 %; centros de datos y refrigeración líquida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Tecnología Industrial (M RMB)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15.053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13.138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Compresores y motores para el aire acondicionado chino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190.000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198.050 (30-jun-2026)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Electrodomésticos y climatización a escala mundial: electrodomésticos grandes y pequeños (529.000 M USD en 2025 según Ken Research) más equipos de climatización residencial y comercial (215.000 M USD según Arizton), en total unos 744.000 M USD (≈ 4.974.000 M RMB) [12, 13]. Es el mercado donde vende el 73 % del grupo (hogar y edificios). Las cifras de los consultores difieren mucho según la definición (las de HVAC van de 215.000 a 525.000 M USD); usamos las dos más prudentes, con perímetros que no se solapan. El 27 % restante (robots, componentes, energía, logística) juega en otros mercados y no entra en la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744.000 M USD en 2025 (529.000 M de electrodomésticos [12] + 215.000 M de climatización [13]); ≈ 4.974.000 M RMB al cambio de hoy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electrodomésticos + climatizació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Ayudas chinas al recambio de electrodomésticos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Impulsaron 2024-2025; en el 1S26 las ventas minoristas en China cayeron un 9,9 % (aire acondicionado −15,9 %) porque la demanda se adelantó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 en China (obra nueva y compraventas)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obra nueva arrastra la primera instalación de aire, cocina y ascensores; el aire central doméstico cayó un 5,7 % en China en el 1S26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del aire acondicionado en mercados emergentes y calor extremo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chinas de electrodomésticos +2,4 % en el 1S26 pese a aranceles; Midea número uno en aire doméstico en Brasil y 46 % del volumen de equipos en EE. UU.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del calor y eficiencia (bombas de calor, normas energéticas)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Arbonia para bombas de calor en Europa; nueva norma china de eficiencia de frigoríficos desde jun-2026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Refrigeración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Aire acondicionado de centros de datos en China ≈ 20.000 M RMB en 2025 (+22,4 %, ChinaIOL); fábrica de refrigeración líquida de Midea en 2027 [3,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proteccionismo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declarado por la empresa (antidumping, aranceles adicionales); respuesta: 45 de 68 fábricas fuera de China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precios en el aire acondicionado chino en 2026 (precios medios a la baja, margen bruto −0,5 puntos) con Gree, Haier, Xiaomi y Hisense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cliente de más del 10 %; los grandes minoristas de EE. UU. y Europa negocian fuerte; en China el canal se acorta con el DTC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cotizadas (cobre, acero) que se repercuten con retraso; Midea fabrica sus compresores y motores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Xiaomi entró en el aire acondicionado chino con éxito; la escala de fabricación y la red de servicio (5.500 puntos fuera de China) frenan a otros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del frío, el lavado o la cocina; la bomba de calor sustituye a la caldera y favorece a Midea [1].</w:t>
            </w:r>
          </w:p>
        </w:tc>
      </w:tr>
    </w:tbl>
    <w:p>
      <w:pPr>
        <w:spacing w:after="160" w:before="0"/>
      </w:pPr>
    </w:p>
    <w:p>
      <w:pPr>
        <w:pStyle w:val="Heading2"/>
      </w:pPr>
      <w:r>
        <w:t xml:space="preserve">Ciclo</w:t>
      </w:r>
    </w:p>
    <w:p>
      <w:pPr>
        <w:spacing w:after="100"/>
      </w:pPr>
      <w:r>
        <w:t xml:space="preserve">En China el ciclo está en caída: ventas minoristas −9,9 % en el 1S26 tras dos años de ayudas, y la vivienda sigue débil [3]. Fuera, crecimiento moderado (exportaciones +2,4 %). En 2008-09 el sector chino cayó y se recuperó con las ayudas rurales; en 2020 Midea vendió +2 % pese a la pandemia y en 2022 +0,7 % con confinamientos [5]. El negocio de edificios con centros de datos y la marca propia fuera compensan en parte.</w:t>
      </w:r>
    </w:p>
    <w:p>
      <w:pPr>
        <w:pStyle w:val="Heading2"/>
      </w:pPr>
      <w:r>
        <w:t xml:space="preserve">Regulación</w:t>
      </w:r>
    </w:p>
    <w:p>
      <w:pPr>
        <w:spacing w:after="100"/>
      </w:pPr>
      <w:r>
        <w:t xml:space="preserve">China: programa de recambio de bienes de consumo (2024-2026) y renovación de ascensores antiguos; nueva norma de eficiencia de frigoríficos (jun-2026); objetivos de carbono para edificios (opiniones de abril de 2026) [3]. UE: directiva de eficiencia de edificios (EPBD 2024) y gases fluorados, favorables a las bombas de calor [15]. EE. UU.: aranceles a productos chinos y AIM Act sobre refrigerantes [15]. Exportaciones: antidumping y certificaciones más estrictas citadas por la empresa como riesgo [3].</w:t>
      </w:r>
    </w:p>
    <w:p>
      <w:pPr>
        <w:pStyle w:val="Heading2"/>
      </w:pPr>
      <w:r>
        <w:t xml:space="preserve">Tendencias y disrupción</w:t>
      </w:r>
    </w:p>
    <w:p>
      <w:pPr>
        <w:spacing w:after="100"/>
      </w:pPr>
      <w:r>
        <w:t xml:space="preserve">Tres tendencias: (1) marca propia y producción local fuera de China (Midea gana: más del 50 % de las ventas de hogar fuera ya con marca propia) [3]; (2) electrodomésticos conectados e IA en el producto (aire con radar y voz) y en la distribución, donde Midea invierte en datos y digitalización [3]; (3) refrigeración de centros de datos y electrificación del calor, en las que Midea llega tarde frente a Vertiv, Schneider o Trane pero con coste bajo y una fábrica de refrigeración líquida en 2027 [3, 15]. El riesgo es Xiaomi y los fabricantes de bajo coste en China.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electrodomésticos por ventas y volumen (7,9 % del volumen en 2023) [5]; ≈ 6,7 % del mercado de electrodomésticos y climatización con las ventas de hogar y edificios (335.718 M RMB de 2025 sobre ≈ 4.974.000 M; estimación propia) [12, 13]; 1.º en aire central en China (&gt; 22 %) y en compresores de aire doméstico en el mundo (45 % del volumen) [3,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Haier Smart Home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600690.SS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rival en frigoríficos y lavadoras; fuerte en EE. UU. con GE Appliances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Gree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000651.SZ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aire doméstico, muy rentable en China, poco diversificado; ventas en caída (−10 % en 2025)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6367.T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fabricante mundial de climatización pura; fuerte en VRF y EE. UU. (Goodman)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residencial y comercial; Viessmann en Europa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enfriadoras comerciales y centros de datos en EE. UU.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Enfriadoras York y control de edificios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Whirlpool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Electrodomésticos en América; márgenes hundidos y deuda alta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Lennox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Climatización residencial en Norteamérica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un electrodoméstico no gana valor porque otros lo usen.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en el hogar; algo mayores en climatización comercial y ascensores por el servicio y el mantenimiento (posventa +35 % en el 1S26)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líderes en China (Midea, Colmo, Little Swan) y Toshiba en Japón; unas 65.000 familias de patentes activas (top 10 mundial) [7]. Fuera de Asia la marca aún es secundaria.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(compresores, motores, chips), 45 % del volumen mundial de compresores de aire, compras de 266.000 M de materias primas: margen EBIT del 9,8 % frente al 8,3 % de Haier y el 1,6 % de Whirlpool [2, 5,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fabricante mundial en volumen; 68 fábricas y 5.500 puntos de servicio fuera de China [1, 7].</w:t>
            </w:r>
          </w:p>
        </w:tc>
      </w:tr>
    </w:tbl>
    <w:p>
      <w:pPr>
        <w:spacing w:after="160" w:before="0"/>
      </w:pPr>
    </w:p>
    <w:p>
      <w:pPr>
        <w:pStyle w:val="Heading2"/>
      </w:pPr>
      <w:r>
        <w:t xml:space="preserve">Amenazas</w:t>
      </w:r>
    </w:p>
    <w:p>
      <w:pPr>
        <w:spacing w:after="100"/>
      </w:pPr>
      <w:r>
        <w:t xml:space="preserve">Tres amenazas: (1) Xiaomi y la guerra de precios en el aire acondicionado chino, que ya quitó medio punto de margen bruto en el 1S26 (probabilidad media-alta) [3]; (2) aranceles de EE. UU. y Europa a productos chinos, que obligan a producir fuera con más coste (media) [1, 3]; (3) en climatización comercial y centros de datos, los líderes occidentales (Trane, Vertiv, Daikin) tienen la especificación y el servicio; Midea compite en precio (media) [15]. A favor: escala y coste que nadie iguala en volumen.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458.502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2021-2025: ingresos </w:t>
      </w:r>
      <w:r>
        <w:rPr>
          <w:b/>
          <w:bCs/>
        </w:rPr>
        <w:t xml:space="preserve">7,5 %</w:t>
      </w:r>
      <w:r>
        <w:t xml:space="preserve">, EBITDA </w:t>
      </w:r>
      <w:r>
        <w:rPr>
          <w:b/>
          <w:bCs/>
        </w:rPr>
        <w:t xml:space="preserve">12,9 %</w:t>
      </w:r>
      <w:r>
        <w:t xml:space="preserve">, BPA </w:t>
      </w:r>
      <w:r>
        <w:rPr>
          <w:b/>
          <w:bCs/>
        </w:rPr>
        <w:t xml:space="preserve">8,6 %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Ingresos de 343.361 M en 2021 a 458.502 M en 2025 (7,5 % anual), con 2022 plano (+0,7 %: confinamientos y caída de la vivienda en China) y aceleración en 2024-2025 (+9,5 % y +12,1 %) por el exterior (+15,9 % en 2025, 195.948 M, el 42,7 % del total) y por los negocios para empresas (+17,5 %) [1, 2, 4, 5]. El margen bruto pasó del 22,4 % al 26,2 % (materias primas más baratas, mezcla de marca propia y climatización comercial) y el margen EBITDA limpio del 9,7 % al 11,8 %; el EBIT limpio, del 7,8 % al 9,8 %. El 1S26 frena: ventas +3,5 % (China +1,9 %, exterior +5,5 %), margen bruto −0,5 puntos por precios más bajos en China, materias primas y el yuan más fuerte, compensado con menos gasto comercial (8,3 % de las ventas, −0,9 puntos) [3]. El beneficio neto crece más que el EBIT por los intereses de una tesorería que pasó de 170.000 a 330.000 M.</w:t>
      </w:r>
    </w:p>
    <w:p>
      <w:pPr>
        <w:pStyle w:val="Heading2"/>
      </w:pPr>
      <w:r>
        <w:t xml:space="preserve">Ajustes y partidas no recurrentes</w:t>
      </w:r>
    </w:p>
    <w:p>
      <w:pPr>
        <w:spacing w:after="100"/>
      </w:pPr>
      <w:r>
        <w:t xml:space="preserve">Cifras publicadas NIIF, con una sola reclasificación propia: los intereses cobrados por la tesorería (7.398 M en 2025, dentro de «otros ingresos»), las ganancias de instrumentos financieros (1.968 M) y las diferencias de cambio netas (555 M; −1.935 M en 2024) salen del EBIT y van al resultado financiero, porque esa tesorería se valora aparte en el puente; el beneficio neto y el BPA no cambian [1, 2, 5]. Las subvenciones (1.708 M en 2025) y la deducción adicional de IVA (1.034 M) se quedan en el EBIT porque son recurrentes desde hace años. En el 1S26 la cobertura de divisa da +6.799 M de ganancias de derivados frente a −5.886 M de diferencias de cambio: netas, 913 M [3]. El deterioro de asociadas de 2025 (367 M) está fuera del EBIT. Los trimestrales se publican en normas chinas (CAS) y no se mezclan con la serie NIIF [7].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informe del 1S26 (28-ago-2026) cambia el tono frente al anual de 2025 [1, 3]. En marzo la dirección hablaba de un año récord (ingresos +12,1 %, beneficio +14 %) y de más de 11.600 M recomprados; en agosto describe un mercado chino con «inmunidad» a las ayudas al recambio: las ventas minoristas de electrodomésticos en China cayeron un 9,9 % en el 1S26 y las de aire acondicionado un 15,9 % (datos de AVC), y la Tecnología Industrial (compresores y motores) cayó un 12,7 % por el frenazo del aire acondicionado doméstico [3]. Lo que defiende: marca propia en el exterior (más del 50 % de las ventas de hogar fuera de China; EE. UU. +24 %; Teka +20 %), Tecnología de Edificios +10,8 % con centros de datos y refrigeración líquida (fábrica de más de 1.000 M en Shunde para 2027) y KUKA +10,3 % con KUKA China como segundo vendedor de robots en China [3]. El 1T26 en normas chinas ya avisaba: ingresos +2,55 % y beneficio recurrente −14,0 %, sostenido por 1.713 M de partidas no recurrentes [7]. No hay transcripción pública en inglés de las conferencias; las preguntas de inversores registradas en 2025 se centraron en aranceles de EE. UU., cobre y ventas del 3T [1].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387.939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422.551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608.792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223.221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Compra de la división de climatización de Arbonia (cerrada el 26-feb-2025) y de Teka (2025): 6.089 M pagados netos de caja; el fondo de comercio sube de 29.581 a 34.257 M [1].; 2024: Salida a bolsa H (17-sep-2024): 32.235 M de entrada de caja y 650,8 M de acciones nuevas; no cambia el perímetro operativo pero sí la caja y el BPA (acciones medias +3,4 %)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bajó de 83.308 M en 2024 a 64.185 M en 2025 (se devolvieron 112.064 M y se pidieron 88.860 M) y subió a 80.327 M en junio de 2026 por los convertibles [1, 3]. La caja que usamos en la serie del balance es solo el efectivo y los depósitos a plazo (85.247 M en 2025); la tesorería total, que es la del puente, incluye además 211.000-228.000 M de depósitos y productos a más de tres meses, que la empresa mueve entre partidas de un año a otro (en 2024 eran depósitos a plazo; en 2025, activos a coste amortizado). El circulante comercial es negativo: existencias y clientes (129.530 M en 2025) menos proveedores y anticipos (177.795 M) dan −48.265 M, el −10,5 % de las ventas; los días de pago a proveedores superan a los de cobro e inventario juntos.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186.317</w:t>
      </w:r>
      <w:r>
        <w:t xml:space="preserve">, conversión </w:t>
      </w:r>
      <w:r>
        <w:rPr>
          <w:b/>
          <w:bCs/>
        </w:rPr>
        <w:t xml:space="preserve">107 %</w:t>
      </w:r>
      <w:r>
        <w:t xml:space="preserve"> del beneficio neto; adquisiciones 9.023, dividendos 91.200, recompras 28.655.</w:t>
      </w:r>
    </w:p>
    <w:p>
      <w:pPr>
        <w:spacing w:after="100"/>
      </w:pPr>
      <w:r>
        <w:t xml:space="preserve">El flujo operativo acumulado de 2021-2025 (241.868 M) es 1,4 veces el beneficio neto (174.346 M), porque el circulante negativo crece con las ventas [1, 5]. 2023 y 2024 son altos (57.903 y 60.512 M) por anticipos de clientes y proveedores; 2025 baja a 53.346 M al cobrar menos anticipos (−2.262 M) y subir las existencias. Los intereses cobrados de la tesorería se clasifican en inversión (8.491 M en 2025) y no cuentan en nuestro flujo libre. El capex fue del 1,7-2,4 % de las ventas; en 2025 sube a 11.142 M (2,4 %) por fábricas en Tailandia, Arabia Saudí, Egipto y México y por Arbonia y Teka [1, 3]. La empresa no separa mantenimiento y crecimiento; estimación propia: el mantenimiento se parece a la amortización (2,0 % de las ventas) y el resto, unos 1.800 M en 2025, es crecimiento. Dividendos y recompras de 2025 (42.186 M) superaron al beneficio neto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(Hong Kong) y PricewaterhouseCoopers Zhong Tian LLP (normas chinas)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(imagen fiel, sin salvedades) en 2025; revisión limitada sin reservas del 1S26 [1,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NIIF auditadas por PwC desde la salida a bolsa H y en normas chinas por PwC Zhong Tian; la empresa dice que no ha cambiado de auditor nacional en los tres últimos años (no da el año de inicio) [1]. Las cuestiones clave de auditoría de 2025 son el deterioro del fondo de comercio de KUKA y el reconocimiento de ingresos [1]. Tres puntos a vigilar: (1) la remuneración en acciones (1.245 M en 2023, según el folleto) es real y recurrente y está dentro del EBITDA [5]; (2) los resultados se apoyan en partidas fuera del negocio: intereses de 7.398 M, subvenciones de 1.708 M y deducción de IVA de 1.034 M en 2025 (el 19 % del beneficio antes de impuestos entre las tres) [1]; en el 1T26 el beneficio recurrente en normas chinas cayó un 14 % mientras el publicado subía un 2 % [7]; (3) los clientes envejecen: los de más de seis meses pasan de 2.774 M a 4.735 M en 2025 [2]. Altman, Piotroski y Beneish se leen en el cálculo; la tesorería enorme hace que el Altman salga alto por construcción.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apoyado en partidas no operativas (intereses, subvenciones, IVA)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10.140 M de «otros ingresos» en 2025, el 19 % del beneficio antes de impuestos; los intereses bajan con los tipos chinos (−20 % en el 1S26)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recurrente del 1T26 en normas chinas −14 %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publicado (+2 %) lleva 1.713 M de ventas de activos y valor razonable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con más de seis meses casi se duplican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2.774 a 4.735 M sobre 42.170 M de clientes; provisión de 1.720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de KUKA, cuestión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total de 34.257 M (15 % del patrimonio); KUKA crece en China pero sus márgenes son bajos [1,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118.720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141.570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165.862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196.085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34.257 M en 2025 (el 16 % del capital invertido medio); ha subido más de un 5 % en 2 de 4 años: compras pequeñas. ROIC publicado 19,2 %; sin fondo de comercio, 22,9 %.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18,7 % · </w:t>
      </w:r>
      <w:r>
        <w:rPr>
          <w:b/>
          <w:bCs/>
        </w:rPr>
        <w:t xml:space="preserve">WACC</w:t>
      </w:r>
      <w:r>
        <w:t xml:space="preserve">: 7,7 %.</w:t>
      </w:r>
    </w:p>
    <w:p>
      <w:pPr>
        <w:spacing w:after="100"/>
      </w:pPr>
      <w:r>
        <w:t xml:space="preserve">Midea crea valor con holgura: un ROIC prudente del 19,2 % en 2025 frente a un WACC del 7,74 % (11,4 puntos), estable entre el 18,4 % y el 19,7 % desde 2021, y un ROIC incremental del 18,7 % en 2021-2025. Es prudente porque deja dentro del capital invertido 238.000 M de depósitos estructurados y productos bancarios que en la valoración tratamos como caja: con toda la tesorería fuera, el capital invertido sería casi nulo o negativo (proveedores y anticipos financian todo el circulante) y el ROIC no tendría sentido. Sin fondo de comercio (KUKA, Toshiba, Clivet, Arbonia) sería del 22,9 %. El ROE es del 20 % con un balance sin deuda neta. Lo bueno viene del circulante negativo y del capex bajo (2-2,5 % de las ventas); lo flojo, de un margen operativo del 10 %, la mitad que Trane o Gree, por el peso de los pequeños electrodomésticos y la reventa de materias primas [1, 2, 14]. El escáner daba ≈ 10 puntos: lo confirmamos.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-245.203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-242.803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Tesorería total de 328.842 M a 30-jun-2026: efectivo 74.614 M, depósitos a plazo y caja restringida 16.029 M, otros activos financieros a coste amortizado 227.742 M (depósitos estructurados y productos de bancos) y a valor razonable 10.456 M, frente a una deuda financiera de 80.327 M (58.244 M a corto) y 3.312 M de arrendamientos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 Moody's A2 / Fitch A (según el folleto de 2024)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grandes pasivos no financieros son de explotación: proveedores y efectos 157.036 M, anticipos de clientes 45.458 M y «otras cuentas a pagar y devengos» 115.219 M (descuentos a distribuidores, gastos comerciales y de instalación devengados, salarios) a 30-jun-2026 [3]. Financian el circulante y explican por qué la tesorería es tan grande: no se suman al puente porque se renuevan con la actividad, pero si las ventas cayeran fuerte parte de esa caja se iría con ellos. Convertibles en acciones H de cupón cero por 17.248 M HKD (≈ 14.690 M RMB) emitidos en mayo de 2026: la mitad vence en 2027 con conversión a 91,82 HKD (por debajo del precio de hoy, 93,95) y la otra mitad en 2033 a 109,78 HKD; la conversión total añadiría 172,5 M de acciones H (2,2 % del capital) [3, 8, 9]. Garantías a filiales aprobadas en la junta de 2026. Sin pensiones relevantes (plan de prestación definida pequeño en KUKA y Toshiba).</w:t>
      </w:r>
    </w:p>
    <w:p>
      <w:pPr>
        <w:pStyle w:val="Heading1"/>
      </w:pPr>
      <w:r>
        <w:t xml:space="preserve">12. Asignación de capital</w:t>
      </w:r>
    </w:p>
    <w:p>
      <w:pPr>
        <w:pStyle w:val="Confianza"/>
        <w:spacing w:after="100"/>
      </w:pPr>
      <w:r>
        <w:t xml:space="preserve">Confianza: Alta</w:t>
      </w:r>
    </w:p>
    <w:p>
      <w:pPr>
        <w:spacing w:after="100"/>
      </w:pPr>
      <w:r>
        <w:t xml:space="preserve">Plan de retribución al accionista 2025-2027: dividendo en efectivo prioritario y recompras [1]. Dividendo de 4,30 RMB por acción en 2025 (0,5 a cuenta y 3,8 final; 32.364 M, el 74 % del beneficio), con 0,5 RMB a cuenta en 2026 (ex-dividendo el 6-nov-2026) [1, 10, 11]. Recompras: 11.699 M en 2025 y, en el 1S26, el plan de 1.500-3.000 M terminado (19,8 M de acciones) y 5.476 M del plan de 6.500-13.000 M (68,7 M de acciones a 75-86 RMB), cuyas acciones se amortizarán (cambio aprobado en la junta del 5-jun-2026) [3]. Desde 2013, 166.000 M en dividendos y 38.800 M en recompras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 climatización de Arbonia (bombas de calor, radiadores;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760 M EUR de valor empresa; integrada en MBT Climate como plataforma europea; Tecnología de Edificios +25,7 % en 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Teka (cocina y baño; España)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marca +20 % en el 1S26 [3]; el importe no se publica por separado (6.089 M pagados entre las dos compras de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KUKA (robots industriales;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Robótica y Automatización de 25.287 M (2021) a 31.011 M (2025); margen bruto del 21 %; el fondo de comercio de KUKA es cuestión clave de auditoría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Toshiba Lifestyle (80,1 %) y Clivet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Toshiba pasó de pérdidas a beneficios y sus ventas en Japón crecen más del 10 % en el 1S26; Clivet aporta climatización comercial en Europa [3, 5].</w:t>
            </w:r>
          </w:p>
        </w:tc>
      </w:tr>
    </w:tbl>
    <w:p>
      <w:pPr>
        <w:spacing w:after="160" w:before="0"/>
      </w:pPr>
    </w:p>
    <w:p>
      <w:pPr>
        <w:spacing w:after="100"/>
      </w:pPr>
      <w:r>
        <w:t xml:space="preserve">Asignación de capital sólida: de 2021 a 2025 el flujo operativo (241.868 M) cubrió el capex (39.473 M), las compras (9.023 M), los dividendos (91.200 M) y las recompras (28.655 M) y aun así la tesorería creció de 170.000 a 300.000 M, en parte por la salida a bolsa H (32.235 M) [1, 5]. La pega es que la caja crece más que su uso: rinde un 2-2,5 % en RMB, por debajo del coste de capital, y diluye el ROE. La salida a bolsa H y los convertibles de 2026 (17.248 M HKD, «para la expansión internacional») añadieron capital que no hacía falta [8]. Las compras recientes son de tamaño medio y en Europa (Arbonia, Teka), sin deterioros hasta hoy.</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Fang Hongbo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Midea desde 1992; presidente desde 2012, cuando el fundador le cedió el mando. Con él las ventas pasaron de unos 100.000 M (2012) a 458.502 M en 2025 y el grupo compró Toshiba Lifestyle, KUKA, Arbonia y Teka [1, 5]. Tiene 116,99 M de acciones A (≈ 9.400 M RMB)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Zhong Zheng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sido directora financiera de Midea Electric y trabajó en Midea Holding; 44 años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Wang Jianguo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y 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las operaciones del grupo; antes al frente de negocios de hogar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 Yanmin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y 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estrategia y los negocios para empresas (robótica, KUKA)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Guan Jinwei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 y 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 de la casa, responsable de negocios industriales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retribución al accionista 2025-2027 con dividendo en efectivo prioritario y estable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4,30 RMB en 2025 (+23 %) y 0,5 a cuenta en 2026; recompras de 11.699 M en 2025 [1,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Planes de incentivos: ROE medio ponderado ≥ 18 % en 2025-2027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de 2025 en torno al 20 % (beneficio 43.945 M sobre patrimonio medio de 219.986 M)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6.500-13.000 M de acciones A antes de mar-2027 (para amortizar)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5.476 M ejecutados a 30-jun-2026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Fang Hongbo preside desde 2012 y los consejeros ejecutivos llevan décadas en el grupo [1, 5]. Midea no publica objetivos anuales de ventas o beneficio, así que la credibilidad se mide con lo que sí promete: dividendos, recompras y el umbral de ROE de los incentivos (≥ 18 %), que cumple [1, 3]. La sucesión es la gran pregunta: Fang acumula presidencia y dirección ejecutiva y no hay sucesor declarado; el fundador tiene el 28,9 % a través de Midea Holding y su hijo He Jianfeng dejó el consejo en julio de 2024 [1, 3].</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Fang Hongbo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Wang Jianguo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 Yanmin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Guan Jinwei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Tian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Zhao Jun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Xu Dingbo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Xiao Geng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Liu Qiao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Zhang 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Remuneración, Nombramientos, Estrategia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(imagen fiel, sin salvedades) en 2025; revisión limitada sin reservas del 1S26 [1, 3]</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Midea Holding (controlada al 94,55 % por He Xiangjian)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 Xiangjian (directas)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Fang Hongbo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116,99 M de acciones A en mayo de 2026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HHLR Advisors (Hillhouse)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institucional (20,9 % de las H)</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ancla de la salida a bolsa H</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COSCO Shipping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ancla (6,2 % de las H)</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(acciones 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176,9 M de acciones a 18-ago-2026, frente a 123,4 M en junio; para amortizar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Fang Hongbo cobró 81,9 M RMB en 2025: 6,7 M de sueldo, 7,0 M de bonus y 68,1 M de pagos en acciones (planes de acciones restringidas, opciones y participación de empleados) [1]. Es unas 340 veces el coste medio por empleado (45.736 M entre unos 190.000 empleados; estimación propia). Los planes de 2025-2026 exigen un ROE medio ponderado ≥ 18 % en 2025-2027 y ≥ 17,5 % en 2028-2029 y evaluación individual [1, 3]: premian rentabilidad, no tamaño. No consta cláusula de recuperación (clawback) en lo leído. La junta de 2026 aprobó la remuneración con el 99,98 % a favor y un 0,007 % en contra, y el plan de participación de empleados de 2026 con un 3,2 % en contra [17].</w:t>
      </w:r>
    </w:p>
    <w:p>
      <w:pPr>
        <w:pStyle w:val="Heading2"/>
      </w:pPr>
      <w:r>
        <w:t xml:space="preserve">Operaciones vinculadas, estructura de control y defensas</w:t>
      </w:r>
    </w:p>
    <w:p>
      <w:pPr>
        <w:spacing w:after="100"/>
      </w:pPr>
      <w:r>
        <w:t xml:space="preserve">Midea Holding, controlada por el fundador He Xiangjian, tiene el 28,9 % con sus acciones directas: controla de hecho la junta (asistencia del 54 % del capital en 2026) pero no la mayoría absoluta [3, 17]. Una acción, un voto; A y H con los mismos derechos económicos. El presidente es un directivo profesional, no de la familia; Zhao Jun es dominical [1]. Sin blindajes estatutarios conocidos. Operaciones vinculadas con Midea Holding de importe menor (nota 45 del informe anual) [1]. Annto Logistics, filial, pidió cotizar en Hong Kong (solicitud actualizada en jun-2026): la escisión parcial puede crear minoritarios en una filial [20].</w:t>
      </w:r>
    </w:p>
    <w:p>
      <w:pPr>
        <w:pStyle w:val="Heading2"/>
      </w:pPr>
      <w:r>
        <w:t xml:space="preserve">Señales de alerta</w:t>
      </w:r>
    </w:p>
    <w:p>
      <w:pPr>
        <w:pStyle w:val="ListParagraph"/>
        <w:numPr>
          <w:ilvl w:val="0"/>
          <w:numId w:val="2"/>
        </w:numPr>
        <w:spacing w:after="60"/>
      </w:pPr>
      <w:r>
        <w:t xml:space="preserve">Presidente y consejero delegado en la misma persona desde 2012, sin consejero independiente coordinador y sin sucesor declarado [1].</w:t>
      </w:r>
    </w:p>
    <w:p>
      <w:pPr>
        <w:pStyle w:val="ListParagraph"/>
        <w:numPr>
          <w:ilvl w:val="0"/>
          <w:numId w:val="2"/>
        </w:numPr>
        <w:spacing w:after="60"/>
      </w:pPr>
      <w:r>
        <w:t xml:space="preserve">Remuneración del primer ejecutivo de 81,9 M RMB, 340 veces la media, aunque ligada a acciones y a un ROE mínimo [1].</w:t>
      </w:r>
    </w:p>
    <w:p>
      <w:pPr>
        <w:pStyle w:val="ListParagraph"/>
        <w:numPr>
          <w:ilvl w:val="0"/>
          <w:numId w:val="2"/>
        </w:numPr>
        <w:spacing w:after="60"/>
      </w:pPr>
      <w:r>
        <w:t xml:space="preserve">Independientes en minoría (4 de 10)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Midea no publica objetivos anuales de ventas ni de beneficio. Lo que sí fija: plan de retribución al accionista 2025-2027, recompra de 6.500-13.000 M de acciones A para amortizar antes de marzo de 2027 (5.476 M hechos a junio) y un ROE mínimo del 18 % en los incentivos de 2026-2027 [3]. En agosto describió un 2S26 con caída del mercado chino algo menor que en el 1S y defendió la marca propia fuera y los negocios para empresas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(15-oct-2026)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 Yahoo: BPA 6,60 con 21 analistas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546.848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500.650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510.793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61.181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528.186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546.848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75,75 – 115,52</w:t>
            </w:r>
          </w:p>
        </w:tc>
      </w:tr>
    </w:tbl>
    <w:p>
      <w:pPr>
        <w:spacing w:after="160" w:before="0"/>
      </w:pPr>
    </w:p>
    <w:p>
      <w:pPr>
        <w:pStyle w:val="Heading2"/>
      </w:pPr>
      <w:r>
        <w:t xml:space="preserve">Revisiones de estimaciones</w:t>
      </w:r>
    </w:p>
    <w:p>
      <w:pPr>
        <w:spacing w:after="100"/>
      </w:pPr>
      <w:r>
        <w:t xml:space="preserve">Una sola fuente gratuita con estimaciones completas a tres años (MarketScreener) [25], cotejada con Yahoo: BPA de 2027 de 6,60 RMB con 21 analistas en la línea A y objetivos de 11 analistas en la H (media 112,52 HKD, de 88,96 a 135,67; recomendación «comprar») y de 19 en la A (media 100,79 RMB) [24]. El consenso de ventas de 2026 (+4,6 %) ya recoge el frenazo del 1S26. Movimientos recientes: CLSA mantuvo Comprar con 91 RMB (27-jul-2026) y JPMorgan subió a Comprar con 82 RMB (10-jun-2026) [31]. No tenemos la serie de revisiones de BPA de 3 y 12 meses. El EBITDA del consenso está en normas chinas e incluye partidas que nuestro EBITDA limpio excluye; usamos sobre todo el BPA.</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línea H cotiza desde el 17-sep-2024, así que la historia larga es la de la A: +16,4 % anual en 10 años, +8,4 % en 5 y +21,2 % en 3, con una caída máxima del 47,2 % de enero a octubre de 2022 (vivienda china y confinamientos) [23]. En el último año la H sube un 14,6 % frente al −6,6 % del Hang Seng y la A un 22,3 % [22, 23]. Los datos de Yahoo de 0300.HK anteriores a la salida a bolsa son de otra empresa con el mismo código y dan betas sin sentido; la beta mensual de 5 años de la A frente al Hang Seng es 0,72 (estimación propia con Yahoo) y la semanal de 2 años de la H frente al Tracker Fund, 0,43 [22, 23]. La H cotiza con un descuento del 5,4 % frente a la A (80,00 RMB frente a 84,60).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 / -0,4 % / +6,4 % / +15,8 %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 +19,8 %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24-jun: el 18-jun la acción cotizó sin el dividendo final de 4,37 HKD por acción (≈ 4,9 %, el −5,6 % de ese día), con el mercado chino de aire acondicionado en caída del 15,9 % [3,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del 24-jun al 28-jul desde el mínimo tras el dividendo, con todo el sector y el mercado al alza: Hang Seng +8,1 %, Gree +9,9 % y Haier +10,4 % en el mismo periodo; recompras diarias de acciones A [3, 14,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(3T26) el 29-oct-2026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Convertibles en acciones H de cupón cero por 17.248 M HKD (vencimientos 2027 y 2033; conversión a 91,82 y 109,78 HKD tras el ajuste de julio): dilución máxima del 2,2 % y posible cobertura de los compradores vendiendo H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6.500-13.000 M de acciones A antes de mar-2027, para amortizar; 5.476 M hechos a junio y la autocartera sube a 176,9 M de acciones en agosto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Annto (logística, filial) actualizó su solicitud para cotizar en Hong Kong: escisión parcial sin fecha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CLSA mantiene Comprar (91 RMB); JPMorgan sube a Comprar (82 RMB) el 10-jun; objetivo medio de 11 analistas en la H: 112,52 HKD [24,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1S26: ventas +3,5 %, beneficio +1,7 %; ventas minoristas de electrodomésticos en China −9,9 % y Tecnología Industrial −12,7 %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7,3 % por debajo de su máximo de 52 semanas (101,70 HKD, 31-ago) y un 4,1 % por encima de su media de 200 sesiones, en tendencia alcista y sin avisos P1-P5 [22]. Los dos movimientos fuertes del año se explican por el dividendo de junio (cotización sin dividendo) y por un rebote general del mercado de Hong Kong y del sector en julio, no por noticias propias. No hay colocaciones de accionistas de referencia anunciadas ni ampliaciones pendientes; los convertibles ya se emitieron en mayo. Resultados del 3T el 29-oct: no aplazan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en RMB de la línea H: 2024 y 2025 son cierres reales de 0300.HK pasados a RMB (75,55 HKD × 0,9400 y 84,55 × 0,8991) [22, 28]; 2021-2023 son cierres de la A (73,81, 51,80 y 54,63 RMB) multiplicados por 0,946, el cociente H/A de hoy, para no suponer que la prima de la A se cierra (estimación propia) [23].</w:t>
      </w:r>
    </w:p>
    <w:p>
      <w:pPr>
        <w:pStyle w:val="Heading1"/>
      </w:pPr>
      <w:r>
        <w:t xml:space="preserve">18. Comparables cotizados</w:t>
      </w:r>
    </w:p>
    <w:p>
      <w:pPr>
        <w:pStyle w:val="Confianza"/>
        <w:spacing w:after="100"/>
      </w:pPr>
      <w:r>
        <w:t xml:space="preserve">Confianza: Media</w:t>
      </w:r>
    </w:p>
    <w:p>
      <w:pPr>
        <w:spacing w:after="100"/>
      </w:pPr>
      <w:r>
        <w:t xml:space="preserve">Cuatro fabricantes de electrodomésticos (Haier y Gree, sus rivales chinos; Whirlpool, el mayor de América; Daikin, número uno de la climatización y muy expuesto a Asia) y cuatro de climatización occidentales (Carrier, Trane, Johnson Controls, Lennox), que es donde Midea quiere crecer con Edificios. Fuera Electrolux (datos de Yahoo incoherentes), LG y Samsung (conglomerados de electrónica) y Hisense (sin datos en Yahoo). Todo en RMB al cambio del 16-oct; PER de los próximos 12 meses con el BPA esperado de Yahoo ponderado por meses [14,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Gree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Haier Smart Home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672.781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Whirlpool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11,8x / 19,4x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15,7x / 20,9x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467.223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 / 1,9x / 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Midea queda en la zona barata del mapa: cotiza a un PER parecido al de Haier y por encima de Gree, pero muy por debajo de Daikin y de los occidentales de climatización (14-27 veces), con un margen EBITDA del 12 % frente al 14-22 % de estos [14]. La prima de los occidentales se explica por su exposición a centros de datos en EE. UU., su margen y el riesgo país; la de Midea frente a Gree, por su diversificación y su crecimiento fuera. Usamos el PER: el EV/EBITDA de las chinas sale muy bajo porque su caja neta es enorme y en las occidentales la deuda pesa.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9.500 M USD; múltiplo sobre el EBITDA estimado de 2026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Motivair (refrigeración líquida; 75 %)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del 100 % estimado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 climatización de Arbonia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Midea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760 M EUR sobre ventas de 576,6 M CHF en 2023 (estimación propia del múltiplo de ventas)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 (bombas de calor)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89.773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 17 veces sin sinergias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Manitowoc Ice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Frío comercial; 1.600 M USD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AHT Cooling Systems (frío comercial)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881 M EUR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(17,3x – 20,0x)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160,81 – 181,18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recientes en climatización especializada se pagan a 17-22,5 veces el EBITDA (Viessmann, Manitowoc Ice, Boyd), muy por encima de las 6 veces del valor empresa de Midea con toda su caja neta [29]. No son su referencia de control: Midea es un fabricante de volumen con margen EBITDA del 12 % y un accionista de control (28,9 %) que no venderá. Las compras de Midea (Arbonia a 1,26 veces las ventas) muestran que compra barato, no que pueda ser comprada [30].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7,5 % anual entre 2021 y 2025 (+12,1 % en 2025 con las ayudas chinas al recambio, Arbonia y Teka) [1, 2], pero en el 1S26 solo un 3,5 %: las ventas minoristas de electrodomésticos en China cayeron un 9,9 % y las de aire acondicionado un 15,9 % [3]. Proyectamos un 3,5 % en 2026e (fijo: el 1S ya está publicado y el 2S compara con un 2S25 flojo), un 5,5 % en 2027e-2028e (exterior +5,5 % en el 1S26, Tecnología de Edificios +10,8 %, marca propia fuera de China) y lo bajamos al 2,0 % en 2035e. El mercado mundial crece un 5,2 % anual en dólares [12, 13]; China (57 % de las ventas) no crecerá mientras la vivienda siga cayendo.</w:t>
      </w:r>
    </w:p>
    <w:p>
      <w:pPr>
        <w:keepNext/>
        <w:spacing w:after="100"/>
      </w:pPr>
      <w:r>
        <w:rPr>
          <w:b/>
          <w:bCs/>
        </w:rPr>
        <w:t xml:space="preserve">Márgenes.</w:t>
      </w:r>
    </w:p>
    <w:p>
      <w:pPr>
        <w:spacing w:after="100"/>
      </w:pPr>
      <w:r>
        <w:t xml:space="preserve">El margen EBITDA limpio subió del 9,7 % de 2021 al 11,8 % de 2025 y fue del 12,5 % en el 1S26 frente al 12,0 % del 1S25 [6], por mezcla (edificios, marca propia) y costes, con el margen bruto a la baja (25,0 %) [3]. Suponemos un 12,0 % en 2026e, un 12,2 % en 2027e y un 12,3 % estable después: sin la mejora de los últimos cinco años, porque la guerra de precios en China, el cobre y los aranceles presionan.</w:t>
      </w:r>
    </w:p>
    <w:p>
      <w:pPr>
        <w:keepNext/>
        <w:spacing w:after="100"/>
      </w:pPr>
      <w:r>
        <w:rPr>
          <w:b/>
          <w:bCs/>
        </w:rPr>
        <w:t xml:space="preserve">Inversión y circulante.</w:t>
      </w:r>
    </w:p>
    <w:p>
      <w:pPr>
        <w:spacing w:after="100"/>
      </w:pPr>
      <w:r>
        <w:t xml:space="preserve">Capex del 2,6 % de las ventas en 2026e-2027e (2,4 % en 2025 con fábricas en Tailandia, Arabia Saudí, Egipto y México y la planta de refrigeración líquida de Shunde [1, 3]), bajando al 2,3 %. Amortización del 2,1 % (2,0 % en 2025). Circulante del −10 % de las ventas: existencias, clientes y activos de contrato menos proveedores y anticipos fueron un −10,5 % en 2025 [1]; Midea cobra antes de pagar y el crecimiento libera caja. No se cuentan los 115.219 M de «otras cuentas a pagar y devengos», que también son financiación de explotación.</w:t>
      </w:r>
    </w:p>
    <w:p>
      <w:pPr>
        <w:keepNext/>
        <w:spacing w:after="100"/>
      </w:pPr>
      <w:r>
        <w:rPr>
          <w:b/>
          <w:bCs/>
        </w:rPr>
        <w:t xml:space="preserve">Coste del capital.</w:t>
      </w:r>
    </w:p>
    <w:p>
      <w:pPr>
        <w:spacing w:after="100"/>
      </w:pPr>
      <w:r>
        <w:t xml:space="preserve">Todo en RMB: bono chino a 10 años del 1,67 % [26]. Beta de 0,85: la de la A frente al Hang Seng es 0,72 (mensual, 5 años) y la semanal de 2 años de la H, 0,43 [22, 23]; subimos hacia 1 por ser un fabricante cíclico de consumo. Prima de mercado del 5,5 % y prima adicional de 2,0 puntos por riesgo país, aranceles y geopolítica (menos que los 2,9 de Tencent: Midea no tiene estructura VIE ni está en listas de sanciones). Coste de la deuda del 2,75 % (bonos y préstamos en RMB, euros y HKD; convertibles al 0 %) y un 10 % de deuda: WACC del 7,74 %.</w:t>
      </w:r>
    </w:p>
    <w:p>
      <w:pPr>
        <w:keepNext/>
        <w:spacing w:after="100"/>
      </w:pPr>
      <w:r>
        <w:rPr>
          <w:b/>
          <w:bCs/>
        </w:rPr>
        <w:t xml:space="preserve">Valor terminal.</w:t>
      </w:r>
    </w:p>
    <w:p>
      <w:pPr>
        <w:spacing w:after="100"/>
      </w:pPr>
      <w:r>
        <w:t xml:space="preserve">Crecimiento a perpetuidad del 1,1 %: medio punto por debajo del bono chino (1,67 %), coherente con una inflación china cercana a cero y un mercado maduro. El valor terminal pesa el 57 %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500.650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658.608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870.740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0,6 %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1,6 %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2,1 %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(reinvierte el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(histórico: 18,7 %)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frente al 3,9 %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(hoy: 6,7 %)</w:t>
            </w:r>
          </w:p>
        </w:tc>
      </w:tr>
    </w:tbl>
    <w:p>
      <w:pPr>
        <w:spacing w:after="160" w:before="0"/>
      </w:pPr>
    </w:p>
    <w:p>
      <w:pPr>
        <w:spacing w:after="100"/>
      </w:pPr>
      <w:r>
        <w:t xml:space="preserve">La proyección apenas necesita inversión neta de la amortización (reinversión acumulada de -964 M, con un capex bruto medio del 2,4 % de las ventas). En un negocio de activos ligeros, el crecimiento medio del 3,9 % tiene que salir de subir precios y de ganar volumen sin capital nuevo, y la prueba es el poder de precios y la cuota (6,6 % del mercado en 2030e, frente al 6,7 %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1,5 % (exterior +5,5 % y edificios +10,8 % en el 1S26 frente a China en caída [3]), precio del −0,5 % (guerra de precios en el aire doméstico chino) y 2,5 puntos de perímetro (año completo de Arbonia y Teka) y divisa.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4,0 %: China deja de caer tras dos años de demanda adelantada, centros de datos y refrigeración líquida con la fábrica nueva; precio del 0,5 % y un punto de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(marca propia fuera de China, bombas de calor en Europa, KUKA) y precio del 1,0 %.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4,0 % y precio del 1,0 %.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3,5 % y precio del 1,0 %. Cuota en hogar y edificios estable: el tamaño del mercado se divide por la parte de las ventas que juega en él (73,2 %), así que la cuota implícita compara lo mismo que la de hoy (6,7 %).</w:t>
            </w:r>
          </w:p>
        </w:tc>
      </w:tr>
    </w:tbl>
    <w:p>
      <w:pPr>
        <w:spacing w:after="160" w:before="0"/>
      </w:pPr>
    </w:p>
    <w:p>
      <w:pPr>
        <w:spacing w:after="100"/>
      </w:pPr>
      <w:r>
        <w:t xml:space="preserve">Sí. Midea tiene un foso estrecho y estable (escala de compras y de fabricación, compresores propios, red de distribución en China, marca propia fuera) y un ROIC prudente del 19 % desde hace cinco años, con un ROIC incremental del 18,7 %. El crecimiento proyectado (3,9 % de media) está por debajo del histórico (7,5 %) y del que financia su reinversión bruta al ROIC actual (4,7 %); como el circulante es negativo, crecer apenas consume capital. La cuota en hogar y edificios se mantiene en torno al 6,7 %. Las tres pruebas pasan sin rebajar 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(base: 12,3 %)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 (WACC: 7,7 %)</w:t>
            </w:r>
          </w:p>
        </w:tc>
      </w:tr>
    </w:tbl>
    <w:p>
      <w:pPr>
        <w:spacing w:after="160" w:before="0"/>
      </w:pPr>
    </w:p>
    <w:p>
      <w:pPr>
        <w:spacing w:after="100"/>
      </w:pPr>
      <w:r>
        <w:t xml:space="preserve">El DCF da 133,34 RMB por acción (156,59 HKD), un 66,7 % por encima del precio, con el valor terminal en el 57 % del valor y la tesorería neta (≈ 31 RMB por acción tras deuda y minoritarios) dentro. El precio de 80,00 RMB descuenta una caída de las ventas del 5,2 % al año o, dicho de otro modo, una rentabilidad anual del 14,9 % para quien compra hoy, el doble de nuestro WACC. Con el WACC un punto más alto (8,7 %) el valor baja a 119,81 RMB; restando solo el efectivo y los depósitos, a unos 101 RMB. Las dos cosas a la vez siguen por encima del precio. El mercado aplica a Midea el descuento de China: país, aranceles, vivienda y tesorería que no confía en ver repartida.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vivienda china sigue cayendo, sin ayudas al recambio en 2027, la guerra de precios del aire doméstico se extiende y los aranceles de EE. UU. y Europa frenan la exportación: crecimiento 3 puntos menor desde 2027 y margen 1,5 puntos más bajo, como en 2021.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4 % de media con exterior, edificios y marca propia compensando una China plana; margen EBITDA estable en el 12,3 % y reparto de casi todo el beneficio en dividendos y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vuelve a crecer con nuevas ayudas, los centros de datos y las bombas de calor en Europa aceleran y KUKA mejora márgenes: 2 puntos más de crecimiento y 0,7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CNY) · precio actual 8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130,57 CNY (+63,2 %).</w:t>
      </w:r>
    </w:p>
    <w:p>
      <w:pPr>
        <w:spacing w:after="100"/>
      </w:pPr>
      <w:r>
        <w:t xml:space="preserve">Los tres escenarios del DCF quedan por encima del precio: el bajista (96,64 RMB) gana un 20,8 % y el alcista (158,94 RMB) un 98,7 %. A 12 meses, con el PER propio, la asimetría es mucho más estrecha: +44,3 % en el alcista frente a −34,4 % en el bajista. Lo que separa los dos horizontes es el múltiplo: el mercado lleva cinco años pagando 9,5-16 veces el beneficio adelantado de Midea, y el DCF con la tesorería dentro justifica unas 21 veces. La tesis de valor exige que la diferencia se cierre por dividendos y recompras, no por un cambio de humor del mercado.</w:t>
      </w:r>
    </w:p>
    <w:p>
      <w:pPr>
        <w:pStyle w:val="Heading1"/>
      </w:pPr>
      <w:r>
        <w:t xml:space="preserve">22. Suma de partes</w:t>
      </w:r>
    </w:p>
    <w:p>
      <w:pPr>
        <w:pStyle w:val="Confianza"/>
        <w:spacing w:after="100"/>
      </w:pPr>
      <w:r>
        <w:t xml:space="preserve">Confianza: Media</w:t>
      </w:r>
    </w:p>
    <w:p>
      <w:pPr>
        <w:spacing w:after="100"/>
      </w:pPr>
      <w:r>
        <w:t xml:space="preserve">No la hacemos: Midea no publica el beneficio por negocio con la segmentación de ingresos de cinco años (solo el margen bruto), y KUKA y Annto pesan poco en el valor. La escisión de Annto en Hong Kong sería un catalizador, no un cambio de valor.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CNY) · precio actual 8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129,34 CNY (+61,7 % sobre 80,00).</w:t>
      </w:r>
    </w:p>
    <w:p>
      <w:pPr>
        <w:spacing w:after="100"/>
      </w:pPr>
      <w:r>
        <w:t xml:space="preserve">Pesamos el DCF un 60 %, los escenarios un 30 % y los comparables un 10 % (PER de los próximos 12 meses). El DCF manda porque Midea es un negocio maduro, con flujos estables y una tesorería que se puede medir. Su punto débil es la tesorería: 328.842 M (≈ 44 RMB por acción) [3], que el mercado no valora entera (el EV/EBITDA de 6,5x está por debajo del mínimo de cinco años, 8,2x, que se midió con solo efectivo y depósitos). Los comparables pesan poco porque la mediana mezcla a Gree y Haier (8-10x, con descuento chino) con los estadounidenses (17-27x, con centros de datos y ROIC altos); por PER dan 101,66 RMB. Las transacciones (refrigeración de centros de datos y bombas de calor a 17-20 veces el EBITDA [29, 30]) son de activos pequeños y de crecimiento y no se usan. El rango va de 96,64 RMB (bajista del DCF) a 158,94 RMB (alcista); con la prima implícita del mercado sale 151,61 RMB. Todo por encima del precio de 80,00 RMB.</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(12.7x) a mitad de camino hacia abajo, hacia la mediana de 5 años (12.3x)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+49,6 %</w:t>
            </w:r>
          </w:p>
        </w:tc>
      </w:tr>
    </w:tbl>
    <w:p>
      <w:pPr>
        <w:spacing w:after="160" w:before="0"/>
      </w:pPr>
    </w:p>
    <w:p>
      <w:pPr>
        <w:spacing w:after="100"/>
      </w:pPr>
      <w:r>
        <w:rPr>
          <w:b/>
          <w:bCs/>
        </w:rPr>
        <w:t xml:space="preserve">Objetivo a 12 meses (ponderado):</w:t>
      </w:r>
      <w:r>
        <w:t xml:space="preserve"> 83,78 CNY (98,39 HKD) · rentabilidad +10,1 % (base +9,9 %) · señal Mantener.</w:t>
      </w:r>
    </w:p>
    <w:p>
      <w:pPr>
        <w:spacing w:after="100"/>
      </w:pPr>
      <w:r>
        <w:t xml:space="preserve">Para comparar, con la regla v2 (historia al cierre, mismo precio): 10,5x / 12,7x / 15,7x, 12,6 %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(6,32 RMB) está un 4,2 % por debajo del consenso (6,60 RMB, 21 analistas [24, 25]) y el de 2028e (6,69 RMB) un 7,0 % por debajo (7,19 RMB): suponemos ventas algo menores (+5,5 % frente a +6,5-7 %) y un resultado financiero que baja con los tipos chinos y con la caja que se reparte. Nuestro precio base a 12 meses (83,63 RMB, 98,21 HKD) queda un 12,7 % por debajo del objetivo medio de los analistas (95,81 RMB, 112,52 HKD, 11 analistas [24]): la diferencia es casi toda de múltiplo; ellos pagan 14-15 veces el beneficio y nosotros la historia propia (12,3x).</w:t>
      </w:r>
    </w:p>
    <w:p>
      <w:pPr>
        <w:keepNext/>
        <w:spacing w:after="100"/>
      </w:pPr>
      <w:r>
        <w:rPr>
          <w:b/>
          <w:bCs/>
        </w:rPr>
        <w:t xml:space="preserve">Del valor intrínseco al objetivo a 12 meses.</w:t>
      </w:r>
    </w:p>
    <w:p>
      <w:pPr>
        <w:spacing w:after="100"/>
      </w:pPr>
      <w:r>
        <w:t xml:space="preserve">El objetivo a 12 meses (83,78 RMB, 98,39 HKD) da un 10,1 % con dividendo (9,9 % el base): un PER de 12,5x, entre el de hoy (12,7x) y su mediana adelantada (12,3x), sobre un BPA de 2028e que crece un 5,9 % al año, más un 5,4 % de dividendo. Queda muy por debajo del valor intrínseco (129,34 RMB): el mercado lleva cinco años pagando 9,5-16x por Midea con 9-10 veces de caja neta sobre el beneficio, y nada dice que vaya a cambiar en 12 meses. Es una acción para cobrar dividendo y crecimiento, no una apuesta de revalorización del múltiplo. El bajista (9,5x, su mínimo de 2023, sobre un BPA de 5,52) pierde un 34,4 %; el alcista (15,7x, la mediana de los comparables) gana un 44,3 %.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(3T26) [32]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2S: si China cae menos que en el 1S y el exterior y edificios siguen creciendo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Ex-dividendo a cuenta de 0,5 RMB por acción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a cuenta del año; 0,6 % del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recompra de 6.500-13.000 M de acciones A para amortizar [3]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un 2 % menos de acciones; quedan 1.000-7.500 M por comprar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 (finales)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final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del 70-75 % del beneficio (≈ 4,4 RMB por acción, consenso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Annto en Hong Kong [20]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Pone precio a la logística y puede traer un dividendo extraordinario o una distribución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Ayudas chinas al recambio de electrodomésticos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renovación o su fin decide si China vuelve a crecer (escenarios alcista y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 de refrigeración líquida de Shunde y pedidos de centros de datos [3]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 de Edificios es el 8 % de las ventas: mejora la mezcla y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inmobiliario chino: la vivienda sigue cayendo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−34,4 % a 12 meses en el bajista (9,5x × 5,52); −27,5 % en el DCF bajista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57 % de las ventas pero la primera instalación ligada a vivienda nueva es solo una parte; el resto es reposición. El exterior (43 %) y los negocios para empresas crecen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minoristas de aire acondicionado en China (AVC) cayendo más de un 10 % en el 2S26; aire central doméstico y ascensores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las ayudas al recambio y guerra de precios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−10 % del BPA de 2028e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compresores propios (45 % del volumen mundial de compresores de aire doméstico)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24 %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geopolítica (EE. UU., Europa, sanciones)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del BPA si EE. UU. sube aranceles a los equipos hechos fuera de China (estimación propia: exterior 43 %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 de sus 68 fábricas están fuera de China (México, Tailandia, Brasil, Egipto, Europa); fabricación local para EE. UU. y Europa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nuevos a México o al sudeste asiático; inclusión de filiales en listas de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 de China persistente o mayor (país, divisa, convertibilidad)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−10,1 % del DCF por un punto más de WACC (119,81 RMB)</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5,4 % y recompras: la rentabilidad no depende de que el múltiplo suba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Hang Seng a la baja con salidas de fondos; RMB por encima de 7,5 por dólar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Tesorería que no se reparte y beneficio apoyado en intereses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−32 RMB por acción si la tesorería no operativa se descuenta entera (DCF ≈ 101 RMB)</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Reparte el 74 % del beneficio y recompra 6.500-13.000 M; las compras grandes (KUKA, Toshiba) son antiguas [1,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grandes con la caja o reparto por debajo del 60 %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IA: bajo (más oportunidad que amenaza)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Nulo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Midea fabrica equipos físicos; la IA le trae demanda (refrigeración de centros de datos, robots de KUKA) y no sustituye la climatización ni los electrodomésticos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hogar conectado frente a plataformas de software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Convertibles y dilución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−2,2 % del BPA si se convierten todos (17.248 M HKD a 91,82 y 109,78 HKD) [8, 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 acciones A en marcha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la H por encima de 92 HKD sostenido</w:t>
            </w:r>
          </w:p>
        </w:tc>
      </w:tr>
    </w:tbl>
    <w:p>
      <w:pPr>
        <w:spacing w:after="160" w:before="0"/>
      </w:pPr>
    </w:p>
    <w:p>
      <w:pPr>
        <w:pStyle w:val="Heading2"/>
      </w:pPr>
      <w:r>
        <w:t xml:space="preserve">Pre-mortem</w:t>
      </w:r>
    </w:p>
    <w:p>
      <w:pPr>
        <w:spacing w:after="100"/>
      </w:pPr>
      <w:r>
        <w:t xml:space="preserve">Octubre de 2027: la acción ha perdido un 30 %. Sin ayudas al recambio en 2027, las ventas de aire acondicionado en China cayeron otro 15 % y Gree y Haier bajaron precios para vaciar almacenes; el margen bruto de Midea cayó por debajo del 23 %. EE. UU. extendió los aranceles a los equipos fabricados en México y Tailandia, y la exportación, que sostenía el crecimiento, se frenó. Con los tipos chinos en el 1 %, los intereses de la tesorería bajaron un 30 % y el beneficio por acción de 2027 cayó un 5 %. El mercado de Hong Kong volvió a pagar 9,5 veces el beneficio, como en 2023. Las señales: un 3T26 con China peor que en el 1S y un margen bruto por debajo del 24 %.</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Positivo pero pequeño: la refrigeración de centros de datos está dentro de Tecnología de Edificios (8 % de las ventas)</w:t>
      </w:r>
    </w:p>
    <w:p>
      <w:pPr>
        <w:spacing w:after="100"/>
      </w:pPr>
      <w:r>
        <w:t xml:space="preserve">Midea vende equipos físicos (aire acondicionado, electrodomésticos, compresores, robots) que la IA no sustituye. Le trae demanda: refrigeración por aire y líquida para centros de datos (fábrica nueva en Shunde para 2027) y robots industriales de KUKA. El riesgo es indirecto: competidores de software en el hogar conectado y la gestión de edificios.</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 (la empresa cita su informe ESG 2025)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r>
    </w:tbl>
    <w:p>
      <w:pPr>
        <w:spacing w:after="160" w:before="0"/>
      </w:pPr>
    </w:p>
    <w:p>
      <w:pPr>
        <w:pStyle w:val="Heading2"/>
      </w:pPr>
      <w:r>
        <w:t xml:space="preserve">Asuntos materiales</w:t>
      </w:r>
    </w:p>
    <w:p>
      <w:pPr>
        <w:spacing w:after="100"/>
      </w:pPr>
      <w:r>
        <w:t xml:space="preserve">Tres asuntos con cifra: (1) eficiencia energética de los productos (aire de alta eficiencia, bombas de calor), que es a la vez regulación y ventaja comercial; (2) emisiones de la fabricación y refrigerantes (gases fluorados en la UE y AIM Act en EE. UU.); (3) seguridad laboral en 198.050 empleados y 68 fábricas [3, 16]. El informe ESG 2025 es el quinto de la empresa [16].</w:t>
      </w:r>
    </w:p>
    <w:p>
      <w:pPr>
        <w:pStyle w:val="Heading2"/>
      </w:pPr>
      <w:r>
        <w:t xml:space="preserve">Controversias</w:t>
      </w:r>
    </w:p>
    <w:p>
      <w:pPr>
        <w:spacing w:after="100"/>
      </w:pPr>
      <w:r>
        <w:t xml:space="preserve">Sin multas ni litigios relevantes publicados por la empresa en 2023-2026; el informe anual no declara contingencias materiales [1]. No hemos encontrado sanciones de reguladores con fuente primaria.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en China depende de la vivienda nueva (primera instalación) y cuánto de reposición, y cómo cambia el 2S26 sin ayudas?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entre el base y el bajista; la vivienda china es el riesgo principal.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Tesorería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de la tesorería de 328.842 M es necesaria para operar (pagos a proveedores, anticipos) y cuánta se puede repartir?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 44 RMB por acción y el mercado no las valora.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por negocio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resultado operativo de Hogar, Edificios, Industrial y KUKA?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se publica el margen bruto; sin él no hay suma de partes.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pedidos de refrigeración de centros de datos tiene Midea y qué margen dejan?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que puede cambiar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a EE. UU. sale de fábricas en China y cuánto cuesta trasladarla a México o Tailandia?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Exterior es el 43 %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Convertibles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emitir 17.248 M HKD de convertibles con tanta caja, y se recomprarán acciones H para compensar la dilución?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 y dilución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cubrirá la baja del consejero independiente de abril y qué votaron los minoritarios de la H en la recompra de acciones restringidas? [18, 19, 21]</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consejo tiene 4 independientes de 10 y un accionista de control.</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32 (18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6,6 % en 2030e frente al 6,7 %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-10,5 % real: genera una variación de circulante de 810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(EBIT) por negocio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anuncio de 2025: solo 2024-2025 con la segmentación nueva (Smart Home, Building Technology, Industrial Technology, Otros), distinta de la de ingresos por negocio; 2) folleto de 2024: margen bruto por negocio, no EBIT; 3) informe semestral 2026: margen bruto por negocio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comenta el margen bruto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del 1S24 y 2S24 y comparación con el 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2024 no descargado (la empresa cotiza en Hong Kong desde sep-2024 y no publicó semestral NIIF de 2024: exención de la regla 13.48); 2) folleto: solo cuatro meses de 2024; 3) consenso semestral previo no disponible gratis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histórico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semestral: dan series de China (AVC, ChinaIOL), no mundiales; 2) folleto (Frost &amp; Sullivan): cuotas de Midea pero no el CR5 en el texto leído; 3) Ken Research y Arizton: solo 2025 y la previsión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de agencias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2025 en HKEXnews (25 MB, no leído entero); 2) web de MSCI ESG (requiere JavaScript); 3) búsqueda de Sustainalytics sin resultado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 y semestral: solo participaciones a fecha, no operaciones; 2) avisos de interés (SFO, «Disclosure of Interests») de HKEX para 0300: no consultados por bloqueo de la búsqueda; 3) cninfo (Shenzhen) no responde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Estadísticas de ventas en corto de HKEX (no abiertas desde la nube); 2) etnet: página de ventas en corto de 0300 sin texto legible; 3) Stock Analysis bloquea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Foros chinos de la línea A (Guba de Eastmoney y Xueqiu): comprobación antibot, sin texto; 2) Seeking Alpha y Stocktwits (MIDEF): 404, y Reddit: 403; 3) búsquedas web de debates de inversores sobre 0300.HK o 000333 en los últimos tres meses: solo agregadores de noticias y fichas de cotización, sin debate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(NIIF): estados financieros, notas de inmovilizado, intangibles y fondo de comercio, otros ingresos, flujos,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https://www1.hkexnews.hk/listedco/listconews/sehk/2026/0424/2026042400678.pdf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Results Announcement for the year ended 31 December 2025 (cuenta, balance, segmentos, deuda,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https://www1.hkexnews.hk/listedco/listconews/sehk/2026/0330/2026033001928.pdf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Announcement / Interim Report for the six months ended 30 June 2026 (cuenta, balance, flujos, negocio, recompras, convertibles)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https://www1.hkexnews.hk/listedco/listconews/sehk/2026/0828/2026082802074.pdf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Results Announcement for the year ended 31 December 2024 (ingresos por negocio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https://www1.hkexnews.hk/listedco/listconews/sehk/2025/0328/2025032802780.pdf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Offering (folleto de la salida a bolsa H), Apéndice I: informe de los contables con las cuentas NIIF de 2021,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https://www1.hkexnews.hk/listedco/listconews/sehk/2024/0909/2024090900005.pdf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Announcement for the six months ended 30 June 2025 (comparativo del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https://www1.hkexnews.hk/listedco/listconews/sehk/2025/0829/2025082902374.pdf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Quarterly Report of 2026 (normas contables chinas)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https://www1.hkexnews.hk/listedco/listconews/sehk/2026/0429/2026042904598.pdf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issue of HK$8.624 bn zero coupon guaranteed convertible bonds due 2027 and HK$8.624 bn due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https://www1.hkexnews.hk/listedco/listconews/sehk/2026/0507/2026050700043.pdf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Adjustment to the conversion price of the convertible bonds due 2027 and 2033 (91,82 y 109,78 HKD)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https://www1.hkexnews.hk/listedco/listconews/sehk/2026/0708/2026070800866.pdf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Distribution of Interim Dividend for the six months ended 30 June 2026 (Updated): 5 RMB por 10 acciones, ex-dividendo 6-nov-2026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https://www1.hkexnews.hk/listedco/listconews/sehk/2026/1013/2026101300897.pdf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Distribution of Final Dividend for the year ended 31 December 2025 (Updated): 38 RMB por 10 acciones, ex-dividendo 18-jun-2026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https://www1.hkexnews.hk/listedco/listconews/sehk/2026/0605/2026060502604.pdf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Home Appliances Market: 529.000 M USD en 2025, 5,22 % anual hasta 718.000 M en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https://www.kenresearch.com/global-home-appliance-market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HVAC Market: 215.000 M USD en 2025 y 292.200 M en 2031 (5,25 %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https://www.arizton.com/market-reports/hvac-market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ingresos y margen operativo de los últimos 12 meses de Gree, Haier, Daikin, Carrier, Trane, Johnson Controls, Whirlpool y Lennox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componentes de climatización (HVAC) y control de edificios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(sectores/climatizacion-hvac-2026-10-14.md)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https://github.com/HotisS/analisis-inversion/blob/main/sectores/climatizacion-hvac-2026-10-14.md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ESG Report (Midea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https://www1.hkexnews.hk/listedco/listconews/sehk/2026/0424/2026042400796.pdf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the 2025 Annual General Meeting (5-jun-2026)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https://www1.hkexnews.hk/listedco/listconews/sehk/2026/0605/2026060502404.pdf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the 2024 Annual General Meeting (30-may-2025)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https://www1.hkexnews.hk/listedco/listconews/sehk/2025/0530/2025053002337.pdf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Resignation of independent non-executive director and proposed appointment (abr-2026)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https://www1.hkexnews.hk/listedco/listconews/sehk/2026/0429/2026042904780.pdf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on the submission of updated listing application by Annto to the Stock Exchange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https://www1.hkexnews.hk/listedco/listconews/sehk/2026/0615/2026061500464.pdf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Repurchase and cancellation of certain restricted shares; notice of the 2026 first EGM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https://www1.hkexnews.hk/listedco/listconews/sehk/2026/0927/2026092700011.pdf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0300.HK, ^HSI y 2800.HK hasta el 16-oct-2026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https://finance.yahoo.com/quote/0300.HK/history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000333.SZ (línea A) hasta el 16-oct-2026 y cierres anuales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https://finance.yahoo.com/quote/000333.SZ/history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Yahoo Finance para 0300.HK y 000333.SZ: BPA y ventas de 2026-2027, objetivos y recomendaciones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https://finance.yahoo.com/quote/0300.HK/analysis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estimaciones anuales 2026-2028 (ventas, EBITDA, EBIT, beneficio, BPA,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https://www.marketscreener.com/quote/stock/MIDEA-GROUP-CO-LTD-16166364/finances/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10-Year Government Bond Yield: 1,67 %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HKD/CNY (0,8515), USD/CNY (6,6857) y JPY/CNY (0,042173),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https://finance.yahoo.com/quote/HKDCNY=X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Daikin del repositorio (14-oct-2026): transacciones de climatización con su fuente (Eaton-Boyd, Schneider-Motivair, Carrier-Viessmann, Pentair-Manitowoc Ice, Daikin-AHT)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(informes/daikin-2026-10-14)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https://github.com/HotisS/analisis-inversion/tree/main/informes/daikin-2026-10-14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to acquire Arbonia's Climate Division for EUR 760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Lenz &amp; Staehelin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https://lenzstaehelin.com/news-and-insights/browse-deals-and-cases/dealscases-detail/midea-to-acquire-arbonias-climate-division-for-eur-760-million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(000333): recomendaciones recientes (CLSA Comprar 91 RMB, 27-jul-2026; JPMorgan a Comprar 82 RMB, 10-jun-2026)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https://www.investing.com/equities/midea-group-a-consensus-estimates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 of Board Meeting: resultados de los nueve meses el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 Group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https://www1.hkexnews.hk/listedco/listconews/sehk/2026/1014/2026101400357.pdf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88,2 %</w:t>
      </w:r>
      <w:r>
        <w:t xml:space="preserve"> · Secciones con menos del 60 % de campos cubiertos: </w:t>
      </w:r>
      <w:r>
        <w:rPr>
          <w:b/>
          <w:bCs/>
        </w:rPr>
        <w:t xml:space="preserve">sentimiento</w:t>
      </w:r>
      <w:r>
        <w:t xml:space="preserve"> · Generado el 16 oct 2026.</w:t>
      </w:r>
    </w:p>
    <w:p>
      <w:pPr>
        <w:pStyle w:val="Nota"/>
        <w:spacing w:after="100"/>
      </w:pPr>
      <w:r>
        <w:t xml:space="preserve">Cuentas en millones de RMB con normas NIIF (las de la línea H), gastos por función. China y Hong Kong no tienen XBRL en herramientas/cuentas.mjs: las cifras salen del informe anual 2025, de los anuncios de resultados de 2024 y 2025, de los semestrales de 2025 y 2026 y del folleto de la salida a bolsa H de 2024 (para 2021-2023) [1, 2, 3, 4, 5, 6]. Los trimestrales van en normas chinas y solo se usan como señal [7]. El EBIT del informe es «limpio»: al resultado operativo publicado se le quitan los intereses cobrados, las ganancias de instrumentos financieros y las diferencias de cambio, que pasan al resultado financiero; por eso el margen es algo menor que el publicado. Para el ROIC la caja es solo efectivo y depósitos a plazo (85.247 M en 2025): los demás activos financieros (227.742 M a coste amortizado y 10.456 M a valor razonable en jun-26) quedan dentro del capital invertido, lo que da un ROIC prudente; en el puente de valoración sí se restan como tesorería (328.842 M) [3]. Si solo se restasen el efectivo y los depósitos, el valor bajaría unos 32 RMB por acción. Precio: cierre de la línea H del 16-oct-2026 (93,95 HKD), pasado a RMB con 0,8515 RMB/HKD (80,00 RMB) [22, 28]. La línea A (000333.SZ) cerró a 84,60 RMB: la H cotiza un 5,4 % más barata y es la que se compra desde un broker europeo [23]. La beta de Yahoo para 0300.HK no sirve (mezcla una empresa anterior con el mismo código): se usa la de la A. Sin transcripciones en inglés de las conferencias y sin sentimiento de foros (antibot).</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Midea Group Co., Ltd. (0300.HK)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80,00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(66,12 – 86,60)</c:v>
                </c:pt>
                <c:pt idx="1">
                  <c:v>Precio objetivo de los analistas (75,75 – 115,52)</c:v>
                </c:pt>
                <c:pt idx="2">
                  <c:v>Comparables: PER NTM (62,36 – 135,60)</c:v>
                </c:pt>
                <c:pt idx="3">
                  <c:v>DCF (WACC y g ± 0,5) (122,45 – 147,98)</c:v>
                </c:pt>
                <c:pt idx="4">
                  <c:v>Escenarios (bajista – alcista) (96,64 – 158,94)</c:v>
                </c:pt>
                <c:pt idx="5">
                  <c:v>DCF con la prima implícita del mercado (4,2 %)</c:v>
                </c:pt>
                <c:pt idx="6">
                  <c:v>Precio actual (80,00)</c:v>
                </c:pt>
              </c:strCache>
            </c:strRef>
          </c:cat>
          <c:val>
            <c:numRef>
              <c:f>Hoja1!$B$2:$B$8</c:f>
              <c:numCache>
                <c:formatCode>#,##0</c:formatCode>
                <c:ptCount val="7"/>
                <c:pt idx="0">
                  <c:v>66.12</c:v>
                </c:pt>
                <c:pt idx="1">
                  <c:v>75.75</c:v>
                </c:pt>
                <c:pt idx="2">
                  <c:v>62.36</c:v>
                </c:pt>
                <c:pt idx="3">
                  <c:v>122.45</c:v>
                </c:pt>
                <c:pt idx="4">
                  <c:v>96.64</c:v>
                </c:pt>
                <c:pt idx="5">
                  <c:v>141.68</c:v>
                </c:pt>
                <c:pt idx="6">
                  <c:v>79.6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(66,12 – 86,60)</c:v>
                </c:pt>
                <c:pt idx="1">
                  <c:v>Precio objetivo de los analistas (75,75 – 115,52)</c:v>
                </c:pt>
                <c:pt idx="2">
                  <c:v>Comparables: PER NTM (62,36 – 135,60)</c:v>
                </c:pt>
                <c:pt idx="3">
                  <c:v>DCF (WACC y g ± 0,5) (122,45 – 147,98)</c:v>
                </c:pt>
                <c:pt idx="4">
                  <c:v>Escenarios (bajista – alcista) (96,64 – 158,94)</c:v>
                </c:pt>
                <c:pt idx="5">
                  <c:v>DCF con la prima implícita del mercado (4,2 %)</c:v>
                </c:pt>
                <c:pt idx="6">
                  <c:v>Precio actual (80,00)</c:v>
                </c:pt>
              </c:strCache>
            </c:strRef>
          </c:cat>
          <c:val>
            <c:numRef>
              <c:f>Hoja1!$C$2:$C$8</c:f>
              <c:numCache>
                <c:formatCode>#,##0</c:formatCode>
                <c:ptCount val="7"/>
                <c:pt idx="0">
                  <c:v>20.47999999999999</c:v>
                </c:pt>
                <c:pt idx="1">
                  <c:v>39.769999999999996</c:v>
                </c:pt>
                <c:pt idx="2">
                  <c:v>73.24</c:v>
                </c:pt>
                <c:pt idx="3">
                  <c:v>25.529999999999987</c:v>
                </c:pt>
                <c:pt idx="4">
                  <c:v>62.3</c:v>
                </c:pt>
                <c:pt idx="5">
                  <c:v>21.810000000000002</c:v>
                </c:pt>
                <c:pt idx="6">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Hogar inteligente (Smart Home)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234918</c:v>
                </c:pt>
                <c:pt idx="1">
                  <c:v>232826</c:v>
                </c:pt>
                <c:pt idx="2">
                  <c:v>246351</c:v>
                </c:pt>
                <c:pt idx="3">
                  <c:v>269532</c:v>
                </c:pt>
                <c:pt idx="4">
                  <c:v>299927</c:v>
                </c:pt>
              </c:numCache>
            </c:numRef>
          </c:val>
        </c:ser>
        <c:ser>
          <c:idx val="1"/>
          <c:order val="1"/>
          <c:tx>
            <c:strRef>
              <c:f>Hoja1!$C$1</c:f>
              <c:strCache>
                <c:ptCount val="1"/>
                <c:pt idx="0">
                  <c:v>Comercial e industrial</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73379</c:v>
                </c:pt>
                <c:pt idx="1">
                  <c:v>83639</c:v>
                </c:pt>
                <c:pt idx="2">
                  <c:v>97781</c:v>
                </c:pt>
                <c:pt idx="3">
                  <c:v>104496</c:v>
                </c:pt>
                <c:pt idx="4">
                  <c:v>122753</c:v>
                </c:pt>
              </c:numCache>
            </c:numRef>
          </c:val>
        </c:ser>
        <c:ser>
          <c:idx val="2"/>
          <c:order val="2"/>
          <c:tx>
            <c:strRef>
              <c:f>Hoja1!$D$1</c:f>
              <c:strCache>
                <c:ptCount val="1"/>
                <c:pt idx="0">
                  <c:v>Otros (materias primas y otros)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35063</c:v>
                </c:pt>
                <c:pt idx="1">
                  <c:v>29244</c:v>
                </c:pt>
                <c:pt idx="2">
                  <c:v>29577</c:v>
                </c:pt>
                <c:pt idx="3">
                  <c:v>35056</c:v>
                </c:pt>
                <c:pt idx="4">
                  <c:v>35822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Hogar inteligente (Smart Home)</c:v>
                </c:pt>
                <c:pt idx="1">
                  <c:v>Comercial e industrial</c:v>
                </c:pt>
                <c:pt idx="2">
                  <c:v>Otros (materias primas y otros)</c:v>
                </c:pt>
              </c:strCache>
            </c:strRef>
          </c:cat>
          <c:val>
            <c:numRef>
              <c:f>Hoja1!$B$2:$B$4</c:f>
              <c:numCache>
                <c:formatCode>General</c:formatCode>
                <c:ptCount val="3"/>
                <c:pt idx="0">
                  <c:v>65.4</c:v>
                </c:pt>
                <c:pt idx="1">
                  <c:v>26.8</c:v>
                </c:pt>
                <c:pt idx="2">
                  <c:v>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China continental</c:v>
                </c:pt>
                <c:pt idx="1">
                  <c:v>Resto del mundo</c:v>
                </c:pt>
              </c:strCache>
            </c:strRef>
          </c:cat>
          <c:val>
            <c:numRef>
              <c:f>Hoja1!$B$2:$B$3</c:f>
              <c:numCache>
                <c:formatCode>0"%"</c:formatCode>
                <c:ptCount val="2"/>
                <c:pt idx="0">
                  <c:v>57.3</c:v>
                </c:pt>
                <c:pt idx="1">
                  <c:v>42.7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(electrodomésticos + climatización))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2025</c:v>
                </c:pt>
                <c:pt idx="1">
                  <c:v>2026e</c:v>
                </c:pt>
                <c:pt idx="2">
                  <c:v>2027e</c:v>
                </c:pt>
                <c:pt idx="3">
                  <c:v>2028e</c:v>
                </c:pt>
                <c:pt idx="4">
                  <c:v>2029e</c:v>
                </c:pt>
                <c:pt idx="5">
                  <c:v>2030e</c:v>
                </c:pt>
                <c:pt idx="6">
                  <c:v>2031e</c:v>
                </c:pt>
              </c:strCache>
            </c:strRef>
          </c:cat>
          <c:val>
            <c:numRef>
              <c:f>Hoja1!$B$2:$B$8</c:f>
              <c:numCache>
                <c:formatCode>#,##0</c:formatCode>
                <c:ptCount val="7"/>
                <c:pt idx="0">
                  <c:v>744</c:v>
                </c:pt>
                <c:pt idx="1">
                  <c:v>783</c:v>
                </c:pt>
                <c:pt idx="2">
                  <c:v>824</c:v>
                </c:pt>
                <c:pt idx="3">
                  <c:v>867</c:v>
                </c:pt>
                <c:pt idx="4">
                  <c:v>912</c:v>
                </c:pt>
                <c:pt idx="5">
                  <c:v>960</c:v>
                </c:pt>
                <c:pt idx="6">
                  <c:v>1010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Midea</c:v>
                </c:pt>
                <c:pt idx="1">
                  <c:v>Haier Smart Home</c:v>
                </c:pt>
                <c:pt idx="2">
                  <c:v>Gree Electric</c:v>
                </c:pt>
                <c:pt idx="3">
                  <c:v>Daikin Industries</c:v>
                </c:pt>
                <c:pt idx="4">
                  <c:v>Carrier Global</c:v>
                </c:pt>
                <c:pt idx="5">
                  <c:v>Trane Technologies</c:v>
                </c:pt>
                <c:pt idx="6">
                  <c:v>Johnson Controls</c:v>
                </c:pt>
                <c:pt idx="7">
                  <c:v>Whirlpool</c:v>
                </c:pt>
                <c:pt idx="8">
                  <c:v>Lennox International</c:v>
                </c:pt>
              </c:strCache>
            </c:strRef>
          </c:cat>
          <c:val>
            <c:numRef>
              <c:f>Hoja1!$B$2:$B$10</c:f>
              <c:numCache>
                <c:formatCode>0.0"%"</c:formatCode>
                <c:ptCount val="9"/>
                <c:pt idx="0">
                  <c:v>9.8</c:v>
                </c:pt>
                <c:pt idx="1">
                  <c:v>8.3</c:v>
                </c:pt>
                <c:pt idx="2">
                  <c:v>16.5</c:v>
                </c:pt>
                <c:pt idx="3">
                  <c:v>9.2</c:v>
                </c:pt>
                <c:pt idx="4">
                  <c:v>13.1</c:v>
                </c:pt>
                <c:pt idx="5">
                  <c:v>19.3</c:v>
                </c:pt>
                <c:pt idx="6">
                  <c:v>15.9</c:v>
                </c:pt>
                <c:pt idx="7">
                  <c:v>1.6</c:v>
                </c:pt>
                <c:pt idx="8">
                  <c:v>22.9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2</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343361</c:v>
                </c:pt>
                <c:pt idx="1">
                  <c:v>345709</c:v>
                </c:pt>
                <c:pt idx="2">
                  <c:v>373710</c:v>
                </c:pt>
                <c:pt idx="3">
                  <c:v>409084</c:v>
                </c:pt>
                <c:pt idx="4">
                  <c:v>458502</c:v>
                </c:pt>
                <c:pt idx="5">
                  <c:v>474550</c:v>
                </c:pt>
                <c:pt idx="6">
                  <c:v>500650</c:v>
                </c:pt>
                <c:pt idx="7">
                  <c:v>528186</c:v>
                </c:pt>
                <c:pt idx="8">
                  <c:v>554595</c:v>
                </c:pt>
                <c:pt idx="9">
                  <c:v>579552</c:v>
                </c:pt>
                <c:pt idx="10">
                  <c:v>602734</c:v>
                </c:pt>
                <c:pt idx="11">
                  <c:v>623829</c:v>
                </c:pt>
                <c:pt idx="12">
                  <c:v>642544</c:v>
                </c:pt>
                <c:pt idx="13">
                  <c:v>658608</c:v>
                </c:pt>
                <c:pt idx="14">
                  <c:v>671780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33322</c:v>
                </c:pt>
                <c:pt idx="1">
                  <c:v>37845</c:v>
                </c:pt>
                <c:pt idx="2">
                  <c:v>43858</c:v>
                </c:pt>
                <c:pt idx="3">
                  <c:v>48200</c:v>
                </c:pt>
                <c:pt idx="4">
                  <c:v>54162</c:v>
                </c:pt>
                <c:pt idx="5">
                  <c:v>56946</c:v>
                </c:pt>
                <c:pt idx="6">
                  <c:v>61079</c:v>
                </c:pt>
                <c:pt idx="7">
                  <c:v>64967</c:v>
                </c:pt>
                <c:pt idx="8">
                  <c:v>68215</c:v>
                </c:pt>
                <c:pt idx="9">
                  <c:v>71285</c:v>
                </c:pt>
                <c:pt idx="10">
                  <c:v>74136</c:v>
                </c:pt>
                <c:pt idx="11">
                  <c:v>76731</c:v>
                </c:pt>
                <c:pt idx="12">
                  <c:v>79033</c:v>
                </c:pt>
                <c:pt idx="13">
                  <c:v>81009</c:v>
                </c:pt>
                <c:pt idx="14">
                  <c:v>82629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22.4</c:v>
                </c:pt>
                <c:pt idx="1">
                  <c:v>24.1</c:v>
                </c:pt>
                <c:pt idx="2">
                  <c:v>26.3</c:v>
                </c:pt>
                <c:pt idx="3">
                  <c:v>26.2</c:v>
                </c:pt>
                <c:pt idx="4">
                  <c:v>26.2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9.7</c:v>
                </c:pt>
                <c:pt idx="1">
                  <c:v>10.9</c:v>
                </c:pt>
                <c:pt idx="2">
                  <c:v>11.7</c:v>
                </c:pt>
                <c:pt idx="3">
                  <c:v>11.8</c:v>
                </c:pt>
                <c:pt idx="4">
                  <c:v>11.8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7.8</c:v>
                </c:pt>
                <c:pt idx="1">
                  <c:v>9.1</c:v>
                </c:pt>
                <c:pt idx="2">
                  <c:v>9.8</c:v>
                </c:pt>
                <c:pt idx="3">
                  <c:v>9.9</c:v>
                </c:pt>
                <c:pt idx="4">
                  <c:v>9.8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8.3</c:v>
                </c:pt>
                <c:pt idx="1">
                  <c:v>8.5</c:v>
                </c:pt>
                <c:pt idx="2">
                  <c:v>9</c:v>
                </c:pt>
                <c:pt idx="3">
                  <c:v>9.4</c:v>
                </c:pt>
                <c:pt idx="4">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15.7</c:v>
                </c:pt>
                <c:pt idx="3">
                  <c:v>8</c:v>
                </c:pt>
                <c:pt idx="4">
                  <c:v>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42</c:v>
                </c:pt>
                <c:pt idx="1">
                  <c:v>49</c:v>
                </c:pt>
                <c:pt idx="2">
                  <c:v>51</c:v>
                </c:pt>
                <c:pt idx="3">
                  <c:v>54</c:v>
                </c:pt>
                <c:pt idx="4">
                  <c:v>48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63</c:v>
                </c:pt>
                <c:pt idx="1">
                  <c:v>64</c:v>
                </c:pt>
                <c:pt idx="2">
                  <c:v>63</c:v>
                </c:pt>
                <c:pt idx="3">
                  <c:v>77</c:v>
                </c:pt>
                <c:pt idx="4">
                  <c:v>70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135</c:v>
                </c:pt>
                <c:pt idx="1">
                  <c:v>125</c:v>
                </c:pt>
                <c:pt idx="2">
                  <c:v>125</c:v>
                </c:pt>
                <c:pt idx="3">
                  <c:v>144</c:v>
                </c:pt>
                <c:pt idx="4">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25908</c:v>
                </c:pt>
                <c:pt idx="1">
                  <c:v>24325</c:v>
                </c:pt>
                <c:pt idx="2">
                  <c:v>47913</c:v>
                </c:pt>
                <c:pt idx="3">
                  <c:v>49598</c:v>
                </c:pt>
                <c:pt idx="4">
                  <c:v>38573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28587</c:v>
                </c:pt>
                <c:pt idx="1">
                  <c:v>29553</c:v>
                </c:pt>
                <c:pt idx="2">
                  <c:v>33722</c:v>
                </c:pt>
                <c:pt idx="3">
                  <c:v>38539</c:v>
                </c:pt>
                <c:pt idx="4">
                  <c:v>43945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19.4</c:v>
                </c:pt>
                <c:pt idx="1">
                  <c:v>18.9</c:v>
                </c:pt>
                <c:pt idx="2">
                  <c:v>18.4</c:v>
                </c:pt>
                <c:pt idx="3">
                  <c:v>19.7</c:v>
                </c:pt>
                <c:pt idx="4">
                  <c:v>19.2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7.7</c:v>
                </c:pt>
                <c:pt idx="1">
                  <c:v>7.7</c:v>
                </c:pt>
                <c:pt idx="2">
                  <c:v>7.7</c:v>
                </c:pt>
                <c:pt idx="3">
                  <c:v>7.7</c:v>
                </c:pt>
                <c:pt idx="4">
                  <c:v>7.7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22.9</c:v>
                </c:pt>
                <c:pt idx="1">
                  <c:v>22.1</c:v>
                </c:pt>
                <c:pt idx="2">
                  <c:v>22.1</c:v>
                </c:pt>
                <c:pt idx="3">
                  <c:v>20.3</c:v>
                </c:pt>
                <c:pt idx="4">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-0.48</c:v>
                </c:pt>
                <c:pt idx="1">
                  <c:v>0.33</c:v>
                </c:pt>
                <c:pt idx="2">
                  <c:v>-0.16</c:v>
                </c:pt>
                <c:pt idx="3">
                  <c:v>-1.12</c:v>
                </c:pt>
                <c:pt idx="4">
                  <c:v>-0.33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2028-2030</c:v>
                </c:pt>
                <c:pt idx="3">
                  <c:v>2031+</c:v>
                </c:pt>
              </c:strCache>
            </c:strRef>
          </c:cat>
          <c:val>
            <c:numRef>
              <c:f>Hoja1!$B$2:$B$5</c:f>
              <c:numCache>
                <c:formatCode>#,##0</c:formatCode>
                <c:ptCount val="4"/>
                <c:pt idx="0">
                  <c:v>48331</c:v>
                </c:pt>
                <c:pt idx="1">
                  <c:v>6307</c:v>
                </c:pt>
                <c:pt idx="2">
                  <c:v>9422</c:v>
                </c:pt>
                <c:pt idx="3">
                  <c:v>125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2075</c:v>
                </c:pt>
                <c:pt idx="1">
                  <c:v>837</c:v>
                </c:pt>
                <c:pt idx="2">
                  <c:v>6</c:v>
                </c:pt>
                <c:pt idx="3">
                  <c:v>0</c:v>
                </c:pt>
                <c:pt idx="4">
                  <c:v>6105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11066</c:v>
                </c:pt>
                <c:pt idx="1">
                  <c:v>11678</c:v>
                </c:pt>
                <c:pt idx="2">
                  <c:v>17189</c:v>
                </c:pt>
                <c:pt idx="3">
                  <c:v>20780</c:v>
                </c:pt>
                <c:pt idx="4">
                  <c:v>30487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13803</c:v>
                </c:pt>
                <c:pt idx="1">
                  <c:v>2832</c:v>
                </c:pt>
                <c:pt idx="2">
                  <c:v>258</c:v>
                </c:pt>
                <c:pt idx="3">
                  <c:v>63</c:v>
                </c:pt>
                <c:pt idx="4">
                  <c:v>11699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5</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Midea Holding (controlada al 94,55 % por He Xiangjian)</c:v>
                </c:pt>
                <c:pt idx="1">
                  <c:v>He Xiangjian (directas)</c:v>
                </c:pt>
                <c:pt idx="2">
                  <c:v>Fang Hongbo</c:v>
                </c:pt>
                <c:pt idx="3">
                  <c:v>HHLR Advisors (Hillhouse)</c:v>
                </c:pt>
                <c:pt idx="4">
                  <c:v>COSCO Shipping</c:v>
                </c:pt>
                <c:pt idx="5">
                  <c:v>Autocartera (acciones A)</c:v>
                </c:pt>
              </c:strCache>
            </c:strRef>
          </c:cat>
          <c:val>
            <c:numRef>
              <c:f>Hoja1!$B$2:$B$7</c:f>
              <c:numCache>
                <c:formatCode>0.0"%"</c:formatCode>
                <c:ptCount val="6"/>
                <c:pt idx="0">
                  <c:v>28.49</c:v>
                </c:pt>
                <c:pt idx="1">
                  <c:v>0.42</c:v>
                </c:pt>
                <c:pt idx="2">
                  <c:v>1.54</c:v>
                </c:pt>
                <c:pt idx="3">
                  <c:v>1.79</c:v>
                </c:pt>
                <c:pt idx="4">
                  <c:v>0.53</c:v>
                </c:pt>
                <c:pt idx="5">
                  <c:v>2.32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11.9</c:v>
                </c:pt>
              </c:numCache>
            </c:numRef>
          </c:val>
        </c:ser>
        <c:ser>
          <c:idx val="1"/>
          <c:order val="1"/>
          <c:tx>
            <c:strRef>
              <c:f>Hoja1!$C$1</c:f>
              <c:strCache>
                <c:ptCount val="1"/>
                <c:pt idx="0">
                  <c:v>Índice</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27.8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14.3</c:v>
                </c:pt>
                <c:pt idx="1">
                  <c:v>9.4</c:v>
                </c:pt>
                <c:pt idx="2">
                  <c:v>8.2</c:v>
                </c:pt>
                <c:pt idx="3">
                  <c:v>9.6</c:v>
                </c:pt>
                <c:pt idx="4">
                  <c:v>10.6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9.6</c:v>
                </c:pt>
                <c:pt idx="1">
                  <c:v>9.6</c:v>
                </c:pt>
                <c:pt idx="2">
                  <c:v>9.6</c:v>
                </c:pt>
                <c:pt idx="3">
                  <c:v>9.6</c:v>
                </c:pt>
                <c:pt idx="4">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Midea</c:v>
                </c:pt>
                <c:pt idx="1">
                  <c:v>Gree Electric</c:v>
                </c:pt>
                <c:pt idx="2">
                  <c:v>Haier Smart Home</c:v>
                </c:pt>
                <c:pt idx="3">
                  <c:v>Daikin Industries</c:v>
                </c:pt>
                <c:pt idx="4">
                  <c:v>Carrier Global</c:v>
                </c:pt>
                <c:pt idx="5">
                  <c:v>Trane Technologies</c:v>
                </c:pt>
                <c:pt idx="6">
                  <c:v>Johnson Controls</c:v>
                </c:pt>
                <c:pt idx="7">
                  <c:v>Lennox International</c:v>
                </c:pt>
                <c:pt idx="8">
                  <c:v>Whirlpool</c:v>
                </c:pt>
              </c:strCache>
            </c:strRef>
          </c:cat>
          <c:val>
            <c:numRef>
              <c:f>Hoja1!$B$2:$B$10</c:f>
              <c:numCache>
                <c:formatCode>0.0"x"</c:formatCode>
                <c:ptCount val="9"/>
                <c:pt idx="0">
                  <c:v>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Boyd Thermal (refrigeración líquida)</c:v>
                </c:pt>
                <c:pt idx="1">
                  <c:v>Motivair (refrigeración líquida; 75 %)</c:v>
                </c:pt>
                <c:pt idx="2">
                  <c:v>División de climatización de Arbonia</c:v>
                </c:pt>
                <c:pt idx="3">
                  <c:v>Viessmann Climate Solutions (bombas de calor)</c:v>
                </c:pt>
                <c:pt idx="4">
                  <c:v>Manitowoc Ice</c:v>
                </c:pt>
                <c:pt idx="5">
                  <c:v>AHT Cooling Systems (frío comercial)</c:v>
                </c:pt>
              </c:strCache>
            </c:strRef>
          </c:cat>
          <c:val>
            <c:numRef>
              <c:f>Hoja1!$B$2:$B$7</c:f>
              <c:numCache>
                <c:formatCode>0.0"x"</c:formatCode>
                <c:ptCount val="6"/>
                <c:pt idx="0">
                  <c:v>22.5</c:v>
                </c:pt>
                <c:pt idx="3">
                  <c:v>17.1</c:v>
                </c:pt>
                <c:pt idx="4">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36046</c:v>
                </c:pt>
                <c:pt idx="1">
                  <c:v>42329</c:v>
                </c:pt>
                <c:pt idx="2">
                  <c:v>45626</c:v>
                </c:pt>
                <c:pt idx="3">
                  <c:v>47657</c:v>
                </c:pt>
                <c:pt idx="4">
                  <c:v>50117</c:v>
                </c:pt>
                <c:pt idx="5">
                  <c:v>51845</c:v>
                </c:pt>
                <c:pt idx="6">
                  <c:v>53993</c:v>
                </c:pt>
                <c:pt idx="7">
                  <c:v>55312</c:v>
                </c:pt>
                <c:pt idx="8">
                  <c:v>56383</c:v>
                </c:pt>
                <c:pt idx="9">
                  <c:v>57189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331481</c:v>
                </c:pt>
                <c:pt idx="1">
                  <c:v>438305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80,00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96.64</c:v>
                </c:pt>
                <c:pt idx="1">
                  <c:v>133.34</c:v>
                </c:pt>
                <c:pt idx="2">
                  <c:v>158.94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80,00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(66,12 – 86,60)</c:v>
                </c:pt>
                <c:pt idx="1">
                  <c:v>Precio objetivo de los analistas (75,75 – 115,52)</c:v>
                </c:pt>
                <c:pt idx="2">
                  <c:v>Comparables: PER NTM (62,36 – 135,60)</c:v>
                </c:pt>
                <c:pt idx="3">
                  <c:v>DCF (WACC y g ± 0,5) (122,45 – 147,98)</c:v>
                </c:pt>
                <c:pt idx="4">
                  <c:v>Escenarios (bajista – alcista) (96,64 – 158,94)</c:v>
                </c:pt>
                <c:pt idx="5">
                  <c:v>DCF con la prima implícita del mercado (4,2 %)</c:v>
                </c:pt>
                <c:pt idx="6">
                  <c:v>Precio actual (80,00)</c:v>
                </c:pt>
              </c:strCache>
            </c:strRef>
          </c:cat>
          <c:val>
            <c:numRef>
              <c:f>Hoja1!$B$2:$B$8</c:f>
              <c:numCache>
                <c:formatCode>#,##0</c:formatCode>
                <c:ptCount val="7"/>
                <c:pt idx="0">
                  <c:v>66.12</c:v>
                </c:pt>
                <c:pt idx="1">
                  <c:v>75.75</c:v>
                </c:pt>
                <c:pt idx="2">
                  <c:v>62.36</c:v>
                </c:pt>
                <c:pt idx="3">
                  <c:v>122.45</c:v>
                </c:pt>
                <c:pt idx="4">
                  <c:v>96.64</c:v>
                </c:pt>
                <c:pt idx="5">
                  <c:v>141.68</c:v>
                </c:pt>
                <c:pt idx="6">
                  <c:v>79.6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(66,12 – 86,60)</c:v>
                </c:pt>
                <c:pt idx="1">
                  <c:v>Precio objetivo de los analistas (75,75 – 115,52)</c:v>
                </c:pt>
                <c:pt idx="2">
                  <c:v>Comparables: PER NTM (62,36 – 135,60)</c:v>
                </c:pt>
                <c:pt idx="3">
                  <c:v>DCF (WACC y g ± 0,5) (122,45 – 147,98)</c:v>
                </c:pt>
                <c:pt idx="4">
                  <c:v>Escenarios (bajista – alcista) (96,64 – 158,94)</c:v>
                </c:pt>
                <c:pt idx="5">
                  <c:v>DCF con la prima implícita del mercado (4,2 %)</c:v>
                </c:pt>
                <c:pt idx="6">
                  <c:v>Precio actual (80,00)</c:v>
                </c:pt>
              </c:strCache>
            </c:strRef>
          </c:cat>
          <c:val>
            <c:numRef>
              <c:f>Hoja1!$C$2:$C$8</c:f>
              <c:numCache>
                <c:formatCode>#,##0</c:formatCode>
                <c:ptCount val="7"/>
                <c:pt idx="0">
                  <c:v>20.47999999999999</c:v>
                </c:pt>
                <c:pt idx="1">
                  <c:v>39.769999999999996</c:v>
                </c:pt>
                <c:pt idx="2">
                  <c:v>73.24</c:v>
                </c:pt>
                <c:pt idx="3">
                  <c:v>25.529999999999987</c:v>
                </c:pt>
                <c:pt idx="4">
                  <c:v>62.3</c:v>
                </c:pt>
                <c:pt idx="5">
                  <c:v>21.810000000000002</c:v>
                </c:pt>
                <c:pt idx="6">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